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R语言-随堂实验作业16</w:t>
      </w:r>
    </w:p>
    <w:p>
      <w:pPr>
        <w:pStyle w:val="Heading3"/>
      </w:pPr>
      <w:bookmarkStart w:id="21" w:name="请将附件中的auto.csv数据表文件读入r的工作空间中"/>
      <w:bookmarkEnd w:id="21"/>
      <w:r>
        <w:t xml:space="preserve">请将附件中的auto.csv数据表文件读入R的工作空间中。</w:t>
      </w:r>
    </w:p>
    <w:p>
      <w:pPr>
        <w:pStyle w:val="SourceCode"/>
      </w:pPr>
      <w:r>
        <w:rPr>
          <w:rStyle w:val="NormalTok"/>
        </w:rPr>
        <w:t xml:space="preserve">auto =</w:t>
      </w:r>
      <w:r>
        <w:rPr>
          <w:rStyle w:val="StringTok"/>
        </w:rPr>
        <w:t xml:space="preserve"> </w:t>
      </w:r>
      <w:r>
        <w:rPr>
          <w:rStyle w:val="KeywordTok"/>
        </w:rPr>
        <w:t xml:space="preserve">read.csv</w:t>
      </w:r>
      <w:r>
        <w:rPr>
          <w:rStyle w:val="NormalTok"/>
        </w:rPr>
        <w:t xml:space="preserve">(</w:t>
      </w:r>
      <w:r>
        <w:rPr>
          <w:rStyle w:val="StringTok"/>
        </w:rPr>
        <w:t xml:space="preserve">"Datasets/auto.csv"</w:t>
      </w:r>
      <w:r>
        <w:rPr>
          <w:rStyle w:val="NormalTok"/>
        </w:rPr>
        <w:t xml:space="preserve">)</w:t>
      </w:r>
    </w:p>
    <w:p>
      <w:pPr>
        <w:pStyle w:val="Heading3"/>
      </w:pPr>
      <w:bookmarkStart w:id="22" w:name="用合适的图形来可视化foreign和mpg两个变量之间的关系以foreign为因变量以mpg为自变量"/>
      <w:bookmarkEnd w:id="22"/>
      <w:r>
        <w:t xml:space="preserve">用合适的图形来可视化</w:t>
      </w:r>
      <w:r>
        <w:t xml:space="preserve">“</w:t>
      </w:r>
      <w:r>
        <w:t xml:space="preserve">foreign</w:t>
      </w:r>
      <w:r>
        <w:t xml:space="preserve">”</w:t>
      </w:r>
      <w:r>
        <w:t xml:space="preserve">和</w:t>
      </w:r>
      <w:r>
        <w:t xml:space="preserve">“</w:t>
      </w:r>
      <w:r>
        <w:t xml:space="preserve">mpg</w:t>
      </w:r>
      <w:r>
        <w:t xml:space="preserve">”</w:t>
      </w:r>
      <w:r>
        <w:t xml:space="preserve">两个变量之间的关系（以</w:t>
      </w:r>
      <w:r>
        <w:t xml:space="preserve">“</w:t>
      </w:r>
      <w:r>
        <w:t xml:space="preserve">foreign</w:t>
      </w:r>
      <w:r>
        <w:t xml:space="preserve">”</w:t>
      </w:r>
      <w:r>
        <w:t xml:space="preserve">为因变量，以</w:t>
      </w:r>
      <w:r>
        <w:t xml:space="preserve">“</w:t>
      </w:r>
      <w:r>
        <w:t xml:space="preserve">mpg</w:t>
      </w:r>
      <w:r>
        <w:t xml:space="preserve">”</w:t>
      </w:r>
      <w:r>
        <w:t xml:space="preserve">为自变量）。</w:t>
      </w:r>
    </w:p>
    <w:p>
      <w:pPr>
        <w:pStyle w:val="SourceCode"/>
      </w:pPr>
      <w:r>
        <w:rPr>
          <w:rStyle w:val="KeywordTok"/>
        </w:rPr>
        <w:t xml:space="preserve">layout</w:t>
      </w:r>
      <w:r>
        <w:rPr>
          <w:rStyle w:val="NormalTok"/>
        </w:rPr>
        <w:t xml:space="preserve">(</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(foreign </w:t>
      </w:r>
      <w:r>
        <w:rPr>
          <w:rStyle w:val="OperatorTok"/>
        </w:rPr>
        <w:t xml:space="preserve">~</w:t>
      </w:r>
      <w:r>
        <w:rPr>
          <w:rStyle w:val="StringTok"/>
        </w:rPr>
        <w:t xml:space="preserve"> </w:t>
      </w:r>
      <w:r>
        <w:rPr>
          <w:rStyle w:val="NormalTok"/>
        </w:rPr>
        <w:t xml:space="preserve">mpg, </w:t>
      </w:r>
      <w:r>
        <w:rPr>
          <w:rStyle w:val="DataTypeTok"/>
        </w:rPr>
        <w:t xml:space="preserve">data =</w:t>
      </w:r>
      <w:r>
        <w:rPr>
          <w:rStyle w:val="NormalTok"/>
        </w:rPr>
        <w:t xml:space="preserve"> auto)</w:t>
      </w:r>
      <w:r>
        <w:br w:type="textWrapping"/>
      </w:r>
      <w:r>
        <w:rPr>
          <w:rStyle w:val="KeywordTok"/>
        </w:rPr>
        <w:t xml:space="preserve">cdplot</w:t>
      </w:r>
      <w:r>
        <w:rPr>
          <w:rStyle w:val="NormalTok"/>
        </w:rPr>
        <w:t xml:space="preserve">(foreign </w:t>
      </w:r>
      <w:r>
        <w:rPr>
          <w:rStyle w:val="OperatorTok"/>
        </w:rPr>
        <w:t xml:space="preserve">~</w:t>
      </w:r>
      <w:r>
        <w:rPr>
          <w:rStyle w:val="StringTok"/>
        </w:rPr>
        <w:t xml:space="preserve"> </w:t>
      </w:r>
      <w:r>
        <w:rPr>
          <w:rStyle w:val="NormalTok"/>
        </w:rPr>
        <w:t xml:space="preserve">mpg, </w:t>
      </w:r>
      <w:r>
        <w:rPr>
          <w:rStyle w:val="DataTypeTok"/>
        </w:rPr>
        <w:t xml:space="preserve">data =</w:t>
      </w:r>
      <w:r>
        <w:rPr>
          <w:rStyle w:val="NormalTok"/>
        </w:rPr>
        <w:t xml:space="preserve"> auto)</w:t>
      </w:r>
    </w:p>
    <w:p>
      <w:pPr>
        <w:pStyle w:val="FirstParagraph"/>
      </w:pPr>
      <w:r>
        <w:drawing>
          <wp:inline>
            <wp:extent cx="5334000" cy="4267200"/>
            <wp:effectExtent b="0" l="0" r="0" t="0"/>
            <wp:docPr descr="" title="" id="1" name="Picture"/>
            <a:graphic>
              <a:graphicData uri="http://schemas.openxmlformats.org/drawingml/2006/picture">
                <pic:pic>
                  <pic:nvPicPr>
                    <pic:cNvPr descr="随堂实验作业16-参考解答-用UTF-8编码打开-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4" w:name="用合适的图形来可视化foreign和weight两个变量之间的关系以foreign为因变量以weight为自变量"/>
      <w:bookmarkEnd w:id="24"/>
      <w:r>
        <w:t xml:space="preserve">用合适的图形来可视化</w:t>
      </w:r>
      <w:r>
        <w:t xml:space="preserve">“</w:t>
      </w:r>
      <w:r>
        <w:t xml:space="preserve">foreign</w:t>
      </w:r>
      <w:r>
        <w:t xml:space="preserve">”</w:t>
      </w:r>
      <w:r>
        <w:t xml:space="preserve">和</w:t>
      </w:r>
      <w:r>
        <w:t xml:space="preserve">“</w:t>
      </w:r>
      <w:r>
        <w:t xml:space="preserve">weight</w:t>
      </w:r>
      <w:r>
        <w:t xml:space="preserve">”</w:t>
      </w:r>
      <w:r>
        <w:t xml:space="preserve">两个变量之间的关系（以</w:t>
      </w:r>
      <w:r>
        <w:t xml:space="preserve">“</w:t>
      </w:r>
      <w:r>
        <w:t xml:space="preserve">foreign</w:t>
      </w:r>
      <w:r>
        <w:t xml:space="preserve">”</w:t>
      </w:r>
      <w:r>
        <w:t xml:space="preserve">为因变量，以</w:t>
      </w:r>
      <w:r>
        <w:t xml:space="preserve">“</w:t>
      </w:r>
      <w:r>
        <w:t xml:space="preserve">weight</w:t>
      </w:r>
      <w:r>
        <w:t xml:space="preserve">”</w:t>
      </w:r>
      <w:r>
        <w:t xml:space="preserve">为自变量）。</w:t>
      </w:r>
    </w:p>
    <w:p>
      <w:pPr>
        <w:pStyle w:val="SourceCode"/>
      </w:pPr>
      <w:r>
        <w:rPr>
          <w:rStyle w:val="KeywordTok"/>
        </w:rPr>
        <w:t xml:space="preserve">layout</w:t>
      </w:r>
      <w:r>
        <w:rPr>
          <w:rStyle w:val="NormalTok"/>
        </w:rPr>
        <w:t xml:space="preserve">(</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(foreign </w:t>
      </w:r>
      <w:r>
        <w:rPr>
          <w:rStyle w:val="OperatorTok"/>
        </w:rPr>
        <w:t xml:space="preserve">~</w:t>
      </w:r>
      <w:r>
        <w:rPr>
          <w:rStyle w:val="StringTok"/>
        </w:rPr>
        <w:t xml:space="preserve"> </w:t>
      </w:r>
      <w:r>
        <w:rPr>
          <w:rStyle w:val="NormalTok"/>
        </w:rPr>
        <w:t xml:space="preserve">weight, </w:t>
      </w:r>
      <w:r>
        <w:rPr>
          <w:rStyle w:val="DataTypeTok"/>
        </w:rPr>
        <w:t xml:space="preserve">data =</w:t>
      </w:r>
      <w:r>
        <w:rPr>
          <w:rStyle w:val="NormalTok"/>
        </w:rPr>
        <w:t xml:space="preserve"> auto)</w:t>
      </w:r>
      <w:r>
        <w:br w:type="textWrapping"/>
      </w:r>
      <w:r>
        <w:rPr>
          <w:rStyle w:val="KeywordTok"/>
        </w:rPr>
        <w:t xml:space="preserve">cdplot</w:t>
      </w:r>
      <w:r>
        <w:rPr>
          <w:rStyle w:val="NormalTok"/>
        </w:rPr>
        <w:t xml:space="preserve">(foreign </w:t>
      </w:r>
      <w:r>
        <w:rPr>
          <w:rStyle w:val="OperatorTok"/>
        </w:rPr>
        <w:t xml:space="preserve">~</w:t>
      </w:r>
      <w:r>
        <w:rPr>
          <w:rStyle w:val="StringTok"/>
        </w:rPr>
        <w:t xml:space="preserve"> </w:t>
      </w:r>
      <w:r>
        <w:rPr>
          <w:rStyle w:val="NormalTok"/>
        </w:rPr>
        <w:t xml:space="preserve">weight, </w:t>
      </w:r>
      <w:r>
        <w:rPr>
          <w:rStyle w:val="DataTypeTok"/>
        </w:rPr>
        <w:t xml:space="preserve">data =</w:t>
      </w:r>
      <w:r>
        <w:rPr>
          <w:rStyle w:val="NormalTok"/>
        </w:rPr>
        <w:t xml:space="preserve"> auto)</w:t>
      </w:r>
    </w:p>
    <w:p>
      <w:pPr>
        <w:pStyle w:val="FirstParagraph"/>
      </w:pPr>
      <w:r>
        <w:drawing>
          <wp:inline>
            <wp:extent cx="5334000" cy="4267200"/>
            <wp:effectExtent b="0" l="0" r="0" t="0"/>
            <wp:docPr descr="" title="" id="1" name="Picture"/>
            <a:graphic>
              <a:graphicData uri="http://schemas.openxmlformats.org/drawingml/2006/picture">
                <pic:pic>
                  <pic:nvPicPr>
                    <pic:cNvPr descr="随堂实验作业16-参考解答-用UTF-8编码打开-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6" w:name="用逻辑回归模型评估mpg和weight变量是否值得被引入到一个预测模型中来预测一辆车是否为foreign车foreign变量并解释显著的回归系数的估值的含义基于使用mpg和weight两个自变量的模型来解释"/>
      <w:bookmarkEnd w:id="26"/>
      <w:r>
        <w:t xml:space="preserve">用逻辑回归模型评估</w:t>
      </w:r>
      <w:r>
        <w:t xml:space="preserve">“</w:t>
      </w:r>
      <w:r>
        <w:t xml:space="preserve">mpg</w:t>
      </w:r>
      <w:r>
        <w:t xml:space="preserve">”</w:t>
      </w:r>
      <w:r>
        <w:t xml:space="preserve">和</w:t>
      </w:r>
      <w:r>
        <w:t xml:space="preserve">“</w:t>
      </w:r>
      <w:r>
        <w:t xml:space="preserve">weight</w:t>
      </w:r>
      <w:r>
        <w:t xml:space="preserve">”</w:t>
      </w:r>
      <w:r>
        <w:t xml:space="preserve">变量是否值得被引入到一个预测模型中来预测一辆车是否为</w:t>
      </w:r>
      <w:r>
        <w:t xml:space="preserve">“</w:t>
      </w:r>
      <w:r>
        <w:t xml:space="preserve">Foreign</w:t>
      </w:r>
      <w:r>
        <w:t xml:space="preserve">”</w:t>
      </w:r>
      <w:r>
        <w:t xml:space="preserve">车（</w:t>
      </w:r>
      <w:r>
        <w:t xml:space="preserve">“</w:t>
      </w:r>
      <w:r>
        <w:t xml:space="preserve">foreign</w:t>
      </w:r>
      <w:r>
        <w:t xml:space="preserve">”</w:t>
      </w:r>
      <w:r>
        <w:t xml:space="preserve">变量），并解释显著的回归系数的估值的含义（基于使用</w:t>
      </w:r>
      <w:r>
        <w:t xml:space="preserve">“</w:t>
      </w:r>
      <w:r>
        <w:t xml:space="preserve">mpg</w:t>
      </w:r>
      <w:r>
        <w:t xml:space="preserve">”</w:t>
      </w:r>
      <w:r>
        <w:t xml:space="preserve">和</w:t>
      </w:r>
      <w:r>
        <w:t xml:space="preserve">“</w:t>
      </w:r>
      <w:r>
        <w:t xml:space="preserve">weight</w:t>
      </w:r>
      <w:r>
        <w:t xml:space="preserve">”</w:t>
      </w:r>
      <w:r>
        <w:t xml:space="preserve">两个自变量的模型来解释）。</w:t>
      </w:r>
    </w:p>
    <w:p>
      <w:pPr>
        <w:pStyle w:val="SourceCode"/>
      </w:pPr>
      <w:r>
        <w:rPr>
          <w:rStyle w:val="NormalTok"/>
        </w:rPr>
        <w:t xml:space="preserve">auto=</w:t>
      </w:r>
      <w:r>
        <w:rPr>
          <w:rStyle w:val="KeywordTok"/>
        </w:rPr>
        <w:t xml:space="preserve">read.csv</w:t>
      </w:r>
      <w:r>
        <w:rPr>
          <w:rStyle w:val="NormalTok"/>
        </w:rPr>
        <w:t xml:space="preserve">(</w:t>
      </w:r>
      <w:r>
        <w:rPr>
          <w:rStyle w:val="StringTok"/>
        </w:rPr>
        <w:t xml:space="preserve">"Datasets/auto.csv"</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str</w:t>
      </w:r>
      <w:r>
        <w:rPr>
          <w:rStyle w:val="NormalTok"/>
        </w:rPr>
        <w:t xml:space="preserve">(auto)</w:t>
      </w:r>
    </w:p>
    <w:p>
      <w:pPr>
        <w:pStyle w:val="SourceCode"/>
      </w:pPr>
      <w:r>
        <w:rPr>
          <w:rStyle w:val="VerbatimChar"/>
        </w:rPr>
        <w:t xml:space="preserve">## 'data.frame':    74 obs. of  4 variables:</w:t>
      </w:r>
      <w:r>
        <w:br w:type="textWrapping"/>
      </w:r>
      <w:r>
        <w:rPr>
          <w:rStyle w:val="VerbatimChar"/>
        </w:rPr>
        <w:t xml:space="preserve">##  $ make   : Factor w/ 74 levels "AMC Concord",..: 1 2 3 7 8 9 10 11 12 13 ...</w:t>
      </w:r>
      <w:r>
        <w:br w:type="textWrapping"/>
      </w:r>
      <w:r>
        <w:rPr>
          <w:rStyle w:val="VerbatimChar"/>
        </w:rPr>
        <w:t xml:space="preserve">##  $ mpg    : int  22 17 22 20 15 18 26 20 16 19 ...</w:t>
      </w:r>
      <w:r>
        <w:br w:type="textWrapping"/>
      </w:r>
      <w:r>
        <w:rPr>
          <w:rStyle w:val="VerbatimChar"/>
        </w:rPr>
        <w:t xml:space="preserve">##  $ weight : int  2930 3350 2640 3250 4080 3670 2230 3280 3880 3400 ...</w:t>
      </w:r>
      <w:r>
        <w:br w:type="textWrapping"/>
      </w:r>
      <w:r>
        <w:rPr>
          <w:rStyle w:val="VerbatimChar"/>
        </w:rPr>
        <w:t xml:space="preserve">##  $ foreign: Factor w/ 2 levels "Domestic","Foreign": 1 1 1 1 1 1 1 1 1 1 ...</w:t>
      </w:r>
    </w:p>
    <w:p>
      <w:pPr>
        <w:pStyle w:val="SourceCode"/>
      </w:pPr>
      <w:r>
        <w:rPr>
          <w:rStyle w:val="NormalTok"/>
        </w:rPr>
        <w:t xml:space="preserve">auto_logit &lt;-</w:t>
      </w:r>
      <w:r>
        <w:rPr>
          <w:rStyle w:val="StringTok"/>
        </w:rPr>
        <w:t xml:space="preserve"> </w:t>
      </w:r>
      <w:r>
        <w:rPr>
          <w:rStyle w:val="KeywordTok"/>
        </w:rPr>
        <w:t xml:space="preserve">glm</w:t>
      </w:r>
      <w:r>
        <w:rPr>
          <w:rStyle w:val="NormalTok"/>
        </w:rPr>
        <w:t xml:space="preserve">(foreign </w:t>
      </w:r>
      <w:r>
        <w:rPr>
          <w:rStyle w:val="OperatorTok"/>
        </w:rPr>
        <w:t xml:space="preserve">~</w:t>
      </w:r>
      <w:r>
        <w:rPr>
          <w:rStyle w:val="StringTok"/>
        </w:rPr>
        <w:t xml:space="preserve"> </w:t>
      </w:r>
      <w:r>
        <w:rPr>
          <w:rStyle w:val="NormalTok"/>
        </w:rPr>
        <w:t xml:space="preserve">weight</w:t>
      </w:r>
      <w:r>
        <w:rPr>
          <w:rStyle w:val="OperatorTok"/>
        </w:rPr>
        <w:t xml:space="preserve">+</w:t>
      </w:r>
      <w:r>
        <w:rPr>
          <w:rStyle w:val="NormalTok"/>
        </w:rPr>
        <w:t xml:space="preserve">mpg, </w:t>
      </w:r>
      <w:r>
        <w:rPr>
          <w:rStyle w:val="DataTypeTok"/>
        </w:rPr>
        <w:t xml:space="preserve">data =</w:t>
      </w:r>
      <w:r>
        <w:rPr>
          <w:rStyle w:val="NormalTok"/>
        </w:rPr>
        <w:t xml:space="preserve"> auto, </w:t>
      </w:r>
      <w:r>
        <w:rPr>
          <w:rStyle w:val="DataTypeTok"/>
        </w:rPr>
        <w:t xml:space="preserve">family =</w:t>
      </w:r>
      <w:r>
        <w:rPr>
          <w:rStyle w:val="NormalTok"/>
        </w:rPr>
        <w:t xml:space="preserve"> </w:t>
      </w:r>
      <w:r>
        <w:rPr>
          <w:rStyle w:val="KeywordTok"/>
        </w:rPr>
        <w:t xml:space="preserve">binomial</w:t>
      </w:r>
      <w:r>
        <w:rPr>
          <w:rStyle w:val="NormalTok"/>
        </w:rPr>
        <w:t xml:space="preserve">())</w:t>
      </w:r>
      <w:r>
        <w:br w:type="textWrapping"/>
      </w:r>
      <w:r>
        <w:rPr>
          <w:rStyle w:val="KeywordTok"/>
        </w:rPr>
        <w:t xml:space="preserve">summary</w:t>
      </w:r>
      <w:r>
        <w:rPr>
          <w:rStyle w:val="NormalTok"/>
        </w:rPr>
        <w:t xml:space="preserve">(auto_logit)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foreign ~ weight + mpg, family = binomial(), data = auto)</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-2.0436  -0.4285  -0.2207   0.5347   2.0679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13.708367   4.518709   3.034 0.002416 ** </w:t>
      </w:r>
      <w:r>
        <w:br w:type="textWrapping"/>
      </w:r>
      <w:r>
        <w:rPr>
          <w:rStyle w:val="VerbatimChar"/>
        </w:rPr>
        <w:t xml:space="preserve">## weight      -0.003907   0.001012  -3.862 0.000113 ***</w:t>
      </w:r>
      <w:r>
        <w:br w:type="textWrapping"/>
      </w:r>
      <w:r>
        <w:rPr>
          <w:rStyle w:val="VerbatimChar"/>
        </w:rPr>
        <w:t xml:space="preserve">## mpg         -0.168587   0.091917  -1.834 0.066637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90.066  on 73  degrees of freedom</w:t>
      </w:r>
      <w:r>
        <w:br w:type="textWrapping"/>
      </w:r>
      <w:r>
        <w:rPr>
          <w:rStyle w:val="VerbatimChar"/>
        </w:rPr>
        <w:t xml:space="preserve">## Residual deviance: 54.350  on 71  degrees of freedom</w:t>
      </w:r>
      <w:r>
        <w:br w:type="textWrapping"/>
      </w:r>
      <w:r>
        <w:rPr>
          <w:rStyle w:val="VerbatimChar"/>
        </w:rPr>
        <w:t xml:space="preserve">## AIC: 60.35</w:t>
      </w:r>
      <w:r>
        <w:br w:type="textWrapping"/>
      </w:r>
      <w:r>
        <w:rPr>
          <w:rStyle w:val="VerbatimChar"/>
        </w:rPr>
        <w:t xml:space="preserve">## </w:t>
      </w:r>
      <w:r>
        <w:br w:type="textWrapping"/>
      </w:r>
      <w:r>
        <w:rPr>
          <w:rStyle w:val="VerbatimChar"/>
        </w:rPr>
        <w:t xml:space="preserve">## Number of Fisher Scoring iterations: 6</w:t>
      </w:r>
    </w:p>
    <w:p>
      <w:pPr>
        <w:pStyle w:val="Heading5"/>
      </w:pPr>
      <w:bookmarkStart w:id="27" w:name="解答逻辑回归模型为textlogitpi_i-logleftfracpi_i1---pi_iright-beta_0-beta_textweight-weight_i-beta_textmpg-mpg_i.其中pi_i是第i个观测为foreign车的概率textlogitpi_ilogleftfracpi_i1---pi_iright是第i个观测为foreign车的优势的自然对数1beta_textweight对应的p值等于0.000113因此在alpha0.05的显著性水平上我们推翻beta_textweight0的原假设因此我们得出weight变量值得被引入到模型中的结论beta_textmpg对应的p值等于0.066637因此在alpha0.05的显著性水平上我们不能推翻beta_textmpg0的原假设因此我们得出mpg变量不值得被引入到模型中的结论2基于如上使用mpg和weight两个自变量的模型我们对显著的回归系数的解释如下注不显著的回归系数因为不能推翻其为0的原假设所以可以不用进行解释了hatbeta_textweight-0.003907即exphatbeta_textweightexp-0.0039070.9961006所以基于我们的数据在其他变量的值不变的情况下我们估计weight每增加1磅车为foreign车的优势变为原来的99.6这个结论在0.05的显著性水平上显著"/>
      <w:bookmarkEnd w:id="27"/>
      <w:r>
        <w:t xml:space="preserve">解答：逻辑回归模型为:</w:t>
      </w:r>
      <m:oMath>
        <m:r>
          <m:rPr>
            <m:sty m:val="p"/>
          </m:rPr>
          <m:t>logit</m:t>
        </m:r>
        <m:r>
          <m:t>(</m:t>
        </m:r>
        <m:sSub>
          <m:e>
            <m:r>
              <m:t>π</m:t>
            </m:r>
          </m:e>
          <m:sub>
            <m:r>
              <m:t>i</m:t>
            </m:r>
          </m:sub>
        </m:sSub>
        <m:r>
          <m:t>)</m:t>
        </m:r>
        <m:r>
          <m:t>=</m:t>
        </m:r>
        <m:r>
          <m:rPr>
            <m:sty m:val="p"/>
          </m:rPr>
          <m:t>log</m:t>
        </m:r>
        <m:d>
          <m:dPr>
            <m:begChr m:val="("/>
            <m:endChr m:val=")"/>
            <m:grow/>
          </m:dPr>
          <m:e>
            <m:f>
              <m:fPr>
                <m:type m:val="bar"/>
              </m:fPr>
              <m:num>
                <m:sSub>
                  <m:e>
                    <m:r>
                      <m:t>π</m:t>
                    </m:r>
                  </m:e>
                  <m:sub>
                    <m:r>
                      <m:t>i</m:t>
                    </m:r>
                  </m:sub>
                </m:sSub>
              </m:num>
              <m:den>
                <m:r>
                  <m:t>1</m:t>
                </m:r>
                <m:r>
                  <m:t>−</m:t>
                </m:r>
                <m:sSub>
                  <m:e>
                    <m:r>
                      <m:t>π</m:t>
                    </m:r>
                  </m:e>
                  <m:sub>
                    <m:r>
                      <m:t>i</m:t>
                    </m:r>
                  </m:sub>
                </m:sSub>
              </m:den>
            </m:f>
          </m:e>
        </m:d>
        <m:r>
          <m:t>=</m:t>
        </m:r>
        <m:sSub>
          <m:e>
            <m:r>
              <m:t>β</m:t>
            </m:r>
          </m:e>
          <m:sub>
            <m:r>
              <m:t>0</m:t>
            </m:r>
          </m:sub>
        </m:sSub>
        <m:r>
          <m:t>+</m:t>
        </m:r>
        <m:sSub>
          <m:e>
            <m:r>
              <m:t>β</m:t>
            </m:r>
          </m:e>
          <m:sub>
            <m:r>
              <m:rPr>
                <m:sty m:val="p"/>
              </m:rPr>
              <m:t>weight</m:t>
            </m:r>
          </m:sub>
        </m:sSub>
        <m:r>
          <m:t>w</m:t>
        </m:r>
        <m:r>
          <m:t>e</m:t>
        </m:r>
        <m:r>
          <m:t>i</m:t>
        </m:r>
        <m:r>
          <m:t>g</m:t>
        </m:r>
        <m:r>
          <m:t>h</m:t>
        </m:r>
        <m:sSub>
          <m:e>
            <m:r>
              <m:t>t</m:t>
            </m:r>
          </m:e>
          <m:sub>
            <m:r>
              <m:t>i</m:t>
            </m:r>
          </m:sub>
        </m:sSub>
        <m:r>
          <m:t>+</m:t>
        </m:r>
        <m:sSub>
          <m:e>
            <m:r>
              <m:t>β</m:t>
            </m:r>
          </m:e>
          <m:sub>
            <m:r>
              <m:rPr>
                <m:sty m:val="p"/>
              </m:rPr>
              <m:t>mpg</m:t>
            </m:r>
          </m:sub>
        </m:sSub>
        <m:r>
          <m:t>m</m:t>
        </m:r>
        <m:r>
          <m:t>p</m:t>
        </m:r>
        <m:sSub>
          <m:e>
            <m:r>
              <m:t>g</m:t>
            </m:r>
          </m:e>
          <m:sub>
            <m:r>
              <m:t>i</m:t>
            </m:r>
          </m:sub>
        </m:sSub>
      </m:oMath>
      <w:r>
        <w:t xml:space="preserve">.其中</w:t>
      </w:r>
      <m:oMath>
        <m:sSub>
          <m:e>
            <m:r>
              <m:t>π</m:t>
            </m:r>
          </m:e>
          <m:sub>
            <m:r>
              <m:t>i</m:t>
            </m:r>
          </m:sub>
        </m:sSub>
      </m:oMath>
      <w:r>
        <w:t xml:space="preserve">是</w:t>
      </w:r>
      <w:r>
        <w:t xml:space="preserve">“</w:t>
      </w:r>
      <w:r>
        <w:t xml:space="preserve">第</w:t>
      </w:r>
      <m:oMath>
        <m:r>
          <m:t>i</m:t>
        </m:r>
      </m:oMath>
      <w:r>
        <w:t xml:space="preserve">个观测为Foreign车</w:t>
      </w:r>
      <w:r>
        <w:t xml:space="preserve">”</w:t>
      </w:r>
      <w:r>
        <w:t xml:space="preserve">的概率。</w:t>
      </w:r>
      <m:oMath>
        <m:r>
          <m:rPr>
            <m:sty m:val="p"/>
          </m:rPr>
          <m:t>logit</m:t>
        </m:r>
        <m:r>
          <m:t>(</m:t>
        </m:r>
        <m:sSub>
          <m:e>
            <m:r>
              <m:t>π</m:t>
            </m:r>
          </m:e>
          <m:sub>
            <m:r>
              <m:t>i</m:t>
            </m:r>
          </m:sub>
        </m:sSub>
        <m:r>
          <m:t>)</m:t>
        </m:r>
        <m:r>
          <m:t>=</m:t>
        </m:r>
        <m:r>
          <m:rPr>
            <m:sty m:val="p"/>
          </m:rPr>
          <m:t>log</m:t>
        </m:r>
        <m:d>
          <m:dPr>
            <m:begChr m:val="("/>
            <m:endChr m:val=")"/>
            <m:grow/>
          </m:dPr>
          <m:e>
            <m:f>
              <m:fPr>
                <m:type m:val="bar"/>
              </m:fPr>
              <m:num>
                <m:sSub>
                  <m:e>
                    <m:r>
                      <m:t>π</m:t>
                    </m:r>
                  </m:e>
                  <m:sub>
                    <m:r>
                      <m:t>i</m:t>
                    </m:r>
                  </m:sub>
                </m:sSub>
              </m:num>
              <m:den>
                <m:r>
                  <m:t>1</m:t>
                </m:r>
                <m:r>
                  <m:t>−</m:t>
                </m:r>
                <m:sSub>
                  <m:e>
                    <m:r>
                      <m:t>π</m:t>
                    </m:r>
                  </m:e>
                  <m:sub>
                    <m:r>
                      <m:t>i</m:t>
                    </m:r>
                  </m:sub>
                </m:sSub>
              </m:den>
            </m:f>
          </m:e>
        </m:d>
      </m:oMath>
      <w:r>
        <w:t xml:space="preserve">是</w:t>
      </w:r>
      <w:r>
        <w:t xml:space="preserve">“</w:t>
      </w:r>
      <w:r>
        <w:t xml:space="preserve">第</w:t>
      </w:r>
      <m:oMath>
        <m:r>
          <m:t>i</m:t>
        </m:r>
      </m:oMath>
      <w:r>
        <w:t xml:space="preserve">个观测为Foreign车</w:t>
      </w:r>
      <w:r>
        <w:t xml:space="preserve">”</w:t>
      </w:r>
      <w:r>
        <w:t xml:space="preserve">的优势的自然对数。（1）</w:t>
      </w:r>
      <m:oMath>
        <m:sSub>
          <m:e>
            <m:r>
              <m:t>β</m:t>
            </m:r>
          </m:e>
          <m:sub>
            <m:r>
              <m:rPr>
                <m:sty m:val="p"/>
              </m:rPr>
              <m:t>weight</m:t>
            </m:r>
          </m:sub>
        </m:sSub>
      </m:oMath>
      <w:r>
        <w:t xml:space="preserve">对应的p值等于0.000113，因此在</w:t>
      </w:r>
      <m:oMath>
        <m:r>
          <m:t>α</m:t>
        </m:r>
        <m:r>
          <m:t>=</m:t>
        </m:r>
        <m:r>
          <m:t>0.05</m:t>
        </m:r>
      </m:oMath>
      <w:r>
        <w:t xml:space="preserve">的显著性水平上，我们推翻</w:t>
      </w:r>
      <m:oMath>
        <m:sSub>
          <m:e>
            <m:r>
              <m:t>β</m:t>
            </m:r>
          </m:e>
          <m:sub>
            <m:r>
              <m:rPr>
                <m:sty m:val="p"/>
              </m:rPr>
              <m:t>weight</m:t>
            </m:r>
          </m:sub>
        </m:sSub>
        <m:r>
          <m:t>=</m:t>
        </m:r>
        <m:r>
          <m:t>0</m:t>
        </m:r>
      </m:oMath>
      <w:r>
        <w:t xml:space="preserve">的原假设，因此我们得出weight变量值得被引入到模型中的结论。</w:t>
      </w:r>
      <m:oMath>
        <m:sSub>
          <m:e>
            <m:r>
              <m:t>β</m:t>
            </m:r>
          </m:e>
          <m:sub>
            <m:r>
              <m:rPr>
                <m:sty m:val="p"/>
              </m:rPr>
              <m:t>mpg</m:t>
            </m:r>
          </m:sub>
        </m:sSub>
      </m:oMath>
      <w:r>
        <w:t xml:space="preserve">对应的p值等于0.066637，因此在</w:t>
      </w:r>
      <m:oMath>
        <m:r>
          <m:t>α</m:t>
        </m:r>
        <m:r>
          <m:t>=</m:t>
        </m:r>
        <m:r>
          <m:t>0.05</m:t>
        </m:r>
      </m:oMath>
      <w:r>
        <w:t xml:space="preserve">的显著性水平上，我们不能推翻</w:t>
      </w:r>
      <m:oMath>
        <m:sSub>
          <m:e>
            <m:r>
              <m:t>β</m:t>
            </m:r>
          </m:e>
          <m:sub>
            <m:r>
              <m:rPr>
                <m:sty m:val="p"/>
              </m:rPr>
              <m:t>mpg</m:t>
            </m:r>
          </m:sub>
        </m:sSub>
        <m:r>
          <m:t>=</m:t>
        </m:r>
        <m:r>
          <m:t>0</m:t>
        </m:r>
      </m:oMath>
      <w:r>
        <w:t xml:space="preserve">的原假设，因此我们得出mpg变量不值得被引入到模型中的结论。（2）基于如上使用</w:t>
      </w:r>
      <w:r>
        <w:t xml:space="preserve">“</w:t>
      </w:r>
      <w:r>
        <w:t xml:space="preserve">mpg</w:t>
      </w:r>
      <w:r>
        <w:t xml:space="preserve">”</w:t>
      </w:r>
      <w:r>
        <w:t xml:space="preserve">和</w:t>
      </w:r>
      <w:r>
        <w:t xml:space="preserve">“</w:t>
      </w:r>
      <w:r>
        <w:t xml:space="preserve">weight</w:t>
      </w:r>
      <w:r>
        <w:t xml:space="preserve">”</w:t>
      </w:r>
      <w:r>
        <w:t xml:space="preserve">两个自变量的模型，我们对显著的回归系数的解释如下（注：不显著的回归系数因为不能推翻其为0的原假设，所以可以不用进行解释了）：</w:t>
      </w:r>
      <m:oMath>
        <m:sSub>
          <m:e>
            <m:groupChr>
              <m:groupChrPr>
                <m:chr m:val="^"/>
                <m:pos m:val="top"/>
                <m:vertJc m:val="bot"/>
              </m:groupChrPr>
              <m:e>
                <m:r>
                  <m:t>β</m:t>
                </m:r>
              </m:e>
            </m:groupChr>
          </m:e>
          <m:sub>
            <m:r>
              <m:rPr>
                <m:sty m:val="p"/>
              </m:rPr>
              <m:t>weight</m:t>
            </m:r>
          </m:sub>
        </m:sSub>
        <m:r>
          <m:t>=</m:t>
        </m:r>
        <m:r>
          <m:t>−</m:t>
        </m:r>
        <m:r>
          <m:t>0.003907</m:t>
        </m:r>
      </m:oMath>
      <w:r>
        <w:t xml:space="preserve">,即</w:t>
      </w:r>
      <m:oMath>
        <m:r>
          <m:rPr>
            <m:sty m:val="p"/>
          </m:rPr>
          <m:t>exp</m:t>
        </m:r>
        <m:r>
          <m:t>(</m:t>
        </m:r>
        <m:sSub>
          <m:e>
            <m:groupChr>
              <m:groupChrPr>
                <m:chr m:val="^"/>
                <m:pos m:val="top"/>
                <m:vertJc m:val="bot"/>
              </m:groupChrPr>
              <m:e>
                <m:r>
                  <m:t>β</m:t>
                </m:r>
              </m:e>
            </m:groupChr>
          </m:e>
          <m:sub>
            <m:r>
              <m:rPr>
                <m:sty m:val="p"/>
              </m:rPr>
              <m:t>weight</m:t>
            </m:r>
          </m:sub>
        </m:sSub>
        <m:r>
          <m:t>)</m:t>
        </m:r>
        <m:r>
          <m:t>=</m:t>
        </m:r>
        <m:r>
          <m:rPr>
            <m:sty m:val="p"/>
          </m:rPr>
          <m:t>exp</m:t>
        </m:r>
        <m:r>
          <m:t>(</m:t>
        </m:r>
        <m:r>
          <m:t>−</m:t>
        </m:r>
        <m:r>
          <m:t>0.003907</m:t>
        </m:r>
        <m:r>
          <m:t>)</m:t>
        </m:r>
        <m:r>
          <m:t>=</m:t>
        </m:r>
        <m:r>
          <m:t>0.9961006</m:t>
        </m:r>
      </m:oMath>
      <w:r>
        <w:t xml:space="preserve">,所以，基于我们的数据，在其他变量的值不变的情况下，我们估计weight每增加1磅，</w:t>
      </w:r>
      <w:r>
        <w:t xml:space="preserve">“</w:t>
      </w:r>
      <w:r>
        <w:t xml:space="preserve">车为Foreign车</w:t>
      </w:r>
      <w:r>
        <w:t xml:space="preserve">”</w:t>
      </w:r>
      <w:r>
        <w:t xml:space="preserve">的优势变为原来的99.6%,这个结论在0.05的显著性水平上显著。</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e1df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R语言-随堂实验作业16</dc:title>
  <dc:creator/>
  <dcterms:created xsi:type="dcterms:W3CDTF">2019-12-22T12:52:14Z</dcterms:created>
  <dcterms:modified xsi:type="dcterms:W3CDTF">2019-12-22T12:52:14Z</dcterms:modified>
</cp:coreProperties>
</file>