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1635"/>
        <w:gridCol w:w="1923"/>
        <w:gridCol w:w="920"/>
        <w:gridCol w:w="1534"/>
        <w:gridCol w:w="2941"/>
      </w:tblGrid>
      <w:tr>
        <w:trPr>
          <w:trHeight w:hRule="atleast" w:val="1390"/>
          <w:tblHeader/>
        </w:trPr>
        <w:tc>
          <w:tcPr>
            <w:tcW w:type="dxa" w:w="8953"/>
            <w:tcMar>
              <w:left w:w="108" w:type="dxa"/>
              <w:right w:w="10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b w:val="1"/>
                <w:color w:val="000000"/>
                <w:sz w:val="24"/>
                <w:szCs w:val="24"/>
                <w:rFonts w:ascii="한양신명조" w:eastAsia="한양신명조" w:hAnsi="한양신명조" w:cs="한양신명조"/>
              </w:rPr>
            </w:pPr>
          </w:p>
          <w:p>
            <w:pPr>
              <w:pStyle w:val="PO151"/>
              <w:jc w:val="center"/>
              <w:spacing w:lineRule="auto" w:line="235"/>
              <w:ind w:left="0" w:firstLine="0"/>
              <w:rPr>
                <w:b w:val="1"/>
                <w:color w:val="000000"/>
                <w:sz w:val="24"/>
                <w:szCs w:val="24"/>
                <w:rFonts w:ascii="한양신명조" w:eastAsia="한양신명조" w:hAnsi="한양신명조" w:cs="한양신명조" w:hint="eastAsia"/>
              </w:rPr>
            </w:pPr>
            <w:r>
              <w:rPr>
                <w:b w:val="1"/>
                <w:color w:val="000000"/>
                <w:sz w:val="24"/>
                <w:szCs w:val="24"/>
                <w:rFonts w:ascii="한양신명조" w:eastAsia="한양신명조" w:hAnsi="한양신명조" w:cs="한양신명조"/>
              </w:rPr>
              <w:t xml:space="preserve">2022- 2 학기 Midterm Report</w:t>
            </w:r>
          </w:p>
          <w:p>
            <w:pPr>
              <w:pStyle w:val="PO151"/>
              <w:jc w:val="center"/>
              <w:spacing w:lineRule="auto" w:line="235"/>
              <w:ind w:left="0" w:firstLine="0"/>
              <w:rPr>
                <w:b w:val="1"/>
                <w:color w:val="000000"/>
                <w:sz w:val="24"/>
                <w:szCs w:val="24"/>
                <w:rFonts w:ascii="한양신명조" w:eastAsia="한양신명조" w:hAnsi="한양신명조" w:cs="한양신명조"/>
              </w:rPr>
            </w:pPr>
          </w:p>
        </w:tc>
      </w:tr>
      <w:tr>
        <w:trPr>
          <w:trHeight w:hRule="atleast" w:val="663"/>
        </w:trPr>
        <w:tc>
          <w:tcPr>
            <w:tcW w:type="dxa" w:w="1635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교과목명</w:t>
            </w:r>
          </w:p>
        </w:tc>
        <w:tc>
          <w:tcPr>
            <w:tcW w:type="dxa" w:w="284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굴림" w:eastAsia="굴림" w:hAnsi="굴림" w:cs="굴림"/>
              </w:rPr>
              <w:wordWrap w:val="0"/>
            </w:pPr>
            <w:r>
              <w:rPr>
                <w:color w:val="000000"/>
                <w:rFonts w:ascii="굴림" w:eastAsia="굴림" w:hAnsi="굴림" w:cs="굴림"/>
              </w:rPr>
              <w:t>창직종합설계프로젝트1</w:t>
            </w:r>
            <w:r>
              <w:rPr>
                <w:color w:val="auto"/>
                <w:rFonts w:ascii="맑은 고딕" w:eastAsia="맑은 고딕" w:hAnsi="맑은 고딕" w:cs="맑은 고딕"/>
              </w:rPr>
              <w:br/>
            </w:r>
            <w:r>
              <w:rPr>
                <w:color w:val="000000"/>
                <w:rFonts w:ascii="굴림" w:eastAsia="굴림" w:hAnsi="굴림" w:cs="굴림"/>
              </w:rPr>
              <w:t>PROJECT1</w:t>
            </w:r>
          </w:p>
        </w:tc>
        <w:tc>
          <w:tcPr>
            <w:tcW w:type="dxa" w:w="1534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교과목번호</w:t>
            </w:r>
          </w:p>
        </w:tc>
        <w:tc>
          <w:tcPr>
            <w:tcW w:type="dxa" w:w="2941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굴림" w:eastAsia="굴림" w:hAnsi="굴림" w:cs="굴림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 xml:space="preserve"> </w:t>
            </w:r>
            <w:r>
              <w:rPr>
                <w:color w:val="000000"/>
                <w:rFonts w:ascii="굴림" w:eastAsia="굴림" w:hAnsi="굴림" w:cs="굴림"/>
              </w:rPr>
              <w:t xml:space="preserve">101811 - 4</w:t>
            </w:r>
          </w:p>
        </w:tc>
      </w:tr>
      <w:tr>
        <w:trPr>
          <w:trHeight w:hRule="atleast" w:val="409"/>
        </w:trPr>
        <w:tc>
          <w:tcPr>
            <w:tcW w:type="dxa" w:w="1635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학점(설계)/시수</w:t>
            </w:r>
          </w:p>
        </w:tc>
        <w:tc>
          <w:tcPr>
            <w:tcW w:type="dxa" w:w="7318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 xml:space="preserve">3 / Mon(10), Wed(10), Thu(10)</w:t>
            </w:r>
          </w:p>
        </w:tc>
      </w:tr>
      <w:tr>
        <w:trPr>
          <w:trHeight w:hRule="atleast" w:val="409"/>
        </w:trPr>
        <w:tc>
          <w:tcPr>
            <w:tcW w:type="dxa" w:w="1635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개설학과(학년)</w:t>
            </w:r>
          </w:p>
        </w:tc>
        <w:tc>
          <w:tcPr>
            <w:tcW w:type="dxa" w:w="284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4</w:t>
            </w:r>
          </w:p>
        </w:tc>
        <w:tc>
          <w:tcPr>
            <w:tcW w:type="dxa" w:w="1534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담당교수</w:t>
            </w:r>
          </w:p>
        </w:tc>
        <w:tc>
          <w:tcPr>
            <w:tcW w:type="dxa" w:w="2941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굴림" w:eastAsia="굴림" w:hAnsi="굴림" w:cs="굴림"/>
              </w:rPr>
              <w:wordWrap w:val="0"/>
            </w:pPr>
            <w:r>
              <w:rPr>
                <w:color w:val="000000"/>
                <w:rFonts w:ascii="굴림" w:eastAsia="굴림" w:hAnsi="굴림" w:cs="굴림"/>
              </w:rPr>
              <w:t xml:space="preserve">Junyong Lee</w:t>
            </w:r>
          </w:p>
        </w:tc>
      </w:tr>
      <w:tr>
        <w:trPr>
          <w:trHeight w:hRule="atleast" w:val="409"/>
        </w:trPr>
        <w:tc>
          <w:tcPr>
            <w:tcW w:type="dxa" w:w="1635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과제명</w:t>
            </w:r>
          </w:p>
        </w:tc>
        <w:tc>
          <w:tcPr>
            <w:tcW w:type="dxa" w:w="7318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shd w:val="clear" w:color="000000" w:fill="FDFDFD"/>
                <w:rFonts w:ascii="Helvetica"/>
              </w:rPr>
              <w:wordWrap w:val="0"/>
            </w:pPr>
            <w:r>
              <w:rPr>
                <w:color w:val="000000"/>
                <w:shd w:val="clear" w:color="000000" w:fill="FDFDFD"/>
                <w:rFonts w:ascii="Helvetica"/>
              </w:rPr>
              <w:t xml:space="preserve">recognize faces and recommend advertisements.</w:t>
            </w:r>
          </w:p>
        </w:tc>
      </w:tr>
      <w:tr>
        <w:trPr>
          <w:trHeight w:hRule="atleast" w:val="409"/>
        </w:trPr>
        <w:tc>
          <w:tcPr>
            <w:tcW w:type="dxa" w:w="1635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팀원</w:t>
            </w:r>
          </w:p>
        </w:tc>
        <w:tc>
          <w:tcPr>
            <w:tcW w:type="dxa" w:w="192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color w:val="000000"/>
                <w:rFonts w:ascii="한양신명조" w:eastAsia="한양신명조" w:hAnsi="한양신명조" w:cs="한양신명조"/>
              </w:rPr>
              <w:t>학번</w:t>
            </w:r>
          </w:p>
        </w:tc>
        <w:tc>
          <w:tcPr>
            <w:tcW w:type="dxa" w:w="2454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color w:val="000000"/>
                <w:rFonts w:ascii="한양신명조" w:eastAsia="한양신명조" w:hAnsi="한양신명조" w:cs="한양신명조"/>
              </w:rPr>
              <w:t>이름</w:t>
            </w:r>
          </w:p>
        </w:tc>
        <w:tc>
          <w:tcPr>
            <w:tcW w:type="dxa" w:w="2941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color w:val="000000"/>
                <w:rFonts w:ascii="한양신명조" w:eastAsia="한양신명조" w:hAnsi="한양신명조" w:cs="한양신명조"/>
              </w:rPr>
              <w:t>연락처/e-mail</w:t>
            </w:r>
          </w:p>
        </w:tc>
      </w:tr>
      <w:tr>
        <w:trPr>
          <w:trHeight w:hRule="atleast" w:val="823"/>
        </w:trPr>
        <w:tc>
          <w:tcPr>
            <w:tcW w:type="dxa" w:w="1635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/>
        </w:tc>
        <w:tc>
          <w:tcPr>
            <w:tcW w:type="dxa" w:w="192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B711069</w:t>
            </w:r>
          </w:p>
        </w:tc>
        <w:tc>
          <w:tcPr>
            <w:tcW w:type="dxa" w:w="2454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박선형</w:t>
            </w:r>
          </w:p>
        </w:tc>
        <w:tc>
          <w:tcPr>
            <w:tcW w:type="dxa" w:w="2941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010-5026-1897/</w:t>
            </w:r>
          </w:p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byjs0908@naver.com</w:t>
            </w:r>
          </w:p>
        </w:tc>
      </w:tr>
      <w:tr>
        <w:trPr>
          <w:trHeight w:hRule="atleast" w:val="823"/>
        </w:trPr>
        <w:tc>
          <w:tcPr>
            <w:tcW w:type="dxa" w:w="1635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/>
        </w:tc>
        <w:tc>
          <w:tcPr>
            <w:tcW w:type="dxa" w:w="192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B711134</w:t>
            </w:r>
          </w:p>
        </w:tc>
        <w:tc>
          <w:tcPr>
            <w:tcW w:type="dxa" w:w="2454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이승환</w:t>
            </w:r>
          </w:p>
        </w:tc>
        <w:tc>
          <w:tcPr>
            <w:tcW w:type="dxa" w:w="2941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010-9135-4481/</w:t>
            </w:r>
          </w:p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 w:hint="eastAsia"/>
              </w:rPr>
              <w:t>d</w:t>
            </w:r>
            <w:r>
              <w:rPr>
                <w:color w:val="000000"/>
                <w:rFonts w:ascii="한양신명조" w:eastAsia="한양신명조" w:hAnsi="한양신명조" w:cs="한양신명조"/>
              </w:rPr>
              <w:t>evseung@g.hongik.ac.kr</w:t>
            </w:r>
          </w:p>
        </w:tc>
      </w:tr>
      <w:tr>
        <w:trPr>
          <w:trHeight w:hRule="atleast" w:val="823"/>
        </w:trPr>
        <w:tc>
          <w:tcPr>
            <w:tcW w:type="dxa" w:w="1635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/>
        </w:tc>
        <w:tc>
          <w:tcPr>
            <w:tcW w:type="dxa" w:w="192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B711211</w:t>
            </w:r>
          </w:p>
        </w:tc>
        <w:tc>
          <w:tcPr>
            <w:tcW w:type="dxa" w:w="2454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허민욱</w:t>
            </w:r>
          </w:p>
        </w:tc>
        <w:tc>
          <w:tcPr>
            <w:tcW w:type="dxa" w:w="2941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010-8734-2429/</w:t>
            </w:r>
          </w:p>
          <w:p>
            <w:pPr>
              <w:pStyle w:val="PO151"/>
              <w:spacing w:lineRule="auto" w:line="235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hmw1022@naver.com</w:t>
            </w:r>
          </w:p>
        </w:tc>
      </w:tr>
      <w:tr>
        <w:trPr>
          <w:trHeight w:hRule="atleast" w:val="823"/>
        </w:trPr>
        <w:tc>
          <w:tcPr>
            <w:tcW w:type="dxa" w:w="8953"/>
            <w:tcMar>
              <w:left w:w="108" w:type="dxa"/>
              <w:right w:w="10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jc w:val="center"/>
              <w:spacing w:lineRule="auto" w:line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목   차</w:t>
            </w:r>
          </w:p>
          <w:p>
            <w:pPr>
              <w:jc w:val="left"/>
              <w:spacing w:lineRule="auto" w:line="227"/>
              <w:rPr>
                <w:spacing w:val="0"/>
                <w:b w:val="1"/>
                <w:shadow w:val="0"/>
                <w:color w:val="C75252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24"/>
                <w:szCs w:val="24"/>
              </w:rPr>
              <w:t xml:space="preserve"> 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Ⅰ. </w:t>
            </w: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Introduction</w:t>
            </w: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Ⅱ. Review of 2022-1</w:t>
            </w: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Ⅲ. </w:t>
            </w: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Progress.</w:t>
            </w: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br/>
            </w: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     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Ⅰ. Making Kafka Cluster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br/>
            </w: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     Ⅱ. Making Producer Server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br/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   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br/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     Ⅲ. Making Conumser Server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br/>
            </w: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     </w:t>
            </w:r>
            <w:r>
              <w:rPr>
                <w:spacing w:val="0"/>
                <w:i w:val="0"/>
                <w:b w:val="1"/>
                <w:color w:val="111111"/>
                <w:sz w:val="20"/>
                <w:szCs w:val="20"/>
                <w:shd w:val="clear" w:fill="FFFFFF"/>
                <w:rFonts w:ascii="맑은 고딕" w:eastAsia="맑은 고딕" w:hAnsi="맑은 고딕" w:cs="맑은 고딕"/>
              </w:rPr>
              <w:t xml:space="preserve">Ⅳ. Client</w:t>
            </w: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22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  <w:r>
              <w:rPr>
                <w:spacing w:val="0"/>
                <w:i w:val="0"/>
                <w:b w:val="1"/>
                <w:color w:val="111111"/>
                <w:sz w:val="20"/>
                <w:szCs w:val="20"/>
                <w:shd w:val="clear" w:fill="FFFFFF"/>
                <w:rFonts w:ascii="맑은 고딕" w:eastAsia="맑은 고딕" w:hAnsi="맑은 고딕" w:cs="맑은 고딕"/>
              </w:rPr>
              <w:br/>
            </w:r>
            <w:r>
              <w:rPr>
                <w:color w:val="auto"/>
                <w:sz w:val="22"/>
                <w:szCs w:val="22"/>
                <w:rFonts w:ascii="나눔고딕" w:eastAsia="나눔고딕" w:hAnsi="나눔고딕" w:cs="나눔고딕"/>
              </w:rPr>
              <w:t xml:space="preserve"> </w:t>
            </w:r>
            <w:r>
              <w:rPr>
                <w:spacing w:val="0"/>
                <w:i w:val="0"/>
                <w:b w:val="1"/>
                <w:color w:val="111111"/>
                <w:sz w:val="20"/>
                <w:szCs w:val="20"/>
                <w:shd w:val="clear" w:fill="FFFFFF"/>
                <w:rFonts w:ascii="맑은 고딕" w:eastAsia="맑은 고딕" w:hAnsi="맑은 고딕" w:cs="맑은 고딕"/>
              </w:rPr>
              <w:t>Ⅳ.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What to do in Rest of 2022-2</w:t>
            </w: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left="0" w:right="0" w:firstLine="22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br/>
            </w: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   </w:t>
            </w:r>
            <w:r>
              <w:rPr/>
              <w:br/>
            </w:r>
            <w:r>
              <w:rPr>
                <w:spacing w:val="0"/>
                <w:i w:val="0"/>
                <w:b w:val="1"/>
                <w:color w:val="000000"/>
                <w:sz w:val="20"/>
                <w:szCs w:val="20"/>
                <w:shd w:val="clear" w:fill="FFFFFF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pacing w:val="0"/>
                <w:i w:val="0"/>
                <w:b w:val="1"/>
                <w:color w:val="000000"/>
                <w:sz w:val="20"/>
                <w:szCs w:val="20"/>
                <w:shd w:val="clear" w:fill="FFFFFF"/>
                <w:rFonts w:ascii="맑은 고딕" w:eastAsia="맑은 고딕" w:hAnsi="맑은 고딕" w:cs="맑은 고딕"/>
              </w:rPr>
              <w:t>V</w:t>
            </w:r>
            <w:r>
              <w:rPr>
                <w:spacing w:val="0"/>
                <w:i w:val="0"/>
                <w:b w:val="1"/>
                <w:color w:val="000000"/>
                <w:sz w:val="20"/>
                <w:szCs w:val="20"/>
                <w:shd w:val="clear" w:fill="FFFFFF"/>
                <w:rFonts w:ascii="맑은 고딕" w:eastAsia="맑은 고딕" w:hAnsi="맑은 고딕" w:cs="맑은 고딕"/>
                <w:lang w:eastAsia="ko-KR"/>
              </w:rPr>
              <w:t xml:space="preserve">. </w:t>
            </w:r>
            <w:r>
              <w:rPr>
                <w:b w:val="1"/>
                <w:rFonts w:hint="eastAsia"/>
                <w:lang w:eastAsia="ko-KR"/>
              </w:rPr>
              <w:t xml:space="preserve">Schedule of 2022-2</w:t>
            </w:r>
          </w:p>
          <w:p>
            <w:pPr>
              <w:pStyle w:val="PO1"/>
              <w:jc w:val="left"/>
              <w:spacing w:lineRule="auto" w:line="227" w:before="0" w:after="0"/>
              <w:pageBreakBefore w:val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wordWrap w:val="1"/>
              <w:autoSpaceDE w:val="0"/>
              <w:autoSpaceDN w:val="0"/>
            </w:pPr>
          </w:p>
          <w:p>
            <w:pPr>
              <w:jc w:val="left"/>
              <w:spacing w:lineRule="auto" w:line="227"/>
              <w:rPr>
                <w:color w:val="000000"/>
                <w:rFonts w:ascii="한양신명조" w:eastAsia="한양신명조" w:hAnsi="한양신명조" w:cs="한양신명조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26"/>
        <w:numPr>
          <w:ilvl w:val="0"/>
          <w:numId w:val="15"/>
        </w:num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>Introduction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In the era of big data, the development of IoT devices and the development of cloud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environments requires the ability to process vast amounts of real-time data generated at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various endpoint stages.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To cope with this environment, we aim to develop a real-time distributed processing system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that can provide customized information based on real-time user information. In particular, it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aims to establish a pipeline for providing customized advertising data to individuals using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individual facial data according to the value of future facial data utilization.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First, in order to extract the user's information, the user's face data is received and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preprocessed, and then age and gender information is predicted through a trained AI model.</w:t>
      </w:r>
      <w:r>
        <w:rPr>
          <w:spacing w:val="0"/>
          <w:i w:val="0"/>
          <w:b w:val="0"/>
          <w:color w:val="000000"/>
          <w:sz w:val="20"/>
          <w:szCs w:val="20"/>
          <w:rFonts w:ascii="맑은 고딕" w:eastAsia="맑은 고딕" w:hAnsi="맑은 고딕" w:cs="맑은 고딕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Thereafter, data is requested to the central messaging queue built through the Consumer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WAS of the Pub/Sub structure based on the generated user prediction information. On the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other hand, the information-generating endpoint client loads advertisements in the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messaging queue regardless of the subject who consumes information through Producer WAS.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After that, if matched information exists, it is transmitted to the Consumer and finally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provided to the user.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</w:p>
    <w:p>
      <w:pPr>
        <w:jc w:val="both"/>
        <w:spacing w:lineRule="auto" w:line="259" w:after="160"/>
        <w:rPr>
          <w:rFonts w:hint="eastAsia"/>
          <w:lang w:eastAsia="ko-KR"/>
        </w:rPr>
        <w:wordWrap w:val="0"/>
        <w:autoSpaceDE w:val="0"/>
        <w:autoSpaceDN w:val="0"/>
      </w:pPr>
    </w:p>
    <w:p>
      <w:pPr>
        <w:pStyle w:val="PO26"/>
        <w:numPr>
          <w:ilvl w:val="0"/>
          <w:numId w:val="15"/>
        </w:numP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Review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The project is largely divided into AI parts and data pipeline parts. First of all, in the first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semester, AI parts, that is, age and gender prediction models according to facial data, were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designed and trained, and the user's facial data preprocessing process was conducted. User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facial data collection utilized the OpenCv library and trained the model using the collected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data and Kaggle's open-source facial data set. The model design is based on the Yolo model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and utilizes Tensorflow.Keras.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numPr>
          <w:ilvl w:val="0"/>
          <w:numId w:val="0"/>
        </w:numPr>
        <w:ind w:left="0" w:firstLine="0"/>
        <w:rPr>
          <w:rFonts w:hint="eastAsia"/>
          <w:lang w:eastAsia="ko-KR"/>
        </w:rPr>
      </w:pPr>
    </w:p>
    <w:p>
      <w:pPr>
        <w:pStyle w:val="PO26"/>
        <w:numPr>
          <w:ilvl w:val="0"/>
          <w:numId w:val="15"/>
        </w:numP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Progress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</w:p>
    <w:p>
      <w:pPr>
        <w:pStyle w:val="PO26"/>
        <w:numPr>
          <w:ilvl w:val="0"/>
          <w:numId w:val="0"/>
        </w:numPr>
        <w:ind w:left="425" w:firstLine="0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3.1 Kafka Cluster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 Kafka cluster is a server that controls and stores all data, consisting of a total of two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instances. Each instance consists of a Kafka broker and a primary keeper who controls the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cluster environment, and when data is generated through the cluster environment, each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instance responds to server failures through data replication and provides high availability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>(HA).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Until now, we have used two instances as demo versions, but if the domain scope expands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and the topic volume increases later, we can add additional instances for scalability.</w:t>
      </w:r>
      <w:r>
        <w:rPr>
          <w:spacing w:val="0"/>
          <w:i w:val="0"/>
          <w:b w:val="0"/>
          <w:color w:val="000000"/>
          <w:sz w:val="20"/>
          <w:szCs w:val="20"/>
          <w:rFonts w:ascii="맑은 고딕" w:eastAsia="맑은 고딕" w:hAnsi="맑은 고딕" w:cs="맑은 고딕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맑은 고딕" w:eastAsia="맑은 고딕" w:hAnsi="맑은 고딕" w:cs="맑은 고딕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Due to the nature of the demo version and advertising data, each partition in the Kafka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cluster does not batch the data and provides a single data on a consumer request. It can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provide a stream suitable for services that require real-time, although it requires a large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amount of network costs compared to batch processing.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</w:p>
    <w:p>
      <w:pPr>
        <w:pStyle w:val="PO26"/>
        <w:numPr>
          <w:ilvl w:val="0"/>
          <w:numId w:val="0"/>
        </w:numPr>
        <w:ind w:left="425" w:firstLine="0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ilvl w:val="0"/>
          <w:numId w:val="0"/>
        </w:numPr>
        <w:ind w:left="425" w:firstLine="0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3.2 Producer WAS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The producer application was implemented using Spring Boot's Spring-Kafka. Application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configuration of MVC patterns allows data creators to request WAS in REST format to provide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data to Kafka clusters. In this process, data providers can provide data without information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about individual Consumer Clients.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</w:p>
    <w:p>
      <w:pPr>
        <w:pStyle w:val="PO26"/>
        <w:numPr>
          <w:ilvl w:val="0"/>
          <w:numId w:val="0"/>
        </w:numPr>
        <w:ind w:left="425" w:firstLine="0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ilvl w:val="0"/>
          <w:numId w:val="0"/>
        </w:numPr>
        <w:ind w:left="425" w:firstLine="0"/>
        <w:rPr>
          <w:rFonts w:hint="eastAsia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3.3 Cosummer WAS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The consumer application was also implemented using SpringBoot's spring-kafka. Consumer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WAS stores subscription information for the user node according to the subscription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information provided by the Face Recognition Client Application and filters the data based on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it. In this process, it performs the function of filtering only customized information through </w:t>
      </w:r>
      <w:r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맑은 고딕" w:eastAsia="맑은 고딕" w:hAnsi="맑은 고딕" w:cs="맑은 고딕"/>
        </w:rPr>
        <w:t xml:space="preserve">age and gender information and providing it to the client node.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</w:p>
    <w:p>
      <w:pPr>
        <w:pStyle w:val="PO26"/>
        <w:numPr>
          <w:ilvl w:val="0"/>
          <w:numId w:val="0"/>
        </w:numPr>
        <w:ind w:left="800" w:firstLine="0"/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ind w:firstLine="200"/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 xml:space="preserve">4. What to do in Rest of 2022-2</w:t>
      </w:r>
    </w:p>
    <w:p>
      <w:pPr>
        <w:ind w:firstLine="200"/>
        <w:rPr>
          <w:b w:val="1"/>
          <w:rFonts w:hint="eastAsia"/>
          <w:lang w:eastAsia="ko-KR"/>
        </w:rPr>
      </w:pPr>
    </w:p>
    <w:p>
      <w:pPr>
        <w:pStyle w:val="PO26"/>
        <w:numPr>
          <w:ilvl w:val="0"/>
          <w:numId w:val="9"/>
        </w:numPr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 xml:space="preserve">Connecting Python moudle &amp; Kafka Server.</w:t>
      </w:r>
      <w:r>
        <w:rPr>
          <w:b w:val="1"/>
          <w:rFonts w:hint="eastAsia"/>
          <w:lang w:eastAsia="ko-KR"/>
        </w:rPr>
        <w:br/>
      </w:r>
    </w:p>
    <w:p>
      <w:pPr>
        <w:pStyle w:val="PO26"/>
        <w:numPr>
          <w:ilvl w:val="0"/>
          <w:numId w:val="9"/>
        </w:numPr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 xml:space="preserve"> Simulation &amp; Test</w:t>
      </w:r>
      <w:r>
        <w:rPr>
          <w:b w:val="1"/>
          <w:rFonts w:hint="eastAsia"/>
          <w:lang w:eastAsia="ko-KR"/>
        </w:rPr>
        <w:br/>
      </w:r>
    </w:p>
    <w:p>
      <w:pPr>
        <w:pStyle w:val="PO26"/>
        <w:numPr>
          <w:ilvl w:val="0"/>
          <w:numId w:val="9"/>
        </w:numPr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 xml:space="preserve">Refactoring Code.</w:t>
      </w:r>
      <w:r>
        <w:rPr>
          <w:b w:val="1"/>
          <w:rFonts w:hint="eastAsia"/>
          <w:lang w:eastAsia="ko-KR"/>
        </w:rPr>
        <w:br/>
      </w:r>
    </w:p>
    <w:p>
      <w:pPr>
        <w:pStyle w:val="PO26"/>
        <w:numPr>
          <w:ilvl w:val="0"/>
          <w:numId w:val="9"/>
        </w:numPr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>Release</w:t>
      </w:r>
    </w:p>
    <w:p>
      <w:pPr>
        <w:rPr>
          <w:b w:val="1"/>
          <w:rFonts w:hint="eastAsia"/>
          <w:lang w:eastAsia="ko-KR"/>
        </w:rPr>
      </w:pPr>
    </w:p>
    <w:p>
      <w:pPr>
        <w:ind w:firstLine="200"/>
        <w:rPr>
          <w:b w:val="1"/>
          <w:rFonts w:hint="eastAsia"/>
          <w:lang w:eastAsia="ko-KR"/>
        </w:rPr>
      </w:pPr>
    </w:p>
    <w:p>
      <w:pPr>
        <w:ind w:firstLine="200"/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 xml:space="preserve">5. Schedule of 2022-2</w:t>
      </w:r>
    </w:p>
    <w:p>
      <w:pPr>
        <w:ind w:firstLine="200"/>
        <w:rPr>
          <w:b w:val="1"/>
          <w:rFonts w:hint="eastAsia"/>
          <w:lang w:eastAsia="ko-KR"/>
        </w:rPr>
      </w:pPr>
    </w:p>
    <w:tbl>
      <w:tblID w:val="0"/>
      <w:tblPr>
        <w:tblpPr w:vertAnchor="text" w:tblpX="795" w:tblpY="117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983"/>
        <w:gridCol w:w="1133"/>
        <w:gridCol w:w="1133"/>
        <w:gridCol w:w="1133"/>
      </w:tblGrid>
      <w:tr>
        <w:trPr>
          <w:trHeight w:hRule="atleast" w:val="828"/>
        </w:trPr>
        <w:tc>
          <w:tcPr>
            <w:tcW w:type="dxa" w:w="298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single" w:color="000000" w:sz="2"/>
              <w:tr2bl w:val="nil" w:color="auto"/>
            </w:tcBorders>
          </w:tcPr>
          <w:p>
            <w:pPr>
              <w:pStyle w:val="PO151"/>
              <w:jc w:val="right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color w:val="000000"/>
                <w:rFonts w:ascii="한양신명조" w:eastAsia="한양신명조" w:hAnsi="한양신명조" w:cs="한양신명조"/>
              </w:rPr>
              <w:t>달</w:t>
            </w:r>
          </w:p>
          <w:p>
            <w:pPr>
              <w:pStyle w:val="PO151"/>
              <w:jc w:val="both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rFonts w:ascii="한양신명조" w:eastAsia="한양신명조" w:hAnsi="한양신명조" w:cs="한양신명조"/>
              </w:rPr>
              <w:t>설계요소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</w:rPr>
              <w:wordWrap w:val="0"/>
            </w:pPr>
            <w:r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  <w:lang w:eastAsia="ko-KR"/>
              </w:rPr>
              <w:t>10</w:t>
            </w:r>
            <w:r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</w:rPr>
              <w:t>월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</w:rPr>
            </w:pPr>
            <w:r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  <w:lang w:eastAsia="ko-KR"/>
              </w:rPr>
              <w:t>11</w:t>
            </w:r>
            <w:r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</w:rPr>
              <w:t>월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</w:rPr>
            </w:pPr>
            <w:r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  <w:lang w:eastAsia="ko-KR"/>
              </w:rPr>
              <w:t>12</w:t>
            </w:r>
            <w:r>
              <w:rPr>
                <w:color w:val="000000"/>
                <w:sz w:val="22"/>
                <w:szCs w:val="22"/>
                <w:rFonts w:ascii="한양신명조" w:eastAsia="한양신명조" w:hAnsi="한양신명조" w:cs="한양신명조"/>
              </w:rPr>
              <w:t>월</w:t>
            </w:r>
          </w:p>
        </w:tc>
      </w:tr>
      <w:tr>
        <w:trPr>
          <w:trHeight w:hRule="atleast" w:val="807"/>
        </w:trPr>
        <w:tc>
          <w:tcPr>
            <w:tcW w:type="dxa" w:w="298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35" w:after="160"/>
              <w:ind w:left="0" w:firstLine="0"/>
              <w:rPr>
                <w:color w:val="000000"/>
                <w:sz w:val="22"/>
                <w:szCs w:val="22"/>
                <w:rFonts w:ascii="바탕체" w:eastAsia="바탕체" w:hAnsi="바탕체" w:cs="바탕체"/>
              </w:rPr>
              <w:wordWrap w:val="0"/>
            </w:pPr>
            <w:r>
              <w:rPr>
                <w:b w:val="1"/>
                <w:rFonts w:hint="eastAsia"/>
                <w:lang w:eastAsia="ko-KR"/>
              </w:rPr>
              <w:t xml:space="preserve">Connecting Python moudle </w:t>
            </w:r>
            <w:r>
              <w:rPr>
                <w:b w:val="1"/>
                <w:rFonts w:hint="eastAsia"/>
                <w:lang w:eastAsia="ko-KR"/>
              </w:rPr>
              <w:t xml:space="preserve">&amp; Kafka Server.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b w:val="1"/>
                <w:color w:val="000000"/>
                <w:rFonts w:ascii="한양신명조" w:eastAsia="한양신명조" w:hAnsi="한양신명조" w:cs="한양신명조"/>
              </w:rPr>
            </w:pPr>
            <w:r>
              <w:rPr>
                <w:b w:val="1"/>
                <w:color w:val="000000"/>
                <w:rFonts w:ascii="한양신명조" w:eastAsia="한양신명조" w:hAnsi="한양신명조" w:cs="한양신명조"/>
              </w:rPr>
              <w:t>o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b w:val="1"/>
                <w:color w:val="000000"/>
                <w:rFonts w:ascii="한양신명조" w:eastAsia="한양신명조" w:hAnsi="한양신명조" w:cs="한양신명조"/>
              </w:rPr>
              <w:t>o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</w:p>
        </w:tc>
      </w:tr>
      <w:tr>
        <w:trPr>
          <w:trHeight w:hRule="atleast" w:val="440"/>
        </w:trPr>
        <w:tc>
          <w:tcPr>
            <w:tcW w:type="dxa" w:w="298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35" w:after="160"/>
              <w:ind w:left="0" w:firstLine="0"/>
              <w:rPr>
                <w:color w:val="000000"/>
                <w:sz w:val="22"/>
                <w:szCs w:val="22"/>
                <w:rFonts w:ascii="바탕체" w:eastAsia="바탕체" w:hAnsi="바탕체" w:cs="바탕체"/>
              </w:rPr>
              <w:wordWrap w:val="0"/>
            </w:pPr>
            <w:r>
              <w:rPr>
                <w:b w:val="1"/>
                <w:rFonts w:hint="eastAsia"/>
                <w:lang w:eastAsia="ko-KR"/>
              </w:rPr>
              <w:t xml:space="preserve">Simulation &amp; Test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b w:val="1"/>
                <w:color w:val="000000"/>
                <w:rFonts w:ascii="한양신명조" w:eastAsia="한양신명조" w:hAnsi="한양신명조" w:cs="한양신명조"/>
              </w:rPr>
              <w:t>o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b w:val="1"/>
                <w:color w:val="000000"/>
                <w:rFonts w:ascii="한양신명조" w:eastAsia="한양신명조" w:hAnsi="한양신명조" w:cs="한양신명조"/>
              </w:rPr>
              <w:t>o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</w:p>
        </w:tc>
      </w:tr>
      <w:tr>
        <w:trPr>
          <w:trHeight w:hRule="atleast" w:val="440"/>
        </w:trPr>
        <w:tc>
          <w:tcPr>
            <w:tcW w:type="dxa" w:w="298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35" w:after="160"/>
              <w:ind w:left="270" w:hanging="270"/>
              <w:rPr>
                <w:color w:val="000000"/>
                <w:sz w:val="22"/>
                <w:szCs w:val="22"/>
                <w:rFonts w:ascii="바탕체" w:eastAsia="바탕체" w:hAnsi="바탕체" w:cs="바탕체"/>
              </w:rPr>
              <w:wordWrap w:val="0"/>
            </w:pPr>
            <w:r>
              <w:rPr>
                <w:b w:val="1"/>
                <w:rFonts w:hint="eastAsia"/>
                <w:lang w:eastAsia="ko-KR"/>
              </w:rPr>
              <w:t xml:space="preserve">Refactoring Code.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b w:val="1"/>
                <w:color w:val="000000"/>
                <w:rFonts w:ascii="한양신명조" w:eastAsia="한양신명조" w:hAnsi="한양신명조" w:cs="한양신명조"/>
              </w:rPr>
              <w:t>o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b w:val="1"/>
                <w:color w:val="000000"/>
                <w:rFonts w:ascii="한양신명조" w:eastAsia="한양신명조" w:hAnsi="한양신명조" w:cs="한양신명조"/>
              </w:rPr>
              <w:t>o</w:t>
            </w:r>
          </w:p>
        </w:tc>
      </w:tr>
      <w:tr>
        <w:trPr>
          <w:trHeight w:hRule="atleast" w:val="440"/>
        </w:trPr>
        <w:tc>
          <w:tcPr>
            <w:tcW w:type="dxa" w:w="298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both"/>
              <w:spacing w:lineRule="auto" w:line="235" w:after="160"/>
              <w:ind w:left="0" w:firstLine="0"/>
              <w:rPr>
                <w:color w:val="000000"/>
                <w:sz w:val="22"/>
                <w:szCs w:val="22"/>
                <w:rFonts w:ascii="바탕체" w:eastAsia="바탕체" w:hAnsi="바탕체" w:cs="바탕체"/>
              </w:rPr>
              <w:wordWrap w:val="0"/>
            </w:pPr>
            <w:r>
              <w:rPr>
                <w:b w:val="1"/>
                <w:rFonts w:hint="eastAsia"/>
                <w:lang w:eastAsia="ko-KR"/>
              </w:rPr>
              <w:t>Release</w:t>
            </w: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</w:p>
        </w:tc>
        <w:tc>
          <w:tcPr>
            <w:tcW w:type="dxa" w:w="1133"/>
            <w:tcMar>
              <w:left w:w="108" w:type="dxa"/>
              <w:right w:w="10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 w:after="160"/>
              <w:ind w:left="0" w:firstLine="0"/>
              <w:rPr>
                <w:color w:val="000000"/>
                <w:rFonts w:ascii="한양신명조" w:eastAsia="한양신명조" w:hAnsi="한양신명조" w:cs="한양신명조"/>
              </w:rPr>
            </w:pPr>
            <w:r>
              <w:rPr>
                <w:b w:val="1"/>
                <w:color w:val="000000"/>
                <w:rFonts w:ascii="한양신명조" w:eastAsia="한양신명조" w:hAnsi="한양신명조" w:cs="한양신명조"/>
              </w:rPr>
              <w:t>o</w:t>
            </w:r>
          </w:p>
        </w:tc>
      </w:tr>
    </w:tbl>
    <w:p>
      <w:pPr>
        <w:ind w:firstLine="200"/>
        <w:rPr>
          <w:b w:val="1"/>
          <w:rFonts w:hint="eastAsia"/>
          <w:lang w:eastAsia="ko-KR"/>
        </w:rPr>
      </w:pPr>
    </w:p>
    <w:p>
      <w:pPr>
        <w:ind w:firstLine="200"/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"/>
    <w:family w:val="decorative"/>
    <w:pitch w:val="variable"/>
    <w:sig w:usb0="00000003" w:usb1="00000000" w:usb2="00000000" w:usb3="00000000" w:csb0="80000001" w:csb1="00000000"/>
  </w:font>
  <w:font w:name="한양신명조"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022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12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2022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2022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2022"/>
      <w:suff w:val="tab"/>
      <w:pPr>
        <w:ind w:left="760" w:hanging="360"/>
        <w:rPr/>
      </w:pPr>
      <w:rPr>
        <w:color w:va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맑은 고딕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맑은 고딕" w:eastAsia="맑은 고딕" w:hAnsi="맑은 고딕" w:cs="맑은 고딕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10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10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10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10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10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10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10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4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8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2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6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0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4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8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200" w:hanging="400"/>
        <w:rPr/>
      </w:pPr>
      <w:rPr>
        <w:rFonts w:ascii="Wingdings" w:eastAsia="Wingdings" w:hAnsi="Wingdings" w:cs="Wingdings"/>
      </w:rPr>
      <w:lvlText w:val="u"/>
    </w:lvl>
  </w:abstractNum>
  <w:abstractNum w:abstractNumId="15">
    <w:multiLevelType w:val="multilevel"/>
    <w:nsid w:val="2F00000F"/>
    <w:tmpl w:val="1F0000F5"/>
    <w:lvl w:ilvl="0">
      <w:lvlJc w:val="left"/>
      <w:numFmt w:val="decimalHalfWidth"/>
      <w:start w:val="1"/>
      <w:suff w:val="tab"/>
      <w:pPr>
        <w:ind w:left="425" w:hanging="425"/>
        <w:rPr/>
      </w:pPr>
      <w:rPr/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/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/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/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/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/>
      <w:lvlText w:val="%1.%2.%3.%4.%5.%6.%7.%8.%9."/>
    </w:lvl>
  </w:abstractNum>
  <w:abstractNum w:abstractNumId="16">
    <w:multiLevelType w:val="hybridMultilevel"/>
    <w:nsid w:val="2F000010"/>
    <w:tmpl w:val="1F0005D9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2048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2048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2048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2048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2048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-204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70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ody Text"/>
    <w:link w:val="PO152"/>
    <w:pPr>
      <w:spacing w:after="160"/>
      <w:ind w:left="300" w:firstLine="0"/>
      <w:rPr/>
    </w:pPr>
    <w:rPr>
      <w:rFonts w:ascii="맑은 고딕" w:eastAsia="맑은 고딕" w:hAnsi="맑은 고딕" w:cs="맑은 고딕"/>
    </w:rPr>
  </w:style>
  <w:style w:customStyle="1" w:styleId="PO152" w:type="character">
    <w:name w:val="본문 Char"/>
    <w:basedOn w:val="PO2"/>
    <w:link w:val="PO151"/>
    <w:rPr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15</Lines>
  <LinksUpToDate>false</LinksUpToDate>
  <Pages>4</Pages>
  <Paragraphs>4</Paragraphs>
  <Words>329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이승환</dc:creator>
  <cp:lastModifiedBy>허 민욱</cp:lastModifiedBy>
  <cp:version>9.103.97.45139</cp:version>
  <dcterms:modified xsi:type="dcterms:W3CDTF">2022-10-16T14:10:00Z</dcterms:modified>
</cp:coreProperties>
</file>