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6"/>
          <w:color w:val="11243B"/>
        </w:rPr>
        <w:t xml:space="preserve">CacheCodec 两种 KV 对齐方式流程图</w:t>
      </w:r>
    </w:p>
    <w:p>
      <w:r>
        <w:rPr>
          <w:sz w:val="22"/>
          <w:color w:val="50657D"/>
        </w:rPr>
        <w:t xml:space="preserve">本文整理当前实现中的 concat virtual-prefix 对齐与 fuser 逐层 KV 融合对齐。两种方式均以 Sharer 的 KV 信息辅助 Receiver，但 KV 的注入位置和可训练模块不同。</w:t>
      </w:r>
    </w:p>
    <w:p>
      <w:r>
        <w:rPr>
          <w:b/>
          <w:sz w:val="30"/>
          <w:color w:val="2869B3"/>
        </w:rPr>
        <w:t xml:space="preserve">1. Concat 对齐：Split-channel Virtual Prefix</w:t>
      </w:r>
    </w:p>
    <w:p>
      <w:r>
        <w:rPr>
          <w:sz w:val="22"/>
        </w:rPr>
        <w:t xml:space="preserve">Sharer prompt 产生 KV 后，K/V 分别经独立的 64 维 latent 编码与解码，重建为 Receiver 几何的 virtual-prefix KV。Receiver 在一次 prefill 中消费该 prefix 与自身 prompt。当前配置只使用 assistant response token 的 SFT Cross Entropy 反传至 split-channel projector。</w:t>
      </w:r>
    </w:p>
    <w:p>
      <w:pPr>
        <w:jc w:val="center"/>
      </w:pPr>
      <w:r>
        <w:drawing>
          <wp:inline distT="0" distB="0" distL="0" distR="0">
            <wp:extent cx="9144000" cy="5143500"/>
            <wp:effectExtent l="0" t="0" r="0" b="0"/>
            <wp:docPr id="1" name="Concat alignment flow"/>
            <wp:cNvGraphicFramePr/>
            <a:graphic>
              <a:graphicData uri="http://schemas.openxmlformats.org/drawingml/2006/picture">
                <pic:pic>
                  <pic:nvPicPr>
                    <pic:cNvPr id="0" name="Concat alignment flow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  <w:sz w:val="30"/>
          <w:color w:val="2869B3"/>
        </w:rPr>
        <w:t xml:space="preserve">2. Fuser 对齐：逐层 KV 融合</w:t>
      </w:r>
    </w:p>
    <w:p>
      <w:r>
        <w:rPr>
          <w:sz w:val="22"/>
        </w:rPr>
        <w:t xml:space="preserve">Sharer KV 经 C2C projector 映射到 Receiver 几何后，与 Receiver 自己前向得到的原生 KV 在各层进行融合。与 concat 不同，该方式更新的是 Receiver 的已有 KV，而非构造独立 virtual prefix；可选 codec 和 rate loss 由具体配置决定。</w:t>
      </w:r>
    </w:p>
    <w:p>
      <w:pPr>
        <w:jc w:val="center"/>
      </w:pPr>
      <w:r>
        <w:drawing>
          <wp:inline distT="0" distB="0" distL="0" distR="0">
            <wp:extent cx="9144000" cy="5143500"/>
            <wp:effectExtent l="0" t="0" r="0" b="0"/>
            <wp:docPr id="2" name="Fuser alignment flow"/>
            <wp:cNvGraphicFramePr/>
            <a:graphic>
              <a:graphicData uri="http://schemas.openxmlformats.org/drawingml/2006/picture">
                <pic:pic>
                  <pic:nvPicPr>
                    <pic:cNvPr id="0" name="Fuser alignment flow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image" Target="media/concat_alignment_flow.svg"/>
<Relationship Id="rId3" Type="http://schemas.openxmlformats.org/officeDocument/2006/relationships/image" Target="media/fuser_alignment_flow.svg"/>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CacheCodec 两种对齐方式流程图</dc:title>
  <dc:creator>Codex</dc:creator>
  <dcterms:created xsi:type="dcterms:W3CDTF">2026-09-16T09:07:37Z</dcterms:created>
</cp:coreProperties>
</file>