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A5E28" w14:textId="36E02A45" w:rsidR="00885B10" w:rsidRDefault="00885B10" w:rsidP="006060EE">
      <w:pPr>
        <w:rPr>
          <w:rFonts w:ascii="黑体" w:eastAsia="黑体" w:hAnsi="黑体"/>
          <w:color w:val="000000" w:themeColor="text1"/>
          <w:sz w:val="28"/>
          <w:szCs w:val="28"/>
        </w:rPr>
      </w:pPr>
      <w:r>
        <w:rPr>
          <w:rFonts w:ascii="黑体" w:eastAsia="黑体" w:hAnsi="黑体" w:hint="eastAsia"/>
          <w:color w:val="000000" w:themeColor="text1"/>
          <w:sz w:val="28"/>
          <w:szCs w:val="28"/>
        </w:rPr>
        <w:t>研究主题：</w:t>
      </w:r>
      <w:r w:rsidR="00B64AC0" w:rsidRPr="00B64AC0">
        <w:rPr>
          <w:rFonts w:ascii="黑体" w:eastAsia="黑体" w:hAnsi="黑体" w:hint="eastAsia"/>
          <w:color w:val="000000" w:themeColor="text1"/>
          <w:sz w:val="28"/>
          <w:szCs w:val="28"/>
        </w:rPr>
        <w:t>采用单细胞RNA-seq（</w:t>
      </w:r>
      <w:proofErr w:type="spellStart"/>
      <w:r w:rsidR="00B64AC0" w:rsidRPr="00B64AC0">
        <w:rPr>
          <w:rFonts w:ascii="黑体" w:eastAsia="黑体" w:hAnsi="黑体" w:hint="eastAsia"/>
          <w:color w:val="000000" w:themeColor="text1"/>
          <w:sz w:val="28"/>
          <w:szCs w:val="28"/>
        </w:rPr>
        <w:t>scRNA</w:t>
      </w:r>
      <w:proofErr w:type="spellEnd"/>
      <w:r w:rsidR="00B64AC0" w:rsidRPr="00B64AC0">
        <w:rPr>
          <w:rFonts w:ascii="黑体" w:eastAsia="黑体" w:hAnsi="黑体" w:hint="eastAsia"/>
          <w:color w:val="000000" w:themeColor="text1"/>
          <w:sz w:val="28"/>
          <w:szCs w:val="28"/>
        </w:rPr>
        <w:t>-seq）分析</w:t>
      </w:r>
      <w:r w:rsidR="00B64AC0">
        <w:rPr>
          <w:rFonts w:ascii="黑体" w:eastAsia="黑体" w:hAnsi="黑体" w:hint="eastAsia"/>
          <w:color w:val="000000" w:themeColor="text1"/>
          <w:sz w:val="28"/>
          <w:szCs w:val="28"/>
        </w:rPr>
        <w:t>，</w:t>
      </w:r>
      <w:r w:rsidR="00B64AC0" w:rsidRPr="00B64AC0">
        <w:rPr>
          <w:rFonts w:ascii="黑体" w:eastAsia="黑体" w:hAnsi="黑体" w:hint="eastAsia"/>
          <w:color w:val="000000" w:themeColor="text1"/>
          <w:sz w:val="28"/>
          <w:szCs w:val="28"/>
        </w:rPr>
        <w:t>研究</w:t>
      </w:r>
      <w:r w:rsidR="00B64AC0">
        <w:rPr>
          <w:rFonts w:ascii="黑体" w:eastAsia="黑体" w:hAnsi="黑体" w:hint="eastAsia"/>
          <w:color w:val="000000" w:themeColor="text1"/>
          <w:sz w:val="28"/>
          <w:szCs w:val="28"/>
        </w:rPr>
        <w:t>三阴乳腺癌（TNBC）新辅助化疗（NAC）治疗后</w:t>
      </w:r>
      <w:r w:rsidR="00B64AC0" w:rsidRPr="00B64AC0">
        <w:rPr>
          <w:rFonts w:ascii="黑体" w:eastAsia="黑体" w:hAnsi="黑体" w:hint="eastAsia"/>
          <w:color w:val="000000" w:themeColor="text1"/>
          <w:sz w:val="28"/>
          <w:szCs w:val="28"/>
        </w:rPr>
        <w:t>肿瘤</w:t>
      </w:r>
      <w:r w:rsidR="00B64AC0">
        <w:rPr>
          <w:rFonts w:ascii="黑体" w:eastAsia="黑体" w:hAnsi="黑体" w:hint="eastAsia"/>
          <w:color w:val="000000" w:themeColor="text1"/>
          <w:sz w:val="28"/>
          <w:szCs w:val="28"/>
        </w:rPr>
        <w:t>异质性及</w:t>
      </w:r>
      <w:r w:rsidR="00B64AC0" w:rsidRPr="00B64AC0">
        <w:rPr>
          <w:rFonts w:ascii="黑体" w:eastAsia="黑体" w:hAnsi="黑体" w:hint="eastAsia"/>
          <w:color w:val="000000" w:themeColor="text1"/>
          <w:sz w:val="28"/>
          <w:szCs w:val="28"/>
        </w:rPr>
        <w:t>更精细免疫细胞亚群</w:t>
      </w:r>
      <w:r w:rsidR="00B64AC0">
        <w:rPr>
          <w:rFonts w:ascii="黑体" w:eastAsia="黑体" w:hAnsi="黑体" w:hint="eastAsia"/>
          <w:color w:val="000000" w:themeColor="text1"/>
          <w:sz w:val="28"/>
          <w:szCs w:val="28"/>
        </w:rPr>
        <w:t>，通过建立动态模型探究</w:t>
      </w:r>
      <w:r w:rsidR="00B64AC0" w:rsidRPr="00B64AC0">
        <w:rPr>
          <w:rFonts w:ascii="黑体" w:eastAsia="黑体" w:hAnsi="黑体" w:hint="eastAsia"/>
          <w:color w:val="000000" w:themeColor="text1"/>
          <w:sz w:val="28"/>
          <w:szCs w:val="28"/>
        </w:rPr>
        <w:t>乳腺癌中NAC耐药反应的机制基础。</w:t>
      </w:r>
    </w:p>
    <w:p w14:paraId="0AA6E254" w14:textId="16788AEC" w:rsidR="00885B10" w:rsidRDefault="00885B10" w:rsidP="006060EE">
      <w:pPr>
        <w:rPr>
          <w:rFonts w:ascii="黑体" w:eastAsia="黑体" w:hAnsi="黑体"/>
          <w:color w:val="000000" w:themeColor="text1"/>
          <w:sz w:val="28"/>
          <w:szCs w:val="28"/>
        </w:rPr>
      </w:pPr>
      <w:r>
        <w:rPr>
          <w:rFonts w:ascii="黑体" w:eastAsia="黑体" w:hAnsi="黑体" w:hint="eastAsia"/>
          <w:color w:val="000000" w:themeColor="text1"/>
          <w:sz w:val="28"/>
          <w:szCs w:val="28"/>
        </w:rPr>
        <w:t>研究设计：</w:t>
      </w:r>
    </w:p>
    <w:p w14:paraId="297634C9" w14:textId="4C926792" w:rsidR="00015A43" w:rsidRDefault="00015A43" w:rsidP="0001292D">
      <w:pPr>
        <w:rPr>
          <w:rFonts w:ascii="黑体" w:eastAsia="黑体" w:hAnsi="黑体"/>
          <w:color w:val="000000" w:themeColor="text1"/>
          <w:sz w:val="28"/>
          <w:szCs w:val="28"/>
        </w:rPr>
      </w:pPr>
      <w:r>
        <w:rPr>
          <w:rFonts w:ascii="黑体" w:eastAsia="黑体" w:hAnsi="黑体" w:hint="eastAsia"/>
          <w:color w:val="000000" w:themeColor="text1"/>
          <w:sz w:val="28"/>
          <w:szCs w:val="28"/>
        </w:rPr>
        <w:t>-</w:t>
      </w:r>
      <w:r w:rsidR="00E57ADE">
        <w:rPr>
          <w:rFonts w:ascii="黑体" w:eastAsia="黑体" w:hAnsi="黑体" w:hint="eastAsia"/>
          <w:color w:val="000000" w:themeColor="text1"/>
          <w:sz w:val="28"/>
          <w:szCs w:val="28"/>
        </w:rPr>
        <w:t>招募患者，NAC治疗前后</w:t>
      </w:r>
      <w:r w:rsidR="0001292D" w:rsidRPr="0001292D">
        <w:rPr>
          <w:rFonts w:ascii="黑体" w:eastAsia="黑体" w:hAnsi="黑体" w:hint="eastAsia"/>
          <w:color w:val="000000" w:themeColor="text1"/>
          <w:sz w:val="28"/>
          <w:szCs w:val="28"/>
        </w:rPr>
        <w:t>患者</w:t>
      </w:r>
      <w:r w:rsidR="001D0DF9" w:rsidRPr="001D0DF9">
        <w:rPr>
          <w:rFonts w:ascii="黑体" w:eastAsia="黑体" w:hAnsi="黑体" w:hint="eastAsia"/>
          <w:color w:val="000000" w:themeColor="text1"/>
          <w:sz w:val="28"/>
          <w:szCs w:val="28"/>
        </w:rPr>
        <w:t>肿瘤样本及配对的正常乳腺组织、血液和淋巴结样本</w:t>
      </w:r>
      <w:r w:rsidR="0001292D">
        <w:rPr>
          <w:rFonts w:ascii="黑体" w:eastAsia="黑体" w:hAnsi="黑体" w:hint="eastAsia"/>
          <w:color w:val="000000" w:themeColor="text1"/>
          <w:sz w:val="28"/>
          <w:szCs w:val="28"/>
        </w:rPr>
        <w:t>，</w:t>
      </w:r>
      <w:r w:rsidR="001D0DF9">
        <w:rPr>
          <w:rFonts w:ascii="黑体" w:eastAsia="黑体" w:hAnsi="黑体" w:hint="eastAsia"/>
          <w:color w:val="000000" w:themeColor="text1"/>
          <w:sz w:val="28"/>
          <w:szCs w:val="28"/>
        </w:rPr>
        <w:t>收集</w:t>
      </w:r>
      <w:r w:rsidR="0001292D" w:rsidRPr="0001292D">
        <w:rPr>
          <w:rFonts w:ascii="黑体" w:eastAsia="黑体" w:hAnsi="黑体" w:hint="eastAsia"/>
          <w:color w:val="000000" w:themeColor="text1"/>
          <w:sz w:val="28"/>
          <w:szCs w:val="28"/>
        </w:rPr>
        <w:t>一般临床资料</w:t>
      </w:r>
      <w:r w:rsidR="00AE16A0">
        <w:rPr>
          <w:rFonts w:ascii="黑体" w:eastAsia="黑体" w:hAnsi="黑体" w:hint="eastAsia"/>
          <w:color w:val="000000" w:themeColor="text1"/>
          <w:sz w:val="28"/>
          <w:szCs w:val="28"/>
        </w:rPr>
        <w:t>，</w:t>
      </w:r>
      <w:r w:rsidR="0001292D">
        <w:rPr>
          <w:rFonts w:ascii="黑体" w:eastAsia="黑体" w:hAnsi="黑体" w:hint="eastAsia"/>
          <w:color w:val="000000" w:themeColor="text1"/>
          <w:sz w:val="28"/>
          <w:szCs w:val="28"/>
        </w:rPr>
        <w:t>对</w:t>
      </w:r>
      <w:r w:rsidR="0001292D" w:rsidRPr="0001292D">
        <w:rPr>
          <w:rFonts w:ascii="黑体" w:eastAsia="黑体" w:hAnsi="黑体" w:hint="eastAsia"/>
          <w:color w:val="000000" w:themeColor="text1"/>
          <w:sz w:val="28"/>
          <w:szCs w:val="28"/>
        </w:rPr>
        <w:t>NAC疗效相关因素分析</w:t>
      </w:r>
    </w:p>
    <w:p w14:paraId="1FC08222" w14:textId="4486954E" w:rsidR="0001292D" w:rsidRDefault="0001292D" w:rsidP="0001292D">
      <w:pPr>
        <w:rPr>
          <w:rFonts w:ascii="黑体" w:eastAsia="黑体" w:hAnsi="黑体"/>
          <w:color w:val="000000" w:themeColor="text1"/>
          <w:sz w:val="28"/>
          <w:szCs w:val="28"/>
        </w:rPr>
      </w:pPr>
      <w:r>
        <w:rPr>
          <w:rFonts w:ascii="黑体" w:eastAsia="黑体" w:hAnsi="黑体" w:hint="eastAsia"/>
          <w:color w:val="000000" w:themeColor="text1"/>
          <w:sz w:val="28"/>
          <w:szCs w:val="28"/>
        </w:rPr>
        <w:t>-</w:t>
      </w:r>
      <w:r w:rsidR="00AE16A0">
        <w:rPr>
          <w:rFonts w:ascii="黑体" w:eastAsia="黑体" w:hAnsi="黑体" w:hint="eastAsia"/>
          <w:color w:val="000000" w:themeColor="text1"/>
          <w:sz w:val="28"/>
          <w:szCs w:val="28"/>
        </w:rPr>
        <w:t>分离单细胞、</w:t>
      </w:r>
      <w:r w:rsidRPr="0001292D">
        <w:rPr>
          <w:rFonts w:ascii="黑体" w:eastAsia="黑体" w:hAnsi="黑体" w:hint="eastAsia"/>
          <w:color w:val="000000" w:themeColor="text1"/>
          <w:sz w:val="28"/>
          <w:szCs w:val="28"/>
        </w:rPr>
        <w:t>RNA测序和生物信息学分析</w:t>
      </w:r>
    </w:p>
    <w:p w14:paraId="3F025AE1" w14:textId="59F3A585" w:rsidR="0001292D" w:rsidRDefault="0001292D" w:rsidP="0001292D">
      <w:pPr>
        <w:rPr>
          <w:rFonts w:ascii="黑体" w:eastAsia="黑体" w:hAnsi="黑体"/>
          <w:color w:val="000000" w:themeColor="text1"/>
          <w:sz w:val="28"/>
          <w:szCs w:val="28"/>
        </w:rPr>
      </w:pPr>
      <w:r>
        <w:rPr>
          <w:rFonts w:ascii="黑体" w:eastAsia="黑体" w:hAnsi="黑体" w:hint="eastAsia"/>
          <w:color w:val="000000" w:themeColor="text1"/>
          <w:sz w:val="28"/>
          <w:szCs w:val="28"/>
        </w:rPr>
        <w:t>-</w:t>
      </w:r>
      <w:r w:rsidRPr="0001292D">
        <w:rPr>
          <w:rFonts w:ascii="黑体" w:eastAsia="黑体" w:hAnsi="黑体" w:hint="eastAsia"/>
          <w:color w:val="000000" w:themeColor="text1"/>
          <w:sz w:val="28"/>
          <w:szCs w:val="28"/>
        </w:rPr>
        <w:t>全外显子组测序和数据处理</w:t>
      </w:r>
    </w:p>
    <w:p w14:paraId="7321D447" w14:textId="5F5E3503" w:rsidR="001D0DF9" w:rsidRDefault="001D0DF9" w:rsidP="0001292D">
      <w:pPr>
        <w:rPr>
          <w:rFonts w:ascii="黑体" w:eastAsia="黑体" w:hAnsi="黑体"/>
          <w:color w:val="000000" w:themeColor="text1"/>
          <w:sz w:val="28"/>
          <w:szCs w:val="28"/>
        </w:rPr>
      </w:pPr>
      <w:r>
        <w:rPr>
          <w:rFonts w:ascii="黑体" w:eastAsia="黑体" w:hAnsi="黑体" w:hint="eastAsia"/>
          <w:color w:val="000000" w:themeColor="text1"/>
          <w:sz w:val="28"/>
          <w:szCs w:val="28"/>
        </w:rPr>
        <w:t>-</w:t>
      </w:r>
      <w:r w:rsidRPr="001D0DF9">
        <w:rPr>
          <w:rFonts w:ascii="黑体" w:eastAsia="黑体" w:hAnsi="黑体" w:hint="eastAsia"/>
          <w:color w:val="000000" w:themeColor="text1"/>
          <w:sz w:val="28"/>
          <w:szCs w:val="28"/>
        </w:rPr>
        <w:t>10x Genomics Chromium平台对来自额外乳腺癌组织的多个T细胞，进行配对的单细胞RNA测序和TCR测序</w:t>
      </w:r>
      <w:r w:rsidR="004F5218">
        <w:rPr>
          <w:rFonts w:ascii="黑体" w:eastAsia="黑体" w:hAnsi="黑体" w:hint="eastAsia"/>
          <w:color w:val="000000" w:themeColor="text1"/>
          <w:sz w:val="28"/>
          <w:szCs w:val="28"/>
        </w:rPr>
        <w:t>，</w:t>
      </w:r>
      <w:r w:rsidR="004F5218" w:rsidRPr="004F5218">
        <w:rPr>
          <w:rFonts w:ascii="黑体" w:eastAsia="黑体" w:hAnsi="黑体" w:hint="eastAsia"/>
          <w:color w:val="000000" w:themeColor="text1"/>
          <w:sz w:val="28"/>
          <w:szCs w:val="28"/>
        </w:rPr>
        <w:t>揭示单个T细胞克隆型活化状态的范围</w:t>
      </w:r>
    </w:p>
    <w:p w14:paraId="50A40EAC" w14:textId="6DA47A45" w:rsidR="001D0DF9" w:rsidRDefault="001D0DF9" w:rsidP="0001292D">
      <w:pPr>
        <w:rPr>
          <w:rFonts w:ascii="黑体" w:eastAsia="黑体" w:hAnsi="黑体"/>
          <w:color w:val="000000" w:themeColor="text1"/>
          <w:sz w:val="28"/>
          <w:szCs w:val="28"/>
        </w:rPr>
      </w:pPr>
      <w:r>
        <w:rPr>
          <w:rFonts w:ascii="黑体" w:eastAsia="黑体" w:hAnsi="黑体" w:hint="eastAsia"/>
          <w:color w:val="000000" w:themeColor="text1"/>
          <w:sz w:val="28"/>
          <w:szCs w:val="28"/>
        </w:rPr>
        <w:t>-</w:t>
      </w:r>
      <w:r w:rsidRPr="001D0DF9">
        <w:rPr>
          <w:rFonts w:ascii="黑体" w:eastAsia="黑体" w:hAnsi="黑体" w:hint="eastAsia"/>
          <w:color w:val="000000" w:themeColor="text1"/>
          <w:sz w:val="28"/>
          <w:szCs w:val="28"/>
        </w:rPr>
        <w:t>SEQC流程、贝叶斯聚类、Biscuit算法等，对这些组织中的免疫细胞进行聚类和鉴定。</w:t>
      </w:r>
    </w:p>
    <w:p w14:paraId="53BE3404" w14:textId="0964B740" w:rsidR="0001292D" w:rsidRDefault="0001292D" w:rsidP="0001292D">
      <w:pPr>
        <w:rPr>
          <w:rFonts w:ascii="黑体" w:eastAsia="黑体" w:hAnsi="黑体"/>
          <w:color w:val="000000" w:themeColor="text1"/>
          <w:sz w:val="28"/>
          <w:szCs w:val="28"/>
        </w:rPr>
      </w:pPr>
      <w:r>
        <w:rPr>
          <w:rFonts w:ascii="黑体" w:eastAsia="黑体" w:hAnsi="黑体" w:hint="eastAsia"/>
          <w:color w:val="000000" w:themeColor="text1"/>
          <w:sz w:val="28"/>
          <w:szCs w:val="28"/>
        </w:rPr>
        <w:t>-</w:t>
      </w:r>
      <w:r w:rsidRPr="0001292D">
        <w:rPr>
          <w:rFonts w:ascii="黑体" w:eastAsia="黑体" w:hAnsi="黑体" w:hint="eastAsia"/>
          <w:color w:val="000000" w:themeColor="text1"/>
          <w:sz w:val="28"/>
          <w:szCs w:val="28"/>
        </w:rPr>
        <w:t>乳腺癌亚型特异性基因表达</w:t>
      </w:r>
      <w:r>
        <w:rPr>
          <w:rFonts w:ascii="黑体" w:eastAsia="黑体" w:hAnsi="黑体" w:hint="eastAsia"/>
          <w:color w:val="000000" w:themeColor="text1"/>
          <w:sz w:val="28"/>
          <w:szCs w:val="28"/>
        </w:rPr>
        <w:t>及</w:t>
      </w:r>
      <w:r w:rsidRPr="0001292D">
        <w:rPr>
          <w:rFonts w:ascii="黑体" w:eastAsia="黑体" w:hAnsi="黑体" w:hint="eastAsia"/>
          <w:color w:val="000000" w:themeColor="text1"/>
          <w:sz w:val="28"/>
          <w:szCs w:val="28"/>
        </w:rPr>
        <w:t>免疫细胞类型特异性基因表达谱</w:t>
      </w:r>
    </w:p>
    <w:p w14:paraId="77D6C220" w14:textId="1BE4E2F5" w:rsidR="0001292D" w:rsidRDefault="0001292D" w:rsidP="0001292D">
      <w:pPr>
        <w:rPr>
          <w:rFonts w:ascii="黑体" w:eastAsia="黑体" w:hAnsi="黑体"/>
          <w:color w:val="000000" w:themeColor="text1"/>
          <w:sz w:val="28"/>
          <w:szCs w:val="28"/>
        </w:rPr>
      </w:pPr>
      <w:r>
        <w:rPr>
          <w:rFonts w:ascii="黑体" w:eastAsia="黑体" w:hAnsi="黑体" w:hint="eastAsia"/>
          <w:color w:val="000000" w:themeColor="text1"/>
          <w:sz w:val="28"/>
          <w:szCs w:val="28"/>
        </w:rPr>
        <w:t>-</w:t>
      </w:r>
      <w:r w:rsidRPr="0001292D">
        <w:rPr>
          <w:rFonts w:ascii="黑体" w:eastAsia="黑体" w:hAnsi="黑体" w:hint="eastAsia"/>
          <w:color w:val="000000" w:themeColor="text1"/>
          <w:sz w:val="28"/>
          <w:szCs w:val="28"/>
        </w:rPr>
        <w:t>通过qPCR验证RNA-seq数据</w:t>
      </w:r>
    </w:p>
    <w:p w14:paraId="36E38A40" w14:textId="6DF44B93" w:rsidR="001D0DF9" w:rsidRDefault="001D0DF9" w:rsidP="0001292D">
      <w:pPr>
        <w:rPr>
          <w:rFonts w:ascii="黑体" w:eastAsia="黑体" w:hAnsi="黑体"/>
          <w:color w:val="000000" w:themeColor="text1"/>
          <w:sz w:val="28"/>
          <w:szCs w:val="28"/>
        </w:rPr>
      </w:pPr>
      <w:r>
        <w:rPr>
          <w:rFonts w:ascii="黑体" w:eastAsia="黑体" w:hAnsi="黑体" w:hint="eastAsia"/>
          <w:color w:val="000000" w:themeColor="text1"/>
          <w:sz w:val="28"/>
          <w:szCs w:val="28"/>
        </w:rPr>
        <w:t>-</w:t>
      </w:r>
      <w:r w:rsidR="0092729C">
        <w:rPr>
          <w:rFonts w:ascii="黑体" w:eastAsia="黑体" w:hAnsi="黑体" w:hint="eastAsia"/>
          <w:color w:val="000000" w:themeColor="text1"/>
          <w:sz w:val="28"/>
          <w:szCs w:val="28"/>
        </w:rPr>
        <w:t>小鼠模型验证</w:t>
      </w:r>
    </w:p>
    <w:p w14:paraId="50042782" w14:textId="77777777" w:rsidR="00E57ADE" w:rsidRPr="0001292D" w:rsidRDefault="00E57ADE" w:rsidP="0001292D">
      <w:pPr>
        <w:rPr>
          <w:rFonts w:ascii="黑体" w:eastAsia="黑体" w:hAnsi="黑体"/>
          <w:color w:val="000000" w:themeColor="text1"/>
          <w:sz w:val="28"/>
          <w:szCs w:val="28"/>
        </w:rPr>
      </w:pPr>
    </w:p>
    <w:p w14:paraId="32910F03" w14:textId="44EA8B09" w:rsidR="00885B10" w:rsidRDefault="00885B10" w:rsidP="006060EE">
      <w:pPr>
        <w:rPr>
          <w:rFonts w:ascii="黑体" w:eastAsia="黑体" w:hAnsi="黑体"/>
          <w:color w:val="000000" w:themeColor="text1"/>
          <w:sz w:val="28"/>
          <w:szCs w:val="28"/>
        </w:rPr>
      </w:pPr>
      <w:r>
        <w:rPr>
          <w:rFonts w:ascii="黑体" w:eastAsia="黑体" w:hAnsi="黑体" w:hint="eastAsia"/>
          <w:color w:val="000000" w:themeColor="text1"/>
          <w:sz w:val="28"/>
          <w:szCs w:val="28"/>
        </w:rPr>
        <w:t>计划：</w:t>
      </w:r>
      <w:r>
        <w:rPr>
          <w:rFonts w:ascii="黑体" w:eastAsia="黑体" w:hAnsi="黑体"/>
          <w:color w:val="000000" w:themeColor="text1"/>
          <w:sz w:val="28"/>
          <w:szCs w:val="28"/>
        </w:rPr>
        <w:br/>
      </w:r>
      <w:r w:rsidR="00E57ADE">
        <w:rPr>
          <w:rFonts w:ascii="黑体" w:eastAsia="黑体" w:hAnsi="黑体" w:hint="eastAsia"/>
          <w:color w:val="000000" w:themeColor="text1"/>
          <w:sz w:val="28"/>
          <w:szCs w:val="28"/>
        </w:rPr>
        <w:t>-</w:t>
      </w:r>
      <w:r w:rsidR="00E57ADE">
        <w:rPr>
          <w:rFonts w:ascii="黑体" w:eastAsia="黑体" w:hAnsi="黑体"/>
          <w:color w:val="000000" w:themeColor="text1"/>
          <w:sz w:val="28"/>
          <w:szCs w:val="28"/>
        </w:rPr>
        <w:t>2019</w:t>
      </w:r>
      <w:r w:rsidR="00E57ADE">
        <w:rPr>
          <w:rFonts w:ascii="黑体" w:eastAsia="黑体" w:hAnsi="黑体" w:hint="eastAsia"/>
          <w:color w:val="000000" w:themeColor="text1"/>
          <w:sz w:val="28"/>
          <w:szCs w:val="28"/>
        </w:rPr>
        <w:t>-</w:t>
      </w:r>
      <w:r w:rsidR="00E57ADE">
        <w:rPr>
          <w:rFonts w:ascii="黑体" w:eastAsia="黑体" w:hAnsi="黑体"/>
          <w:color w:val="000000" w:themeColor="text1"/>
          <w:sz w:val="28"/>
          <w:szCs w:val="28"/>
        </w:rPr>
        <w:t>2020</w:t>
      </w:r>
      <w:r w:rsidR="00E57ADE">
        <w:rPr>
          <w:rFonts w:ascii="黑体" w:eastAsia="黑体" w:hAnsi="黑体" w:hint="eastAsia"/>
          <w:color w:val="000000" w:themeColor="text1"/>
          <w:sz w:val="28"/>
          <w:szCs w:val="28"/>
        </w:rPr>
        <w:t>年，完成项目立项、评估答辩、患者招募、肿瘤样本的收集及测序</w:t>
      </w:r>
    </w:p>
    <w:p w14:paraId="584C7F5F" w14:textId="217F5D49" w:rsidR="00E57ADE" w:rsidRDefault="00E57ADE" w:rsidP="006060EE">
      <w:pPr>
        <w:rPr>
          <w:rFonts w:ascii="黑体" w:eastAsia="黑体" w:hAnsi="黑体"/>
          <w:color w:val="000000" w:themeColor="text1"/>
          <w:sz w:val="28"/>
          <w:szCs w:val="28"/>
        </w:rPr>
      </w:pPr>
      <w:r>
        <w:rPr>
          <w:rFonts w:ascii="黑体" w:eastAsia="黑体" w:hAnsi="黑体" w:hint="eastAsia"/>
          <w:color w:val="000000" w:themeColor="text1"/>
          <w:sz w:val="28"/>
          <w:szCs w:val="28"/>
        </w:rPr>
        <w:t>-2</w:t>
      </w:r>
      <w:r>
        <w:rPr>
          <w:rFonts w:ascii="黑体" w:eastAsia="黑体" w:hAnsi="黑体"/>
          <w:color w:val="000000" w:themeColor="text1"/>
          <w:sz w:val="28"/>
          <w:szCs w:val="28"/>
        </w:rPr>
        <w:t>020</w:t>
      </w:r>
      <w:r>
        <w:rPr>
          <w:rFonts w:ascii="黑体" w:eastAsia="黑体" w:hAnsi="黑体" w:hint="eastAsia"/>
          <w:color w:val="000000" w:themeColor="text1"/>
          <w:sz w:val="28"/>
          <w:szCs w:val="28"/>
        </w:rPr>
        <w:t>-</w:t>
      </w:r>
      <w:r>
        <w:rPr>
          <w:rFonts w:ascii="黑体" w:eastAsia="黑体" w:hAnsi="黑体"/>
          <w:color w:val="000000" w:themeColor="text1"/>
          <w:sz w:val="28"/>
          <w:szCs w:val="28"/>
        </w:rPr>
        <w:t>2021</w:t>
      </w:r>
      <w:r>
        <w:rPr>
          <w:rFonts w:ascii="黑体" w:eastAsia="黑体" w:hAnsi="黑体" w:hint="eastAsia"/>
          <w:color w:val="000000" w:themeColor="text1"/>
          <w:sz w:val="28"/>
          <w:szCs w:val="28"/>
        </w:rPr>
        <w:t>年，数据分析基础上，持续跟踪患者的病理状况，并收集相关临床资料；研究论文的撰写</w:t>
      </w:r>
    </w:p>
    <w:p w14:paraId="438A9D3A" w14:textId="30109263" w:rsidR="00E57ADE" w:rsidRDefault="00E57ADE" w:rsidP="006060EE">
      <w:pPr>
        <w:rPr>
          <w:rFonts w:ascii="黑体" w:eastAsia="黑体" w:hAnsi="黑体"/>
          <w:color w:val="000000" w:themeColor="text1"/>
          <w:sz w:val="28"/>
          <w:szCs w:val="28"/>
        </w:rPr>
      </w:pPr>
      <w:r>
        <w:rPr>
          <w:rFonts w:ascii="黑体" w:eastAsia="黑体" w:hAnsi="黑体" w:hint="eastAsia"/>
          <w:color w:val="000000" w:themeColor="text1"/>
          <w:sz w:val="28"/>
          <w:szCs w:val="28"/>
        </w:rPr>
        <w:lastRenderedPageBreak/>
        <w:t>-2</w:t>
      </w:r>
      <w:r>
        <w:rPr>
          <w:rFonts w:ascii="黑体" w:eastAsia="黑体" w:hAnsi="黑体"/>
          <w:color w:val="000000" w:themeColor="text1"/>
          <w:sz w:val="28"/>
          <w:szCs w:val="28"/>
        </w:rPr>
        <w:t>021</w:t>
      </w:r>
      <w:r>
        <w:rPr>
          <w:rFonts w:ascii="黑体" w:eastAsia="黑体" w:hAnsi="黑体" w:hint="eastAsia"/>
          <w:color w:val="000000" w:themeColor="text1"/>
          <w:sz w:val="28"/>
          <w:szCs w:val="28"/>
        </w:rPr>
        <w:t>-</w:t>
      </w:r>
      <w:r>
        <w:rPr>
          <w:rFonts w:ascii="黑体" w:eastAsia="黑体" w:hAnsi="黑体"/>
          <w:color w:val="000000" w:themeColor="text1"/>
          <w:sz w:val="28"/>
          <w:szCs w:val="28"/>
        </w:rPr>
        <w:t>2022</w:t>
      </w:r>
      <w:r>
        <w:rPr>
          <w:rFonts w:ascii="黑体" w:eastAsia="黑体" w:hAnsi="黑体" w:hint="eastAsia"/>
          <w:color w:val="000000" w:themeColor="text1"/>
          <w:sz w:val="28"/>
          <w:szCs w:val="28"/>
        </w:rPr>
        <w:t>年，项目答辩，数据的补充以及上游分析的下游验证</w:t>
      </w:r>
    </w:p>
    <w:p w14:paraId="2315C223" w14:textId="77777777" w:rsidR="00885B10" w:rsidRDefault="00885B10" w:rsidP="006060EE">
      <w:pPr>
        <w:rPr>
          <w:rFonts w:ascii="黑体" w:eastAsia="黑体" w:hAnsi="黑体"/>
          <w:color w:val="000000" w:themeColor="text1"/>
          <w:sz w:val="28"/>
          <w:szCs w:val="28"/>
        </w:rPr>
      </w:pPr>
    </w:p>
    <w:p w14:paraId="7738A9EC" w14:textId="77777777" w:rsidR="00885B10" w:rsidRDefault="00885B10" w:rsidP="006060EE">
      <w:pPr>
        <w:rPr>
          <w:rFonts w:ascii="黑体" w:eastAsia="黑体" w:hAnsi="黑体"/>
          <w:color w:val="000000" w:themeColor="text1"/>
          <w:sz w:val="28"/>
          <w:szCs w:val="28"/>
        </w:rPr>
      </w:pPr>
    </w:p>
    <w:p w14:paraId="31705BE6" w14:textId="77777777" w:rsidR="00885B10" w:rsidRDefault="00885B10" w:rsidP="006060EE">
      <w:pPr>
        <w:rPr>
          <w:rFonts w:ascii="黑体" w:eastAsia="黑体" w:hAnsi="黑体"/>
          <w:color w:val="000000" w:themeColor="text1"/>
          <w:sz w:val="28"/>
          <w:szCs w:val="28"/>
        </w:rPr>
      </w:pPr>
    </w:p>
    <w:p w14:paraId="445A665C" w14:textId="53DBC70F" w:rsidR="006060EE" w:rsidRDefault="006060EE" w:rsidP="006060EE">
      <w:pPr>
        <w:rPr>
          <w:rFonts w:ascii="黑体" w:eastAsia="黑体" w:hAnsi="黑体"/>
          <w:color w:val="000000" w:themeColor="text1"/>
          <w:sz w:val="28"/>
          <w:szCs w:val="28"/>
        </w:rPr>
      </w:pPr>
      <w:r>
        <w:rPr>
          <w:rFonts w:ascii="黑体" w:eastAsia="黑体" w:hAnsi="黑体" w:hint="eastAsia"/>
          <w:color w:val="000000" w:themeColor="text1"/>
          <w:sz w:val="28"/>
          <w:szCs w:val="28"/>
        </w:rPr>
        <w:t>题目：</w:t>
      </w:r>
      <w:proofErr w:type="spellStart"/>
      <w:r>
        <w:rPr>
          <w:rFonts w:ascii="黑体" w:eastAsia="黑体" w:hAnsi="黑体" w:hint="eastAsia"/>
          <w:color w:val="000000" w:themeColor="text1"/>
          <w:sz w:val="28"/>
          <w:szCs w:val="28"/>
        </w:rPr>
        <w:t>scRNA</w:t>
      </w:r>
      <w:proofErr w:type="spellEnd"/>
      <w:r>
        <w:rPr>
          <w:rFonts w:ascii="黑体" w:eastAsia="黑体" w:hAnsi="黑体" w:hint="eastAsia"/>
          <w:color w:val="000000" w:themeColor="text1"/>
          <w:sz w:val="28"/>
          <w:szCs w:val="28"/>
        </w:rPr>
        <w:t>-seq探究</w:t>
      </w:r>
      <w:r w:rsidR="003E7346">
        <w:rPr>
          <w:rFonts w:ascii="黑体" w:eastAsia="黑体" w:hAnsi="黑体" w:hint="eastAsia"/>
          <w:color w:val="000000" w:themeColor="text1"/>
          <w:sz w:val="28"/>
          <w:szCs w:val="28"/>
        </w:rPr>
        <w:t>三阴乳腺癌NAC治疗后</w:t>
      </w:r>
      <w:r w:rsidR="00A45CD4">
        <w:rPr>
          <w:rFonts w:ascii="黑体" w:eastAsia="黑体" w:hAnsi="黑体" w:hint="eastAsia"/>
          <w:color w:val="000000" w:themeColor="text1"/>
          <w:sz w:val="28"/>
          <w:szCs w:val="28"/>
        </w:rPr>
        <w:t>肿瘤微环境</w:t>
      </w:r>
    </w:p>
    <w:p w14:paraId="5B15B3BB" w14:textId="77777777" w:rsidR="006060EE" w:rsidRDefault="006060EE" w:rsidP="006060EE">
      <w:pPr>
        <w:rPr>
          <w:rFonts w:ascii="黑体" w:eastAsia="黑体" w:hAnsi="黑体"/>
          <w:color w:val="000000" w:themeColor="text1"/>
          <w:sz w:val="28"/>
          <w:szCs w:val="28"/>
        </w:rPr>
      </w:pPr>
      <w:r>
        <w:rPr>
          <w:rFonts w:ascii="黑体" w:eastAsia="黑体" w:hAnsi="黑体" w:hint="eastAsia"/>
          <w:color w:val="000000" w:themeColor="text1"/>
          <w:sz w:val="28"/>
          <w:szCs w:val="28"/>
        </w:rPr>
        <w:t>立项人：吉林大学 朱明远</w:t>
      </w:r>
    </w:p>
    <w:p w14:paraId="6A9D04BE" w14:textId="2FFA2946" w:rsidR="006060EE" w:rsidRDefault="006060EE" w:rsidP="006060EE">
      <w:pPr>
        <w:rPr>
          <w:rFonts w:ascii="黑体" w:eastAsia="黑体" w:hAnsi="黑体"/>
          <w:color w:val="000000" w:themeColor="text1"/>
          <w:sz w:val="28"/>
          <w:szCs w:val="28"/>
        </w:rPr>
      </w:pPr>
      <w:r>
        <w:rPr>
          <w:rFonts w:ascii="黑体" w:eastAsia="黑体" w:hAnsi="黑体" w:hint="eastAsia"/>
          <w:color w:val="000000" w:themeColor="text1"/>
          <w:sz w:val="28"/>
          <w:szCs w:val="28"/>
        </w:rPr>
        <w:t>项目意义：</w:t>
      </w:r>
    </w:p>
    <w:p w14:paraId="2B0E2F28" w14:textId="60D759DC" w:rsidR="00A45CD4" w:rsidRDefault="00A45CD4" w:rsidP="006060EE">
      <w:pPr>
        <w:rPr>
          <w:rFonts w:ascii="黑体" w:eastAsia="黑体" w:hAnsi="黑体"/>
          <w:color w:val="000000" w:themeColor="text1"/>
          <w:sz w:val="28"/>
          <w:szCs w:val="28"/>
        </w:rPr>
      </w:pPr>
      <w:r>
        <w:rPr>
          <w:rFonts w:ascii="黑体" w:eastAsia="黑体" w:hAnsi="黑体" w:hint="eastAsia"/>
          <w:color w:val="000000" w:themeColor="text1"/>
          <w:sz w:val="28"/>
          <w:szCs w:val="28"/>
        </w:rPr>
        <w:t>-三阴乳腺癌的研究意义</w:t>
      </w:r>
    </w:p>
    <w:p w14:paraId="27FC5B45" w14:textId="01B20273" w:rsidR="00B92A67" w:rsidRDefault="00B92A67" w:rsidP="00176936">
      <w:pPr>
        <w:rPr>
          <w:rFonts w:ascii="黑体" w:eastAsia="黑体" w:hAnsi="黑体"/>
          <w:color w:val="000000" w:themeColor="text1"/>
          <w:sz w:val="28"/>
          <w:szCs w:val="28"/>
        </w:rPr>
      </w:pPr>
      <w:r w:rsidRPr="00B92A67">
        <w:rPr>
          <w:rFonts w:ascii="黑体" w:eastAsia="黑体" w:hAnsi="黑体" w:hint="eastAsia"/>
          <w:color w:val="000000" w:themeColor="text1"/>
          <w:sz w:val="28"/>
          <w:szCs w:val="28"/>
        </w:rPr>
        <w:t>因为肿瘤间以及肿瘤内的异质性，针对乳腺癌的控制是十分困难的。其中，三阴乳腺癌（TNBC）由于缺少特异性的靶点，在多个水平上表现出异质性，</w:t>
      </w:r>
      <w:r>
        <w:rPr>
          <w:rFonts w:ascii="黑体" w:eastAsia="黑体" w:hAnsi="黑体" w:hint="eastAsia"/>
          <w:color w:val="000000" w:themeColor="text1"/>
          <w:sz w:val="28"/>
          <w:szCs w:val="28"/>
        </w:rPr>
        <w:t>给</w:t>
      </w:r>
      <w:r w:rsidRPr="00B92A67">
        <w:rPr>
          <w:rFonts w:ascii="黑体" w:eastAsia="黑体" w:hAnsi="黑体" w:hint="eastAsia"/>
          <w:color w:val="000000" w:themeColor="text1"/>
          <w:sz w:val="28"/>
          <w:szCs w:val="28"/>
        </w:rPr>
        <w:t>诊断和治疗</w:t>
      </w:r>
      <w:r>
        <w:rPr>
          <w:rFonts w:ascii="黑体" w:eastAsia="黑体" w:hAnsi="黑体" w:hint="eastAsia"/>
          <w:color w:val="000000" w:themeColor="text1"/>
          <w:sz w:val="28"/>
          <w:szCs w:val="28"/>
        </w:rPr>
        <w:t>提出了</w:t>
      </w:r>
      <w:r w:rsidR="00C16424">
        <w:rPr>
          <w:rFonts w:ascii="黑体" w:eastAsia="黑体" w:hAnsi="黑体" w:hint="eastAsia"/>
          <w:color w:val="000000" w:themeColor="text1"/>
          <w:sz w:val="28"/>
          <w:szCs w:val="28"/>
        </w:rPr>
        <w:t>极大</w:t>
      </w:r>
      <w:r>
        <w:rPr>
          <w:rFonts w:ascii="黑体" w:eastAsia="黑体" w:hAnsi="黑体" w:hint="eastAsia"/>
          <w:color w:val="000000" w:themeColor="text1"/>
          <w:sz w:val="28"/>
          <w:szCs w:val="28"/>
        </w:rPr>
        <w:t>的</w:t>
      </w:r>
      <w:r w:rsidRPr="00B92A67">
        <w:rPr>
          <w:rFonts w:ascii="黑体" w:eastAsia="黑体" w:hAnsi="黑体" w:hint="eastAsia"/>
          <w:color w:val="000000" w:themeColor="text1"/>
          <w:sz w:val="28"/>
          <w:szCs w:val="28"/>
        </w:rPr>
        <w:t>挑战。</w:t>
      </w:r>
    </w:p>
    <w:p w14:paraId="409F2E54" w14:textId="277E0115" w:rsidR="006F171D" w:rsidRDefault="00176936" w:rsidP="00176936">
      <w:pPr>
        <w:rPr>
          <w:rFonts w:ascii="黑体" w:eastAsia="黑体" w:hAnsi="黑体"/>
          <w:color w:val="000000" w:themeColor="text1"/>
          <w:sz w:val="28"/>
          <w:szCs w:val="28"/>
        </w:rPr>
      </w:pPr>
      <w:r w:rsidRPr="00176936">
        <w:rPr>
          <w:rFonts w:ascii="黑体" w:eastAsia="黑体" w:hAnsi="黑体" w:hint="eastAsia"/>
          <w:color w:val="000000" w:themeColor="text1"/>
          <w:sz w:val="28"/>
          <w:szCs w:val="28"/>
        </w:rPr>
        <w:t>随着的诊疗理念的不断进步和科学技术的飞速发展，乳腺癌的治疗效果已较前显著提高，但其仍是我国女性的一大死亡原因。如今，乳腺癌的治疗以根治性手术为核心，放疗、化疗、靶</w:t>
      </w:r>
      <w:proofErr w:type="gramStart"/>
      <w:r w:rsidRPr="00176936">
        <w:rPr>
          <w:rFonts w:ascii="黑体" w:eastAsia="黑体" w:hAnsi="黑体" w:hint="eastAsia"/>
          <w:color w:val="000000" w:themeColor="text1"/>
          <w:sz w:val="28"/>
          <w:szCs w:val="28"/>
        </w:rPr>
        <w:t>向治疗</w:t>
      </w:r>
      <w:proofErr w:type="gramEnd"/>
      <w:r w:rsidRPr="00176936">
        <w:rPr>
          <w:rFonts w:ascii="黑体" w:eastAsia="黑体" w:hAnsi="黑体" w:hint="eastAsia"/>
          <w:color w:val="000000" w:themeColor="text1"/>
          <w:sz w:val="28"/>
          <w:szCs w:val="28"/>
        </w:rPr>
        <w:t>相结合</w:t>
      </w:r>
      <w:r w:rsidR="000513D1">
        <w:rPr>
          <w:rFonts w:ascii="黑体" w:eastAsia="黑体" w:hAnsi="黑体" w:hint="eastAsia"/>
          <w:color w:val="000000" w:themeColor="text1"/>
          <w:sz w:val="28"/>
          <w:szCs w:val="28"/>
        </w:rPr>
        <w:t>，其中</w:t>
      </w:r>
      <w:r w:rsidRPr="00176936">
        <w:rPr>
          <w:rFonts w:ascii="黑体" w:eastAsia="黑体" w:hAnsi="黑体" w:hint="eastAsia"/>
          <w:color w:val="000000" w:themeColor="text1"/>
          <w:sz w:val="28"/>
          <w:szCs w:val="28"/>
        </w:rPr>
        <w:t>新辅助化疗(</w:t>
      </w:r>
      <w:proofErr w:type="spellStart"/>
      <w:r w:rsidRPr="00176936">
        <w:rPr>
          <w:rFonts w:ascii="黑体" w:eastAsia="黑体" w:hAnsi="黑体" w:hint="eastAsia"/>
          <w:color w:val="000000" w:themeColor="text1"/>
          <w:sz w:val="28"/>
          <w:szCs w:val="28"/>
        </w:rPr>
        <w:t>neoadjuvantchemotherapy</w:t>
      </w:r>
      <w:proofErr w:type="spellEnd"/>
      <w:r w:rsidRPr="00176936">
        <w:rPr>
          <w:rFonts w:ascii="黑体" w:eastAsia="黑体" w:hAnsi="黑体" w:hint="eastAsia"/>
          <w:color w:val="000000" w:themeColor="text1"/>
          <w:sz w:val="28"/>
          <w:szCs w:val="28"/>
        </w:rPr>
        <w:t>，NAC)更是得到了十分广泛的临床应用，发挥着举足轻重的作用。除针对局部晚期乳腺癌患者外，NAC还可检测化疗方案敏感性、杀伤</w:t>
      </w:r>
      <w:proofErr w:type="gramStart"/>
      <w:r w:rsidRPr="00176936">
        <w:rPr>
          <w:rFonts w:ascii="黑体" w:eastAsia="黑体" w:hAnsi="黑体" w:hint="eastAsia"/>
          <w:color w:val="000000" w:themeColor="text1"/>
          <w:sz w:val="28"/>
          <w:szCs w:val="28"/>
        </w:rPr>
        <w:t>微转移</w:t>
      </w:r>
      <w:proofErr w:type="gramEnd"/>
      <w:r w:rsidRPr="00176936">
        <w:rPr>
          <w:rFonts w:ascii="黑体" w:eastAsia="黑体" w:hAnsi="黑体" w:hint="eastAsia"/>
          <w:color w:val="000000" w:themeColor="text1"/>
          <w:sz w:val="28"/>
          <w:szCs w:val="28"/>
        </w:rPr>
        <w:t>灶、争取</w:t>
      </w:r>
      <w:proofErr w:type="gramStart"/>
      <w:r w:rsidRPr="00176936">
        <w:rPr>
          <w:rFonts w:ascii="黑体" w:eastAsia="黑体" w:hAnsi="黑体" w:hint="eastAsia"/>
          <w:color w:val="000000" w:themeColor="text1"/>
          <w:sz w:val="28"/>
          <w:szCs w:val="28"/>
        </w:rPr>
        <w:t>降期保乳机</w:t>
      </w:r>
      <w:proofErr w:type="gramEnd"/>
      <w:r w:rsidRPr="00176936">
        <w:rPr>
          <w:rFonts w:ascii="黑体" w:eastAsia="黑体" w:hAnsi="黑体" w:hint="eastAsia"/>
          <w:color w:val="000000" w:themeColor="text1"/>
          <w:sz w:val="28"/>
          <w:szCs w:val="28"/>
        </w:rPr>
        <w:t>会等。相关研究表明，若乳腺癌患者接受NAC后，得以达到病理完全缓解，则其无病生存期(disease free</w:t>
      </w:r>
      <w:r>
        <w:rPr>
          <w:rFonts w:ascii="黑体" w:eastAsia="黑体" w:hAnsi="黑体" w:hint="eastAsia"/>
          <w:color w:val="000000" w:themeColor="text1"/>
          <w:sz w:val="28"/>
          <w:szCs w:val="28"/>
        </w:rPr>
        <w:t xml:space="preserve"> </w:t>
      </w:r>
      <w:r w:rsidRPr="00176936">
        <w:rPr>
          <w:rFonts w:ascii="黑体" w:eastAsia="黑体" w:hAnsi="黑体" w:hint="eastAsia"/>
          <w:color w:val="000000" w:themeColor="text1"/>
          <w:sz w:val="28"/>
          <w:szCs w:val="28"/>
        </w:rPr>
        <w:t>survival，DFS)及总生存期(overall survival，OS)较未达到者更长。但NAC患者能达到</w:t>
      </w:r>
      <w:r w:rsidR="00130F60" w:rsidRPr="00130F60">
        <w:rPr>
          <w:rFonts w:ascii="黑体" w:eastAsia="黑体" w:hAnsi="黑体" w:hint="eastAsia"/>
          <w:color w:val="000000" w:themeColor="text1"/>
          <w:sz w:val="28"/>
          <w:szCs w:val="28"/>
        </w:rPr>
        <w:t>乳腺癌化疗病理学缓解</w:t>
      </w:r>
      <w:r w:rsidR="00130F60">
        <w:rPr>
          <w:rFonts w:ascii="黑体" w:eastAsia="黑体" w:hAnsi="黑体" w:hint="eastAsia"/>
          <w:color w:val="000000" w:themeColor="text1"/>
          <w:sz w:val="28"/>
          <w:szCs w:val="28"/>
        </w:rPr>
        <w:t>（</w:t>
      </w:r>
      <w:proofErr w:type="spellStart"/>
      <w:r w:rsidRPr="00176936">
        <w:rPr>
          <w:rFonts w:ascii="黑体" w:eastAsia="黑体" w:hAnsi="黑体" w:hint="eastAsia"/>
          <w:color w:val="000000" w:themeColor="text1"/>
          <w:sz w:val="28"/>
          <w:szCs w:val="28"/>
        </w:rPr>
        <w:t>pCR</w:t>
      </w:r>
      <w:proofErr w:type="spellEnd"/>
      <w:r w:rsidR="00130F60">
        <w:rPr>
          <w:rFonts w:ascii="黑体" w:eastAsia="黑体" w:hAnsi="黑体" w:hint="eastAsia"/>
          <w:color w:val="000000" w:themeColor="text1"/>
          <w:sz w:val="28"/>
          <w:szCs w:val="28"/>
        </w:rPr>
        <w:t>）</w:t>
      </w:r>
      <w:r w:rsidRPr="00176936">
        <w:rPr>
          <w:rFonts w:ascii="黑体" w:eastAsia="黑体" w:hAnsi="黑体" w:hint="eastAsia"/>
          <w:color w:val="000000" w:themeColor="text1"/>
          <w:sz w:val="28"/>
          <w:szCs w:val="28"/>
        </w:rPr>
        <w:t>者只有20％左右，更有少数患者在NAC期间出现了肿瘤进展。目前对于新辅助化疗的适应症、具体化疗方案、化疗时程、</w:t>
      </w:r>
      <w:r w:rsidRPr="00176936">
        <w:rPr>
          <w:rFonts w:ascii="黑体" w:eastAsia="黑体" w:hAnsi="黑体" w:hint="eastAsia"/>
          <w:color w:val="000000" w:themeColor="text1"/>
          <w:sz w:val="28"/>
          <w:szCs w:val="28"/>
        </w:rPr>
        <w:lastRenderedPageBreak/>
        <w:t>疗效评价等尚未完全达成共识，一定程度上影响了病人的受益及新辅助化疗的推广应用。现如今，乳腺癌新辅助化疗已经过了三十余年的发展，但还存在诸多问题待进一步研究，如新辅助化疗对象的选择，预测和监测及评估疗效。因而，研究NAC疗效的预测因子，对乳腺癌个体化综合治疗的开展具有很大的临床意义和实用价值。</w:t>
      </w:r>
      <w:r>
        <w:rPr>
          <w:rFonts w:ascii="黑体" w:eastAsia="黑体" w:hAnsi="黑体" w:hint="eastAsia"/>
          <w:color w:val="000000" w:themeColor="text1"/>
          <w:sz w:val="28"/>
          <w:szCs w:val="28"/>
        </w:rPr>
        <w:t xml:space="preserve"> </w:t>
      </w:r>
    </w:p>
    <w:p w14:paraId="01933CF0" w14:textId="21E59955" w:rsidR="003E7346" w:rsidRDefault="00A8535E" w:rsidP="006060EE">
      <w:pPr>
        <w:rPr>
          <w:rFonts w:ascii="黑体" w:eastAsia="黑体" w:hAnsi="黑体"/>
          <w:color w:val="000000" w:themeColor="text1"/>
          <w:sz w:val="28"/>
          <w:szCs w:val="28"/>
        </w:rPr>
      </w:pPr>
      <w:r w:rsidRPr="00A8535E">
        <w:rPr>
          <w:rFonts w:ascii="黑体" w:eastAsia="黑体" w:hAnsi="黑体" w:hint="eastAsia"/>
          <w:color w:val="000000" w:themeColor="text1"/>
          <w:sz w:val="28"/>
          <w:szCs w:val="28"/>
        </w:rPr>
        <w:t>尽管约30％的TNBC对标准治疗化学疗法敏感，导致存活率提高，</w:t>
      </w:r>
      <w:r>
        <w:rPr>
          <w:rFonts w:ascii="黑体" w:eastAsia="黑体" w:hAnsi="黑体" w:hint="eastAsia"/>
          <w:color w:val="000000" w:themeColor="text1"/>
          <w:sz w:val="28"/>
          <w:szCs w:val="28"/>
        </w:rPr>
        <w:t>但有些</w:t>
      </w:r>
      <w:r w:rsidR="003E7346">
        <w:rPr>
          <w:rFonts w:ascii="黑体" w:eastAsia="黑体" w:hAnsi="黑体" w:hint="eastAsia"/>
          <w:color w:val="000000" w:themeColor="text1"/>
          <w:sz w:val="28"/>
          <w:szCs w:val="28"/>
        </w:rPr>
        <w:t>患者</w:t>
      </w:r>
      <w:r w:rsidR="0035037B">
        <w:rPr>
          <w:rFonts w:ascii="黑体" w:eastAsia="黑体" w:hAnsi="黑体" w:hint="eastAsia"/>
          <w:color w:val="000000" w:themeColor="text1"/>
          <w:sz w:val="28"/>
          <w:szCs w:val="28"/>
        </w:rPr>
        <w:t>缺乏</w:t>
      </w:r>
      <w:r w:rsidR="003E7346">
        <w:rPr>
          <w:rFonts w:ascii="黑体" w:eastAsia="黑体" w:hAnsi="黑体" w:hint="eastAsia"/>
          <w:color w:val="000000" w:themeColor="text1"/>
          <w:sz w:val="28"/>
          <w:szCs w:val="28"/>
        </w:rPr>
        <w:t>雌激素和孕激素受体以及</w:t>
      </w:r>
      <w:r w:rsidR="0035037B">
        <w:rPr>
          <w:rFonts w:ascii="黑体" w:eastAsia="黑体" w:hAnsi="黑体" w:hint="eastAsia"/>
          <w:color w:val="000000" w:themeColor="text1"/>
          <w:sz w:val="28"/>
          <w:szCs w:val="28"/>
        </w:rPr>
        <w:t>人表皮生长因子2（HER</w:t>
      </w:r>
      <w:r w:rsidR="0035037B">
        <w:rPr>
          <w:rFonts w:ascii="黑体" w:eastAsia="黑体" w:hAnsi="黑体"/>
          <w:color w:val="000000" w:themeColor="text1"/>
          <w:sz w:val="28"/>
          <w:szCs w:val="28"/>
        </w:rPr>
        <w:t>2</w:t>
      </w:r>
      <w:r w:rsidR="0035037B">
        <w:rPr>
          <w:rFonts w:ascii="黑体" w:eastAsia="黑体" w:hAnsi="黑体" w:hint="eastAsia"/>
          <w:color w:val="000000" w:themeColor="text1"/>
          <w:sz w:val="28"/>
          <w:szCs w:val="28"/>
        </w:rPr>
        <w:t>）受体，使得他们不适合激素或者抗HER</w:t>
      </w:r>
      <w:r w:rsidR="0035037B">
        <w:rPr>
          <w:rFonts w:ascii="黑体" w:eastAsia="黑体" w:hAnsi="黑体"/>
          <w:color w:val="000000" w:themeColor="text1"/>
          <w:sz w:val="28"/>
          <w:szCs w:val="28"/>
        </w:rPr>
        <w:t>2</w:t>
      </w:r>
      <w:r w:rsidR="0035037B">
        <w:rPr>
          <w:rFonts w:ascii="黑体" w:eastAsia="黑体" w:hAnsi="黑体" w:hint="eastAsia"/>
          <w:color w:val="000000" w:themeColor="text1"/>
          <w:sz w:val="28"/>
          <w:szCs w:val="28"/>
        </w:rPr>
        <w:t>治疗</w:t>
      </w:r>
      <w:r>
        <w:rPr>
          <w:rFonts w:ascii="黑体" w:eastAsia="黑体" w:hAnsi="黑体" w:hint="eastAsia"/>
          <w:color w:val="000000" w:themeColor="text1"/>
          <w:sz w:val="28"/>
          <w:szCs w:val="28"/>
        </w:rPr>
        <w:t>，</w:t>
      </w:r>
      <w:r w:rsidR="00B92A67">
        <w:rPr>
          <w:rFonts w:ascii="黑体" w:eastAsia="黑体" w:hAnsi="黑体" w:hint="eastAsia"/>
          <w:color w:val="000000" w:themeColor="text1"/>
          <w:sz w:val="28"/>
          <w:szCs w:val="28"/>
        </w:rPr>
        <w:t>因此</w:t>
      </w:r>
      <w:r>
        <w:rPr>
          <w:rFonts w:ascii="黑体" w:eastAsia="黑体" w:hAnsi="黑体" w:hint="eastAsia"/>
          <w:color w:val="000000" w:themeColor="text1"/>
          <w:sz w:val="28"/>
          <w:szCs w:val="28"/>
        </w:rPr>
        <w:t>新辅助化疗（NAC）成为了许多TNBC患者的护理标准，</w:t>
      </w:r>
      <w:r w:rsidR="0035037B">
        <w:rPr>
          <w:rFonts w:ascii="黑体" w:eastAsia="黑体" w:hAnsi="黑体" w:hint="eastAsia"/>
          <w:color w:val="000000" w:themeColor="text1"/>
          <w:sz w:val="28"/>
          <w:szCs w:val="28"/>
        </w:rPr>
        <w:t>。虽然NAC治疗对一些TNBC患者有效，但大约一般患者会产生耐药性，导致总体生存率低下。</w:t>
      </w:r>
      <w:r w:rsidR="0035037B" w:rsidRPr="0035037B">
        <w:rPr>
          <w:rFonts w:ascii="黑体" w:eastAsia="黑体" w:hAnsi="黑体" w:hint="eastAsia"/>
          <w:color w:val="000000" w:themeColor="text1"/>
          <w:sz w:val="28"/>
          <w:szCs w:val="28"/>
        </w:rPr>
        <w:t>以前其他癌症的基因组</w:t>
      </w:r>
      <w:r w:rsidR="00B92A67">
        <w:rPr>
          <w:rFonts w:ascii="黑体" w:eastAsia="黑体" w:hAnsi="黑体" w:hint="eastAsia"/>
          <w:color w:val="000000" w:themeColor="text1"/>
          <w:sz w:val="28"/>
          <w:szCs w:val="28"/>
        </w:rPr>
        <w:t>学</w:t>
      </w:r>
      <w:r w:rsidR="0035037B" w:rsidRPr="0035037B">
        <w:rPr>
          <w:rFonts w:ascii="黑体" w:eastAsia="黑体" w:hAnsi="黑体" w:hint="eastAsia"/>
          <w:color w:val="000000" w:themeColor="text1"/>
          <w:sz w:val="28"/>
          <w:szCs w:val="28"/>
        </w:rPr>
        <w:t>研究</w:t>
      </w:r>
      <w:r w:rsidR="0035037B">
        <w:rPr>
          <w:rFonts w:ascii="黑体" w:eastAsia="黑体" w:hAnsi="黑体" w:hint="eastAsia"/>
          <w:color w:val="000000" w:themeColor="text1"/>
          <w:sz w:val="28"/>
          <w:szCs w:val="28"/>
        </w:rPr>
        <w:t>经验</w:t>
      </w:r>
      <w:r w:rsidR="0035037B" w:rsidRPr="0035037B">
        <w:rPr>
          <w:rFonts w:ascii="黑体" w:eastAsia="黑体" w:hAnsi="黑体" w:hint="eastAsia"/>
          <w:color w:val="000000" w:themeColor="text1"/>
          <w:sz w:val="28"/>
          <w:szCs w:val="28"/>
        </w:rPr>
        <w:t>表明，在不同的癌症类型中，会产生两种以上不同的抗性</w:t>
      </w:r>
      <w:r w:rsidR="0035037B">
        <w:rPr>
          <w:rFonts w:ascii="黑体" w:eastAsia="黑体" w:hAnsi="黑体" w:hint="eastAsia"/>
          <w:color w:val="000000" w:themeColor="text1"/>
          <w:sz w:val="28"/>
          <w:szCs w:val="28"/>
        </w:rPr>
        <w:t>，即</w:t>
      </w:r>
      <w:r w:rsidR="0035037B" w:rsidRPr="0035037B">
        <w:rPr>
          <w:rFonts w:ascii="黑体" w:eastAsia="黑体" w:hAnsi="黑体" w:hint="eastAsia"/>
          <w:color w:val="000000" w:themeColor="text1"/>
          <w:sz w:val="28"/>
          <w:szCs w:val="28"/>
        </w:rPr>
        <w:t>先前已有的亚克隆的选择和扩增（即适应性抵抗，adaptive resistance），</w:t>
      </w:r>
      <w:r w:rsidR="0035037B">
        <w:rPr>
          <w:rFonts w:ascii="黑体" w:eastAsia="黑体" w:hAnsi="黑体" w:hint="eastAsia"/>
          <w:color w:val="000000" w:themeColor="text1"/>
          <w:sz w:val="28"/>
          <w:szCs w:val="28"/>
        </w:rPr>
        <w:t>及</w:t>
      </w:r>
      <w:r w:rsidR="0035037B" w:rsidRPr="0035037B">
        <w:rPr>
          <w:rFonts w:ascii="黑体" w:eastAsia="黑体" w:hAnsi="黑体" w:hint="eastAsia"/>
          <w:color w:val="000000" w:themeColor="text1"/>
          <w:sz w:val="28"/>
          <w:szCs w:val="28"/>
        </w:rPr>
        <w:t>由于化疗导致的新突变而产生的（即获得性抵抗，acquired resistance）</w:t>
      </w:r>
      <w:r w:rsidR="0035037B">
        <w:rPr>
          <w:rFonts w:ascii="黑体" w:eastAsia="黑体" w:hAnsi="黑体" w:hint="eastAsia"/>
          <w:color w:val="000000" w:themeColor="text1"/>
          <w:sz w:val="28"/>
          <w:szCs w:val="28"/>
        </w:rPr>
        <w:t>。由于</w:t>
      </w:r>
      <w:r w:rsidR="0035037B" w:rsidRPr="0035037B">
        <w:rPr>
          <w:rFonts w:ascii="黑体" w:eastAsia="黑体" w:hAnsi="黑体" w:hint="eastAsia"/>
          <w:color w:val="000000" w:themeColor="text1"/>
          <w:sz w:val="28"/>
          <w:szCs w:val="28"/>
        </w:rPr>
        <w:t>目前尚不清楚化疗抗性的产生</w:t>
      </w:r>
      <w:r w:rsidR="0035037B">
        <w:rPr>
          <w:rFonts w:ascii="黑体" w:eastAsia="黑体" w:hAnsi="黑体" w:hint="eastAsia"/>
          <w:color w:val="000000" w:themeColor="text1"/>
          <w:sz w:val="28"/>
          <w:szCs w:val="28"/>
        </w:rPr>
        <w:t>，</w:t>
      </w:r>
      <w:r w:rsidRPr="00A8535E">
        <w:rPr>
          <w:rFonts w:ascii="黑体" w:eastAsia="黑体" w:hAnsi="黑体" w:hint="eastAsia"/>
          <w:color w:val="000000" w:themeColor="text1"/>
          <w:sz w:val="28"/>
          <w:szCs w:val="28"/>
        </w:rPr>
        <w:t>对精细敏感肿瘤依赖性的缺乏机械性理解和缺乏预测因素阻碍了</w:t>
      </w:r>
      <w:r>
        <w:rPr>
          <w:rFonts w:ascii="黑体" w:eastAsia="黑体" w:hAnsi="黑体" w:hint="eastAsia"/>
          <w:color w:val="000000" w:themeColor="text1"/>
          <w:sz w:val="28"/>
          <w:szCs w:val="28"/>
        </w:rPr>
        <w:t>NAC</w:t>
      </w:r>
      <w:r w:rsidRPr="00A8535E">
        <w:rPr>
          <w:rFonts w:ascii="黑体" w:eastAsia="黑体" w:hAnsi="黑体" w:hint="eastAsia"/>
          <w:color w:val="000000" w:themeColor="text1"/>
          <w:sz w:val="28"/>
          <w:szCs w:val="28"/>
        </w:rPr>
        <w:t>向乳腺癌精准医学范式的转化。</w:t>
      </w:r>
      <w:r w:rsidR="0035037B" w:rsidRPr="0035037B">
        <w:rPr>
          <w:rFonts w:ascii="黑体" w:eastAsia="黑体" w:hAnsi="黑体" w:hint="eastAsia"/>
          <w:color w:val="000000" w:themeColor="text1"/>
          <w:sz w:val="28"/>
          <w:szCs w:val="28"/>
        </w:rPr>
        <w:t>通过对</w:t>
      </w:r>
      <w:r w:rsidR="00C34518">
        <w:rPr>
          <w:rFonts w:ascii="黑体" w:eastAsia="黑体" w:hAnsi="黑体" w:hint="eastAsia"/>
          <w:color w:val="000000" w:themeColor="text1"/>
          <w:sz w:val="28"/>
          <w:szCs w:val="28"/>
        </w:rPr>
        <w:t>肿瘤组织进行测序</w:t>
      </w:r>
      <w:r w:rsidR="0035037B" w:rsidRPr="0035037B">
        <w:rPr>
          <w:rFonts w:ascii="黑体" w:eastAsia="黑体" w:hAnsi="黑体" w:hint="eastAsia"/>
          <w:color w:val="000000" w:themeColor="text1"/>
          <w:sz w:val="28"/>
          <w:szCs w:val="28"/>
        </w:rPr>
        <w:t>，以试图了解是否化疗后新突变会自发产生，或者是否在治疗前突变就已经以很低的水平存在了。</w:t>
      </w:r>
    </w:p>
    <w:p w14:paraId="0DEA343A" w14:textId="0FCF1580" w:rsidR="00CE023E" w:rsidRDefault="006B474B" w:rsidP="00015A43">
      <w:pPr>
        <w:rPr>
          <w:rFonts w:ascii="黑体" w:eastAsia="黑体" w:hAnsi="黑体"/>
          <w:color w:val="000000" w:themeColor="text1"/>
          <w:sz w:val="28"/>
          <w:szCs w:val="28"/>
        </w:rPr>
      </w:pPr>
      <w:r w:rsidRPr="00B92A67">
        <w:rPr>
          <w:rFonts w:ascii="黑体" w:eastAsia="黑体" w:hAnsi="黑体" w:hint="eastAsia"/>
          <w:color w:val="000000" w:themeColor="text1"/>
          <w:sz w:val="28"/>
          <w:szCs w:val="28"/>
        </w:rPr>
        <w:t>尽管TNBC微环境（基质）在肿瘤进展中可能起关键作用，但其异质性尚未很好的被大家所认知。同样，肿瘤异质性对治疗效果以及患者的治愈后影响仍然不明确。</w:t>
      </w:r>
      <w:r w:rsidR="00CE023E" w:rsidRPr="00CE023E">
        <w:rPr>
          <w:rFonts w:ascii="黑体" w:eastAsia="黑体" w:hAnsi="黑体" w:hint="eastAsia"/>
          <w:color w:val="000000" w:themeColor="text1"/>
          <w:sz w:val="28"/>
          <w:szCs w:val="28"/>
        </w:rPr>
        <w:t>免疫系统细胞在非淋巴正常组织和肿瘤中起着重要的辅助功</w:t>
      </w:r>
      <w:r w:rsidR="00CE023E" w:rsidRPr="00CE023E">
        <w:rPr>
          <w:rFonts w:ascii="MS Gothic" w:eastAsia="MS Gothic" w:hAnsi="MS Gothic" w:cs="MS Gothic" w:hint="eastAsia"/>
          <w:color w:val="000000" w:themeColor="text1"/>
          <w:sz w:val="28"/>
          <w:szCs w:val="28"/>
        </w:rPr>
        <w:t>​​</w:t>
      </w:r>
      <w:r w:rsidR="00CE023E" w:rsidRPr="00CE023E">
        <w:rPr>
          <w:rFonts w:ascii="黑体" w:eastAsia="黑体" w:hAnsi="黑体" w:cs="黑体" w:hint="eastAsia"/>
          <w:color w:val="000000" w:themeColor="text1"/>
          <w:sz w:val="28"/>
          <w:szCs w:val="28"/>
        </w:rPr>
        <w:t>能</w:t>
      </w:r>
      <w:r w:rsidR="00CE023E">
        <w:rPr>
          <w:rFonts w:ascii="黑体" w:eastAsia="黑体" w:hAnsi="黑体" w:cs="黑体" w:hint="eastAsia"/>
          <w:color w:val="000000" w:themeColor="text1"/>
          <w:sz w:val="28"/>
          <w:szCs w:val="28"/>
        </w:rPr>
        <w:t>，</w:t>
      </w:r>
      <w:r w:rsidR="00CE023E" w:rsidRPr="00CE023E">
        <w:rPr>
          <w:rFonts w:ascii="黑体" w:eastAsia="黑体" w:hAnsi="黑体" w:cs="黑体" w:hint="eastAsia"/>
          <w:color w:val="000000" w:themeColor="text1"/>
          <w:sz w:val="28"/>
          <w:szCs w:val="28"/>
        </w:rPr>
        <w:t>幼稚，效应和记忆T淋巴细胞和慢性刺激的功</w:t>
      </w:r>
      <w:r w:rsidR="00CE023E" w:rsidRPr="00CE023E">
        <w:rPr>
          <w:rFonts w:ascii="黑体" w:eastAsia="黑体" w:hAnsi="黑体" w:cs="黑体" w:hint="eastAsia"/>
          <w:color w:val="000000" w:themeColor="text1"/>
          <w:sz w:val="28"/>
          <w:szCs w:val="28"/>
        </w:rPr>
        <w:lastRenderedPageBreak/>
        <w:t>能失调的T淋巴细胞被认为是主要的T细胞分化状态。共刺激受体，如 CD28，ICOS， OX40 ，CD40L和CD137，显着增强T细胞受体（TCR）依赖性T细胞活化，而增加水平的共抑制受体 CTLA-4 ，PD-1，TIGIT ，LAG3 ，TIM-3和 CD160是进行性T细胞功能障碍和自我更新潜力丧失（衰竭）的特征</w:t>
      </w:r>
      <w:r>
        <w:rPr>
          <w:rFonts w:ascii="黑体" w:eastAsia="黑体" w:hAnsi="黑体" w:cs="黑体" w:hint="eastAsia"/>
          <w:color w:val="000000" w:themeColor="text1"/>
          <w:sz w:val="28"/>
          <w:szCs w:val="28"/>
        </w:rPr>
        <w:t>。</w:t>
      </w:r>
      <w:r w:rsidR="00CE023E" w:rsidRPr="00CE023E">
        <w:rPr>
          <w:rFonts w:ascii="黑体" w:eastAsia="黑体" w:hAnsi="黑体" w:cs="黑体" w:hint="eastAsia"/>
          <w:color w:val="000000" w:themeColor="text1"/>
          <w:sz w:val="28"/>
          <w:szCs w:val="28"/>
        </w:rPr>
        <w:t>这种专门的抑制细胞谱系被认为在癌症进展中起着重要作用</w:t>
      </w:r>
      <w:r w:rsidR="00CE023E">
        <w:rPr>
          <w:rFonts w:ascii="黑体" w:eastAsia="黑体" w:hAnsi="黑体" w:cs="黑体" w:hint="eastAsia"/>
          <w:color w:val="000000" w:themeColor="text1"/>
          <w:sz w:val="28"/>
          <w:szCs w:val="28"/>
        </w:rPr>
        <w:t>，</w:t>
      </w:r>
      <w:r w:rsidR="00CE023E" w:rsidRPr="00CE023E">
        <w:rPr>
          <w:rFonts w:ascii="黑体" w:eastAsia="黑体" w:hAnsi="黑体" w:cs="黑体" w:hint="eastAsia"/>
          <w:color w:val="000000" w:themeColor="text1"/>
          <w:sz w:val="28"/>
          <w:szCs w:val="28"/>
        </w:rPr>
        <w:t>在乳腺癌中，在肿瘤亚型和患者中观察到免疫组成的显着异质性</w:t>
      </w:r>
      <w:r w:rsidR="00CE023E">
        <w:rPr>
          <w:rFonts w:ascii="黑体" w:eastAsia="黑体" w:hAnsi="黑体" w:cs="黑体" w:hint="eastAsia"/>
          <w:color w:val="000000" w:themeColor="text1"/>
          <w:sz w:val="28"/>
          <w:szCs w:val="28"/>
        </w:rPr>
        <w:t>。</w:t>
      </w:r>
      <w:r w:rsidR="00CE023E" w:rsidRPr="00CE023E">
        <w:rPr>
          <w:rFonts w:ascii="黑体" w:eastAsia="黑体" w:hAnsi="黑体" w:cs="黑体" w:hint="eastAsia"/>
          <w:color w:val="000000" w:themeColor="text1"/>
          <w:sz w:val="28"/>
          <w:szCs w:val="28"/>
        </w:rPr>
        <w:t>这些观察提出了关于免疫细胞状态在</w:t>
      </w:r>
      <w:r w:rsidR="00CE023E">
        <w:rPr>
          <w:rFonts w:ascii="黑体" w:eastAsia="黑体" w:hAnsi="黑体" w:cs="黑体" w:hint="eastAsia"/>
          <w:color w:val="000000" w:themeColor="text1"/>
          <w:sz w:val="28"/>
          <w:szCs w:val="28"/>
        </w:rPr>
        <w:t>不同异质性的</w:t>
      </w:r>
      <w:r w:rsidR="00CE023E" w:rsidRPr="00CE023E">
        <w:rPr>
          <w:rFonts w:ascii="黑体" w:eastAsia="黑体" w:hAnsi="黑体" w:cs="黑体" w:hint="eastAsia"/>
          <w:color w:val="000000" w:themeColor="text1"/>
          <w:sz w:val="28"/>
          <w:szCs w:val="28"/>
        </w:rPr>
        <w:t>肿瘤组织中是否不同以及它们是否代表有限数量的离散分化或活化中间体的问题</w:t>
      </w:r>
      <w:r w:rsidR="00CE023E">
        <w:rPr>
          <w:rFonts w:ascii="黑体" w:eastAsia="黑体" w:hAnsi="黑体" w:cs="黑体" w:hint="eastAsia"/>
          <w:color w:val="000000" w:themeColor="text1"/>
          <w:sz w:val="28"/>
          <w:szCs w:val="28"/>
        </w:rPr>
        <w:t>。</w:t>
      </w:r>
      <w:r w:rsidR="00A45CD4" w:rsidRPr="00A45CD4">
        <w:rPr>
          <w:rFonts w:ascii="黑体" w:eastAsia="黑体" w:hAnsi="黑体" w:hint="eastAsia"/>
          <w:color w:val="000000" w:themeColor="text1"/>
          <w:sz w:val="28"/>
          <w:szCs w:val="28"/>
        </w:rPr>
        <w:t>了解肿瘤微环境中的免疫细胞表型对于理解癌症进展和免疫治疗反应的机制是必不可少的。</w:t>
      </w:r>
      <w:r w:rsidR="008A1FD5" w:rsidRPr="00A8535E">
        <w:rPr>
          <w:rFonts w:ascii="黑体" w:eastAsia="黑体" w:hAnsi="黑体" w:hint="eastAsia"/>
          <w:color w:val="000000" w:themeColor="text1"/>
          <w:sz w:val="28"/>
          <w:szCs w:val="28"/>
        </w:rPr>
        <w:t>随着下一代测序的迅速出现</w:t>
      </w:r>
      <w:r w:rsidR="008A1FD5">
        <w:rPr>
          <w:rFonts w:ascii="黑体" w:eastAsia="黑体" w:hAnsi="黑体" w:hint="eastAsia"/>
          <w:color w:val="000000" w:themeColor="text1"/>
          <w:sz w:val="28"/>
          <w:szCs w:val="28"/>
        </w:rPr>
        <w:t>，</w:t>
      </w:r>
      <w:r w:rsidR="008A1FD5" w:rsidRPr="00CE023E">
        <w:rPr>
          <w:rFonts w:ascii="黑体" w:eastAsia="黑体" w:hAnsi="黑体" w:hint="eastAsia"/>
          <w:color w:val="000000" w:themeColor="text1"/>
          <w:sz w:val="28"/>
          <w:szCs w:val="28"/>
        </w:rPr>
        <w:t>采用单细胞RNA-seq（</w:t>
      </w:r>
      <w:proofErr w:type="spellStart"/>
      <w:r w:rsidR="008A1FD5" w:rsidRPr="00CE023E">
        <w:rPr>
          <w:rFonts w:ascii="黑体" w:eastAsia="黑体" w:hAnsi="黑体" w:hint="eastAsia"/>
          <w:color w:val="000000" w:themeColor="text1"/>
          <w:sz w:val="28"/>
          <w:szCs w:val="28"/>
        </w:rPr>
        <w:t>scRNA</w:t>
      </w:r>
      <w:proofErr w:type="spellEnd"/>
      <w:r w:rsidR="008A1FD5" w:rsidRPr="00CE023E">
        <w:rPr>
          <w:rFonts w:ascii="黑体" w:eastAsia="黑体" w:hAnsi="黑体" w:hint="eastAsia"/>
          <w:color w:val="000000" w:themeColor="text1"/>
          <w:sz w:val="28"/>
          <w:szCs w:val="28"/>
        </w:rPr>
        <w:t>-seq）分析的进一步研究已开始探索肿瘤中免疫细胞亚群的更精细定义，但其规模有限。</w:t>
      </w:r>
      <w:r w:rsidR="00A45CD4" w:rsidRPr="00A45CD4">
        <w:rPr>
          <w:rFonts w:ascii="黑体" w:eastAsia="黑体" w:hAnsi="黑体" w:hint="eastAsia"/>
          <w:color w:val="000000" w:themeColor="text1"/>
          <w:sz w:val="28"/>
          <w:szCs w:val="28"/>
        </w:rPr>
        <w:t>我们使用单细胞 RNA-seq 分析了来自</w:t>
      </w:r>
      <w:r w:rsidR="008A1FD5">
        <w:rPr>
          <w:rFonts w:ascii="黑体" w:eastAsia="黑体" w:hAnsi="黑体" w:hint="eastAsia"/>
          <w:color w:val="000000" w:themeColor="text1"/>
          <w:sz w:val="28"/>
          <w:szCs w:val="28"/>
        </w:rPr>
        <w:t>NAC治疗前后</w:t>
      </w:r>
      <w:r w:rsidR="00A45CD4" w:rsidRPr="00A45CD4">
        <w:rPr>
          <w:rFonts w:ascii="黑体" w:eastAsia="黑体" w:hAnsi="黑体" w:hint="eastAsia"/>
          <w:color w:val="000000" w:themeColor="text1"/>
          <w:sz w:val="28"/>
          <w:szCs w:val="28"/>
        </w:rPr>
        <w:t>乳腺癌的</w:t>
      </w:r>
      <w:r w:rsidR="00A45CD4">
        <w:rPr>
          <w:rFonts w:ascii="黑体" w:eastAsia="黑体" w:hAnsi="黑体" w:hint="eastAsia"/>
          <w:color w:val="000000" w:themeColor="text1"/>
          <w:sz w:val="28"/>
          <w:szCs w:val="28"/>
        </w:rPr>
        <w:t>若干</w:t>
      </w:r>
      <w:r w:rsidR="00A45CD4" w:rsidRPr="00A45CD4">
        <w:rPr>
          <w:rFonts w:ascii="黑体" w:eastAsia="黑体" w:hAnsi="黑体" w:hint="eastAsia"/>
          <w:color w:val="000000" w:themeColor="text1"/>
          <w:sz w:val="28"/>
          <w:szCs w:val="28"/>
        </w:rPr>
        <w:t>个免疫细胞及匹配乳腺组织</w:t>
      </w:r>
      <w:r w:rsidR="008A1FD5">
        <w:rPr>
          <w:rFonts w:ascii="黑体" w:eastAsia="黑体" w:hAnsi="黑体" w:hint="eastAsia"/>
          <w:color w:val="000000" w:themeColor="text1"/>
          <w:sz w:val="28"/>
          <w:szCs w:val="28"/>
        </w:rPr>
        <w:t>、</w:t>
      </w:r>
      <w:r w:rsidR="00A45CD4" w:rsidRPr="00A45CD4">
        <w:rPr>
          <w:rFonts w:ascii="黑体" w:eastAsia="黑体" w:hAnsi="黑体" w:hint="eastAsia"/>
          <w:color w:val="000000" w:themeColor="text1"/>
          <w:sz w:val="28"/>
          <w:szCs w:val="28"/>
        </w:rPr>
        <w:t>血液和淋巴结</w:t>
      </w:r>
      <w:r w:rsidR="008A1FD5">
        <w:rPr>
          <w:rFonts w:ascii="黑体" w:eastAsia="黑体" w:hAnsi="黑体" w:hint="eastAsia"/>
          <w:color w:val="000000" w:themeColor="text1"/>
          <w:sz w:val="28"/>
          <w:szCs w:val="28"/>
        </w:rPr>
        <w:t>，探究</w:t>
      </w:r>
      <w:r w:rsidR="00A45CD4">
        <w:rPr>
          <w:rFonts w:ascii="黑体" w:eastAsia="黑体" w:hAnsi="黑体" w:hint="eastAsia"/>
          <w:color w:val="000000" w:themeColor="text1"/>
          <w:sz w:val="28"/>
          <w:szCs w:val="28"/>
        </w:rPr>
        <w:t>三阴乳腺腺癌肿瘤异质性</w:t>
      </w:r>
      <w:r w:rsidR="00A45CD4" w:rsidRPr="00A45CD4">
        <w:rPr>
          <w:rFonts w:ascii="黑体" w:eastAsia="黑体" w:hAnsi="黑体" w:hint="eastAsia"/>
          <w:color w:val="000000" w:themeColor="text1"/>
          <w:sz w:val="28"/>
          <w:szCs w:val="28"/>
        </w:rPr>
        <w:t>表型多样性的组合影响</w:t>
      </w:r>
      <w:r w:rsidR="008A1FD5">
        <w:rPr>
          <w:rFonts w:ascii="黑体" w:eastAsia="黑体" w:hAnsi="黑体" w:hint="eastAsia"/>
          <w:color w:val="000000" w:themeColor="text1"/>
          <w:sz w:val="28"/>
          <w:szCs w:val="28"/>
        </w:rPr>
        <w:t>，</w:t>
      </w:r>
      <w:r w:rsidR="00A45CD4">
        <w:rPr>
          <w:rFonts w:ascii="黑体" w:eastAsia="黑体" w:hAnsi="黑体" w:hint="eastAsia"/>
          <w:color w:val="000000" w:themeColor="text1"/>
          <w:sz w:val="28"/>
          <w:szCs w:val="28"/>
        </w:rPr>
        <w:t>建立一个动态</w:t>
      </w:r>
      <w:r w:rsidR="00A45CD4" w:rsidRPr="00A45CD4">
        <w:rPr>
          <w:rFonts w:ascii="黑体" w:eastAsia="黑体" w:hAnsi="黑体" w:hint="eastAsia"/>
          <w:color w:val="000000" w:themeColor="text1"/>
          <w:sz w:val="28"/>
          <w:szCs w:val="28"/>
        </w:rPr>
        <w:t>模型。我们的结果对于表征肿瘤浸润性免疫细胞具有重要意义</w:t>
      </w:r>
      <w:r w:rsidR="008A1FD5">
        <w:rPr>
          <w:rFonts w:ascii="黑体" w:eastAsia="黑体" w:hAnsi="黑体" w:hint="eastAsia"/>
          <w:color w:val="000000" w:themeColor="text1"/>
          <w:sz w:val="28"/>
          <w:szCs w:val="28"/>
        </w:rPr>
        <w:t>，最终将有助于</w:t>
      </w:r>
      <w:r w:rsidR="008A1FD5" w:rsidRPr="00A8535E">
        <w:rPr>
          <w:rFonts w:ascii="黑体" w:eastAsia="黑体" w:hAnsi="黑体" w:hint="eastAsia"/>
          <w:color w:val="000000" w:themeColor="text1"/>
          <w:sz w:val="28"/>
          <w:szCs w:val="28"/>
        </w:rPr>
        <w:t>确定乳腺癌中</w:t>
      </w:r>
      <w:r w:rsidR="008A1FD5">
        <w:rPr>
          <w:rFonts w:ascii="黑体" w:eastAsia="黑体" w:hAnsi="黑体" w:hint="eastAsia"/>
          <w:color w:val="000000" w:themeColor="text1"/>
          <w:sz w:val="28"/>
          <w:szCs w:val="28"/>
        </w:rPr>
        <w:t>NAC耐药</w:t>
      </w:r>
      <w:r w:rsidR="008A1FD5" w:rsidRPr="00A8535E">
        <w:rPr>
          <w:rFonts w:ascii="黑体" w:eastAsia="黑体" w:hAnsi="黑体" w:hint="eastAsia"/>
          <w:color w:val="000000" w:themeColor="text1"/>
          <w:sz w:val="28"/>
          <w:szCs w:val="28"/>
        </w:rPr>
        <w:t>反应的机制基础。</w:t>
      </w:r>
      <w:r w:rsidR="00CE023E">
        <w:rPr>
          <w:rFonts w:ascii="黑体" w:eastAsia="黑体" w:hAnsi="黑体"/>
          <w:color w:val="000000" w:themeColor="text1"/>
          <w:sz w:val="28"/>
          <w:szCs w:val="28"/>
        </w:rPr>
        <w:br w:type="page"/>
      </w:r>
    </w:p>
    <w:p w14:paraId="0A738CE4" w14:textId="77777777" w:rsidR="006060EE" w:rsidRDefault="006060EE" w:rsidP="006060EE">
      <w:pPr>
        <w:rPr>
          <w:rFonts w:ascii="黑体" w:eastAsia="黑体" w:hAnsi="黑体"/>
          <w:color w:val="000000" w:themeColor="text1"/>
          <w:sz w:val="28"/>
          <w:szCs w:val="28"/>
        </w:rPr>
      </w:pPr>
      <w:r>
        <w:rPr>
          <w:rFonts w:ascii="黑体" w:eastAsia="黑体" w:hAnsi="黑体" w:hint="eastAsia"/>
          <w:color w:val="000000" w:themeColor="text1"/>
          <w:sz w:val="28"/>
          <w:szCs w:val="28"/>
        </w:rPr>
        <w:lastRenderedPageBreak/>
        <w:t>内容：</w:t>
      </w:r>
    </w:p>
    <w:p w14:paraId="1AAACEEF" w14:textId="56617EF6" w:rsidR="00EA14CC" w:rsidRDefault="006060EE" w:rsidP="005260A6">
      <w:pPr>
        <w:rPr>
          <w:rFonts w:ascii="黑体" w:eastAsia="黑体" w:hAnsi="黑体"/>
          <w:color w:val="000000" w:themeColor="text1"/>
          <w:sz w:val="28"/>
          <w:szCs w:val="28"/>
        </w:rPr>
      </w:pPr>
      <w:r>
        <w:rPr>
          <w:rFonts w:ascii="黑体" w:eastAsia="黑体" w:hAnsi="黑体" w:hint="eastAsia"/>
          <w:color w:val="000000" w:themeColor="text1"/>
          <w:sz w:val="28"/>
          <w:szCs w:val="28"/>
        </w:rPr>
        <w:t>1</w:t>
      </w:r>
      <w:r w:rsidR="00176936">
        <w:rPr>
          <w:rFonts w:ascii="黑体" w:eastAsia="黑体" w:hAnsi="黑体"/>
          <w:color w:val="000000" w:themeColor="text1"/>
          <w:sz w:val="28"/>
          <w:szCs w:val="28"/>
        </w:rPr>
        <w:t xml:space="preserve"> </w:t>
      </w:r>
      <w:r w:rsidR="00CD3592">
        <w:rPr>
          <w:rFonts w:ascii="黑体" w:eastAsia="黑体" w:hAnsi="黑体" w:hint="eastAsia"/>
          <w:color w:val="000000" w:themeColor="text1"/>
          <w:sz w:val="28"/>
          <w:szCs w:val="28"/>
        </w:rPr>
        <w:t>患者和肿瘤样本</w:t>
      </w:r>
    </w:p>
    <w:p w14:paraId="019487E5" w14:textId="1A6F4D01" w:rsidR="005260A6" w:rsidRPr="005260A6" w:rsidRDefault="00EA14CC" w:rsidP="005260A6">
      <w:pPr>
        <w:rPr>
          <w:rFonts w:ascii="黑体" w:eastAsia="黑体" w:hAnsi="黑体"/>
          <w:color w:val="000000" w:themeColor="text1"/>
          <w:sz w:val="28"/>
          <w:szCs w:val="28"/>
        </w:rPr>
      </w:pPr>
      <w:r>
        <w:rPr>
          <w:rFonts w:ascii="黑体" w:eastAsia="黑体" w:hAnsi="黑体"/>
          <w:color w:val="000000" w:themeColor="text1"/>
          <w:sz w:val="28"/>
          <w:szCs w:val="28"/>
        </w:rPr>
        <w:t>1.1</w:t>
      </w:r>
      <w:r>
        <w:rPr>
          <w:rFonts w:ascii="黑体" w:eastAsia="黑体" w:hAnsi="黑体" w:hint="eastAsia"/>
          <w:color w:val="000000" w:themeColor="text1"/>
          <w:sz w:val="28"/>
          <w:szCs w:val="28"/>
        </w:rPr>
        <w:t xml:space="preserve"> </w:t>
      </w:r>
      <w:r w:rsidR="005260A6" w:rsidRPr="005260A6">
        <w:rPr>
          <w:rFonts w:ascii="黑体" w:eastAsia="黑体" w:hAnsi="黑体" w:hint="eastAsia"/>
          <w:color w:val="000000" w:themeColor="text1"/>
          <w:sz w:val="28"/>
          <w:szCs w:val="28"/>
        </w:rPr>
        <w:t>一般临床资料及NAC疗效相关因素分析</w:t>
      </w:r>
    </w:p>
    <w:p w14:paraId="7DB985AA" w14:textId="162A93C8" w:rsidR="005260A6" w:rsidRDefault="005260A6" w:rsidP="005260A6">
      <w:pPr>
        <w:rPr>
          <w:rFonts w:ascii="黑体" w:eastAsia="黑体" w:hAnsi="黑体"/>
          <w:color w:val="000000" w:themeColor="text1"/>
          <w:sz w:val="28"/>
          <w:szCs w:val="28"/>
        </w:rPr>
      </w:pPr>
      <w:r w:rsidRPr="005260A6">
        <w:rPr>
          <w:rFonts w:ascii="黑体" w:eastAsia="黑体" w:hAnsi="黑体" w:hint="eastAsia"/>
          <w:color w:val="000000" w:themeColor="text1"/>
          <w:sz w:val="28"/>
          <w:szCs w:val="28"/>
        </w:rPr>
        <w:t>按照</w:t>
      </w:r>
      <w:r w:rsidR="00787ABE">
        <w:rPr>
          <w:rFonts w:ascii="黑体" w:eastAsia="黑体" w:hAnsi="黑体" w:hint="eastAsia"/>
          <w:color w:val="000000" w:themeColor="text1"/>
          <w:sz w:val="28"/>
          <w:szCs w:val="28"/>
        </w:rPr>
        <w:t>一定收入实验组的</w:t>
      </w:r>
      <w:r w:rsidRPr="005260A6">
        <w:rPr>
          <w:rFonts w:ascii="黑体" w:eastAsia="黑体" w:hAnsi="黑体" w:hint="eastAsia"/>
          <w:color w:val="000000" w:themeColor="text1"/>
          <w:sz w:val="28"/>
          <w:szCs w:val="28"/>
        </w:rPr>
        <w:t>标准，</w:t>
      </w:r>
      <w:r w:rsidR="00714094">
        <w:rPr>
          <w:rFonts w:ascii="黑体" w:eastAsia="黑体" w:hAnsi="黑体" w:hint="eastAsia"/>
          <w:color w:val="000000" w:themeColor="text1"/>
          <w:sz w:val="28"/>
          <w:szCs w:val="28"/>
        </w:rPr>
        <w:t>收集</w:t>
      </w:r>
      <w:r w:rsidRPr="005260A6">
        <w:rPr>
          <w:rFonts w:ascii="黑体" w:eastAsia="黑体" w:hAnsi="黑体" w:hint="eastAsia"/>
          <w:color w:val="000000" w:themeColor="text1"/>
          <w:sz w:val="28"/>
          <w:szCs w:val="28"/>
        </w:rPr>
        <w:t>201</w:t>
      </w:r>
      <w:r>
        <w:rPr>
          <w:rFonts w:ascii="黑体" w:eastAsia="黑体" w:hAnsi="黑体"/>
          <w:color w:val="000000" w:themeColor="text1"/>
          <w:sz w:val="28"/>
          <w:szCs w:val="28"/>
        </w:rPr>
        <w:t>0</w:t>
      </w:r>
      <w:r w:rsidRPr="005260A6">
        <w:rPr>
          <w:rFonts w:ascii="黑体" w:eastAsia="黑体" w:hAnsi="黑体" w:hint="eastAsia"/>
          <w:color w:val="000000" w:themeColor="text1"/>
          <w:sz w:val="28"/>
          <w:szCs w:val="28"/>
        </w:rPr>
        <w:t>年</w:t>
      </w:r>
      <w:r>
        <w:rPr>
          <w:rFonts w:ascii="黑体" w:eastAsia="黑体" w:hAnsi="黑体"/>
          <w:color w:val="000000" w:themeColor="text1"/>
          <w:sz w:val="28"/>
          <w:szCs w:val="28"/>
        </w:rPr>
        <w:t>1</w:t>
      </w:r>
      <w:r w:rsidRPr="005260A6">
        <w:rPr>
          <w:rFonts w:ascii="黑体" w:eastAsia="黑体" w:hAnsi="黑体" w:hint="eastAsia"/>
          <w:color w:val="000000" w:themeColor="text1"/>
          <w:sz w:val="28"/>
          <w:szCs w:val="28"/>
        </w:rPr>
        <w:t>月至20</w:t>
      </w:r>
      <w:r>
        <w:rPr>
          <w:rFonts w:ascii="黑体" w:eastAsia="黑体" w:hAnsi="黑体"/>
          <w:color w:val="000000" w:themeColor="text1"/>
          <w:sz w:val="28"/>
          <w:szCs w:val="28"/>
        </w:rPr>
        <w:t>18</w:t>
      </w:r>
      <w:r w:rsidRPr="005260A6">
        <w:rPr>
          <w:rFonts w:ascii="黑体" w:eastAsia="黑体" w:hAnsi="黑体" w:hint="eastAsia"/>
          <w:color w:val="000000" w:themeColor="text1"/>
          <w:sz w:val="28"/>
          <w:szCs w:val="28"/>
        </w:rPr>
        <w:t>年12月于医院乳腺外科收治的行新辅助化疗的乳腺癌患者</w:t>
      </w:r>
      <w:r>
        <w:rPr>
          <w:rFonts w:ascii="黑体" w:eastAsia="黑体" w:hAnsi="黑体" w:hint="eastAsia"/>
          <w:color w:val="000000" w:themeColor="text1"/>
          <w:sz w:val="28"/>
          <w:szCs w:val="28"/>
        </w:rPr>
        <w:t>病</w:t>
      </w:r>
      <w:r w:rsidRPr="005260A6">
        <w:rPr>
          <w:rFonts w:ascii="黑体" w:eastAsia="黑体" w:hAnsi="黑体" w:hint="eastAsia"/>
          <w:color w:val="000000" w:themeColor="text1"/>
          <w:sz w:val="28"/>
          <w:szCs w:val="28"/>
        </w:rPr>
        <w:t>例</w:t>
      </w:r>
      <w:r>
        <w:rPr>
          <w:rFonts w:ascii="黑体" w:eastAsia="黑体" w:hAnsi="黑体" w:hint="eastAsia"/>
          <w:color w:val="000000" w:themeColor="text1"/>
          <w:sz w:val="28"/>
          <w:szCs w:val="28"/>
        </w:rPr>
        <w:t>。记录年龄分布、BMI指数、恶性肿瘤家族史</w:t>
      </w:r>
      <w:r w:rsidRPr="005260A6">
        <w:rPr>
          <w:rFonts w:ascii="黑体" w:eastAsia="黑体" w:hAnsi="黑体" w:hint="eastAsia"/>
          <w:color w:val="000000" w:themeColor="text1"/>
          <w:sz w:val="28"/>
          <w:szCs w:val="28"/>
        </w:rPr>
        <w:t>全部</w:t>
      </w:r>
      <w:r>
        <w:rPr>
          <w:rFonts w:ascii="黑体" w:eastAsia="黑体" w:hAnsi="黑体" w:hint="eastAsia"/>
          <w:color w:val="000000" w:themeColor="text1"/>
          <w:sz w:val="28"/>
          <w:szCs w:val="28"/>
        </w:rPr>
        <w:t>、是否</w:t>
      </w:r>
      <w:r w:rsidRPr="005260A6">
        <w:rPr>
          <w:rFonts w:ascii="黑体" w:eastAsia="黑体" w:hAnsi="黑体" w:hint="eastAsia"/>
          <w:color w:val="000000" w:themeColor="text1"/>
          <w:sz w:val="28"/>
          <w:szCs w:val="28"/>
        </w:rPr>
        <w:t>存在腋窝淋巴结肿大</w:t>
      </w:r>
      <w:r>
        <w:rPr>
          <w:rFonts w:ascii="黑体" w:eastAsia="黑体" w:hAnsi="黑体" w:hint="eastAsia"/>
          <w:color w:val="000000" w:themeColor="text1"/>
          <w:sz w:val="28"/>
          <w:szCs w:val="28"/>
        </w:rPr>
        <w:t>、是否</w:t>
      </w:r>
      <w:r w:rsidRPr="005260A6">
        <w:rPr>
          <w:rFonts w:ascii="黑体" w:eastAsia="黑体" w:hAnsi="黑体" w:hint="eastAsia"/>
          <w:color w:val="000000" w:themeColor="text1"/>
          <w:sz w:val="28"/>
          <w:szCs w:val="28"/>
        </w:rPr>
        <w:t>于术前发现远处转移</w:t>
      </w:r>
      <w:r>
        <w:rPr>
          <w:rFonts w:ascii="黑体" w:eastAsia="黑体" w:hAnsi="黑体" w:hint="eastAsia"/>
          <w:color w:val="000000" w:themeColor="text1"/>
          <w:sz w:val="28"/>
          <w:szCs w:val="28"/>
        </w:rPr>
        <w:t>。</w:t>
      </w:r>
    </w:p>
    <w:p w14:paraId="3991D986" w14:textId="7A741501" w:rsidR="00EA14CC" w:rsidRDefault="005260A6" w:rsidP="006060EE">
      <w:pPr>
        <w:rPr>
          <w:rFonts w:ascii="黑体" w:eastAsia="黑体" w:hAnsi="黑体"/>
          <w:color w:val="000000" w:themeColor="text1"/>
          <w:sz w:val="28"/>
          <w:szCs w:val="28"/>
        </w:rPr>
      </w:pPr>
      <w:r>
        <w:rPr>
          <w:rFonts w:ascii="黑体" w:eastAsia="黑体" w:hAnsi="黑体" w:hint="eastAsia"/>
          <w:color w:val="000000" w:themeColor="text1"/>
          <w:sz w:val="28"/>
          <w:szCs w:val="28"/>
        </w:rPr>
        <w:t>通过对NAC疗效分析进行相关因素分析，</w:t>
      </w:r>
      <w:r w:rsidR="008710F0" w:rsidRPr="008710F0">
        <w:rPr>
          <w:rFonts w:ascii="黑体" w:eastAsia="黑体" w:hAnsi="黑体" w:hint="eastAsia"/>
          <w:color w:val="000000" w:themeColor="text1"/>
          <w:sz w:val="28"/>
          <w:szCs w:val="28"/>
        </w:rPr>
        <w:t>应用x 2检验或Fisher精确检验单因素分析患者临床特征、乳腺癌分子分型、组织学分级和免疫组</w:t>
      </w:r>
      <w:proofErr w:type="gramStart"/>
      <w:r w:rsidR="008710F0" w:rsidRPr="008710F0">
        <w:rPr>
          <w:rFonts w:ascii="黑体" w:eastAsia="黑体" w:hAnsi="黑体" w:hint="eastAsia"/>
          <w:color w:val="000000" w:themeColor="text1"/>
          <w:sz w:val="28"/>
          <w:szCs w:val="28"/>
        </w:rPr>
        <w:t>化指标</w:t>
      </w:r>
      <w:proofErr w:type="gramEnd"/>
      <w:r w:rsidR="008710F0" w:rsidRPr="008710F0">
        <w:rPr>
          <w:rFonts w:ascii="黑体" w:eastAsia="黑体" w:hAnsi="黑体" w:hint="eastAsia"/>
          <w:color w:val="000000" w:themeColor="text1"/>
          <w:sz w:val="28"/>
          <w:szCs w:val="28"/>
        </w:rPr>
        <w:t>等与病理缓解情况的关系。通过分析超声所示肿瘤缩小程度与病理缓解情况的一致性考察乳腺超声检查对NAC疗效的评估价值</w:t>
      </w:r>
    </w:p>
    <w:p w14:paraId="5F3BF407" w14:textId="7B25E3B9" w:rsidR="006060EE" w:rsidRPr="005260A6" w:rsidRDefault="00EA14CC" w:rsidP="006060EE">
      <w:pPr>
        <w:rPr>
          <w:rFonts w:ascii="黑体" w:eastAsia="黑体" w:hAnsi="黑体"/>
          <w:color w:val="000000" w:themeColor="text1"/>
          <w:sz w:val="28"/>
          <w:szCs w:val="28"/>
        </w:rPr>
      </w:pPr>
      <w:r w:rsidRPr="00EA14CC">
        <w:rPr>
          <w:rFonts w:ascii="黑体" w:eastAsia="黑体" w:hAnsi="黑体" w:hint="eastAsia"/>
          <w:color w:val="000000" w:themeColor="text1"/>
          <w:spacing w:val="8"/>
          <w:sz w:val="28"/>
          <w:szCs w:val="28"/>
          <w:shd w:val="clear" w:color="auto" w:fill="FFFFFF"/>
        </w:rPr>
        <w:t>本研究</w:t>
      </w:r>
      <w:r w:rsidR="00787ABE">
        <w:rPr>
          <w:rFonts w:ascii="黑体" w:eastAsia="黑体" w:hAnsi="黑体" w:hint="eastAsia"/>
          <w:color w:val="000000" w:themeColor="text1"/>
          <w:spacing w:val="8"/>
          <w:sz w:val="28"/>
          <w:szCs w:val="28"/>
          <w:shd w:val="clear" w:color="auto" w:fill="FFFFFF"/>
        </w:rPr>
        <w:t>需要</w:t>
      </w:r>
      <w:r w:rsidRPr="00EA14CC">
        <w:rPr>
          <w:rFonts w:ascii="黑体" w:eastAsia="黑体" w:hAnsi="黑体" w:hint="eastAsia"/>
          <w:color w:val="000000" w:themeColor="text1"/>
          <w:spacing w:val="8"/>
          <w:sz w:val="28"/>
          <w:szCs w:val="28"/>
          <w:shd w:val="clear" w:color="auto" w:fill="FFFFFF"/>
        </w:rPr>
        <w:t>得到医院和医疗中心的机构审查委员会的批准，所有患者都提供了签署知情同意书，以收集标本并对衍生遗传物质进行详细分析</w:t>
      </w:r>
      <w:r w:rsidR="00CD3592">
        <w:rPr>
          <w:rFonts w:ascii="黑体" w:eastAsia="黑体" w:hAnsi="黑体" w:hint="eastAsia"/>
          <w:color w:val="000000" w:themeColor="text1"/>
          <w:spacing w:val="8"/>
          <w:sz w:val="28"/>
          <w:szCs w:val="28"/>
          <w:shd w:val="clear" w:color="auto" w:fill="FFFFFF"/>
        </w:rPr>
        <w:t>。</w:t>
      </w:r>
      <w:r w:rsidRPr="00EA14CC">
        <w:rPr>
          <w:rFonts w:ascii="黑体" w:eastAsia="黑体" w:hAnsi="黑体" w:hint="eastAsia"/>
          <w:color w:val="000000" w:themeColor="text1"/>
          <w:spacing w:val="8"/>
          <w:sz w:val="28"/>
          <w:szCs w:val="28"/>
          <w:shd w:val="clear" w:color="auto" w:fill="FFFFFF"/>
        </w:rPr>
        <w:t>收集</w:t>
      </w:r>
      <w:r w:rsidR="00CD3592">
        <w:rPr>
          <w:rFonts w:ascii="黑体" w:eastAsia="黑体" w:hAnsi="黑体"/>
          <w:color w:val="000000" w:themeColor="text1"/>
          <w:spacing w:val="8"/>
          <w:sz w:val="28"/>
          <w:szCs w:val="28"/>
          <w:shd w:val="clear" w:color="auto" w:fill="FFFFFF"/>
        </w:rPr>
        <w:t>20</w:t>
      </w:r>
      <w:r w:rsidRPr="00EA14CC">
        <w:rPr>
          <w:rFonts w:ascii="黑体" w:eastAsia="黑体" w:hAnsi="黑体" w:hint="eastAsia"/>
          <w:color w:val="000000" w:themeColor="text1"/>
          <w:spacing w:val="8"/>
          <w:sz w:val="28"/>
          <w:szCs w:val="28"/>
          <w:shd w:val="clear" w:color="auto" w:fill="FFFFFF"/>
        </w:rPr>
        <w:t>个原发性肿瘤标本</w:t>
      </w:r>
      <w:r w:rsidR="00CD3592">
        <w:rPr>
          <w:rFonts w:ascii="黑体" w:eastAsia="黑体" w:hAnsi="黑体" w:hint="eastAsia"/>
          <w:color w:val="000000" w:themeColor="text1"/>
          <w:spacing w:val="8"/>
          <w:sz w:val="28"/>
          <w:szCs w:val="28"/>
          <w:shd w:val="clear" w:color="auto" w:fill="FFFFFF"/>
        </w:rPr>
        <w:t>和</w:t>
      </w:r>
      <w:r w:rsidRPr="00EA14CC">
        <w:rPr>
          <w:rFonts w:ascii="黑体" w:eastAsia="黑体" w:hAnsi="黑体" w:hint="eastAsia"/>
          <w:color w:val="000000" w:themeColor="text1"/>
          <w:spacing w:val="8"/>
          <w:sz w:val="28"/>
          <w:szCs w:val="28"/>
          <w:shd w:val="clear" w:color="auto" w:fill="FFFFFF"/>
        </w:rPr>
        <w:t>转移性淋巴结并进行单细胞RNA测序</w:t>
      </w:r>
      <w:r w:rsidR="00CD3592">
        <w:rPr>
          <w:rFonts w:ascii="黑体" w:eastAsia="黑体" w:hAnsi="黑体" w:hint="eastAsia"/>
          <w:color w:val="000000" w:themeColor="text1"/>
          <w:spacing w:val="8"/>
          <w:sz w:val="28"/>
          <w:szCs w:val="28"/>
          <w:shd w:val="clear" w:color="auto" w:fill="FFFFFF"/>
        </w:rPr>
        <w:t>，样本</w:t>
      </w:r>
      <w:r w:rsidRPr="00EA14CC">
        <w:rPr>
          <w:rFonts w:ascii="黑体" w:eastAsia="黑体" w:hAnsi="黑体" w:hint="eastAsia"/>
          <w:color w:val="000000" w:themeColor="text1"/>
          <w:spacing w:val="8"/>
          <w:sz w:val="28"/>
          <w:szCs w:val="28"/>
          <w:shd w:val="clear" w:color="auto" w:fill="FFFFFF"/>
        </w:rPr>
        <w:t>进行两轮单细胞RNA测序并组合用于下游分析。使用R包</w:t>
      </w:r>
      <w:proofErr w:type="spellStart"/>
      <w:r w:rsidRPr="00EA14CC">
        <w:rPr>
          <w:rFonts w:ascii="黑体" w:eastAsia="黑体" w:hAnsi="黑体" w:hint="eastAsia"/>
          <w:color w:val="000000" w:themeColor="text1"/>
          <w:spacing w:val="8"/>
          <w:sz w:val="28"/>
          <w:szCs w:val="28"/>
          <w:shd w:val="clear" w:color="auto" w:fill="FFFFFF"/>
        </w:rPr>
        <w:t>genefu</w:t>
      </w:r>
      <w:proofErr w:type="spellEnd"/>
      <w:r w:rsidR="00CD3592">
        <w:rPr>
          <w:rFonts w:ascii="黑体" w:eastAsia="黑体" w:hAnsi="黑体" w:hint="eastAsia"/>
          <w:color w:val="000000" w:themeColor="text1"/>
          <w:spacing w:val="8"/>
          <w:sz w:val="28"/>
          <w:szCs w:val="28"/>
          <w:shd w:val="clear" w:color="auto" w:fill="FFFFFF"/>
        </w:rPr>
        <w:t>对肿瘤的分子亚型进行确定</w:t>
      </w:r>
      <w:r w:rsidRPr="00EA14CC">
        <w:rPr>
          <w:rFonts w:ascii="黑体" w:eastAsia="黑体" w:hAnsi="黑体" w:hint="eastAsia"/>
          <w:color w:val="000000" w:themeColor="text1"/>
          <w:spacing w:val="8"/>
          <w:sz w:val="28"/>
          <w:szCs w:val="28"/>
          <w:shd w:val="clear" w:color="auto" w:fill="FFFFFF"/>
        </w:rPr>
        <w:t>。</w:t>
      </w:r>
    </w:p>
    <w:p w14:paraId="5F024846" w14:textId="089E92A2" w:rsidR="00CD3592" w:rsidRDefault="00CD3592" w:rsidP="006060EE">
      <w:pPr>
        <w:rPr>
          <w:rFonts w:ascii="黑体" w:eastAsia="黑体" w:hAnsi="黑体"/>
          <w:color w:val="000000" w:themeColor="text1"/>
          <w:spacing w:val="8"/>
          <w:sz w:val="28"/>
          <w:szCs w:val="28"/>
          <w:shd w:val="clear" w:color="auto" w:fill="FFFFFF"/>
        </w:rPr>
      </w:pPr>
      <w:bookmarkStart w:id="0" w:name="_GoBack"/>
      <w:bookmarkEnd w:id="0"/>
      <w:r>
        <w:rPr>
          <w:rFonts w:ascii="黑体" w:eastAsia="黑体" w:hAnsi="黑体"/>
          <w:color w:val="000000" w:themeColor="text1"/>
          <w:spacing w:val="8"/>
          <w:sz w:val="28"/>
          <w:szCs w:val="28"/>
          <w:shd w:val="clear" w:color="auto" w:fill="FFFFFF"/>
        </w:rPr>
        <w:t>1.3</w:t>
      </w:r>
      <w:r w:rsidRPr="00CD3592">
        <w:rPr>
          <w:rFonts w:ascii="黑体" w:eastAsia="黑体" w:hAnsi="黑体" w:hint="eastAsia"/>
          <w:color w:val="000000" w:themeColor="text1"/>
          <w:spacing w:val="8"/>
          <w:sz w:val="28"/>
          <w:szCs w:val="28"/>
          <w:shd w:val="clear" w:color="auto" w:fill="FFFFFF"/>
        </w:rPr>
        <w:t>分离单细胞和cDNA扩增</w:t>
      </w:r>
    </w:p>
    <w:p w14:paraId="01D31C9E" w14:textId="5DAA46FB" w:rsidR="00B06ADB" w:rsidRDefault="00CD3592" w:rsidP="006060EE">
      <w:pPr>
        <w:rPr>
          <w:rFonts w:ascii="黑体" w:eastAsia="黑体" w:hAnsi="黑体"/>
          <w:color w:val="000000" w:themeColor="text1"/>
          <w:spacing w:val="8"/>
          <w:sz w:val="28"/>
          <w:szCs w:val="28"/>
          <w:shd w:val="clear" w:color="auto" w:fill="FFFFFF"/>
        </w:rPr>
      </w:pPr>
      <w:r w:rsidRPr="00CD3592">
        <w:rPr>
          <w:rFonts w:ascii="黑体" w:eastAsia="黑体" w:hAnsi="黑体" w:hint="eastAsia"/>
          <w:color w:val="000000" w:themeColor="text1"/>
          <w:spacing w:val="8"/>
          <w:sz w:val="28"/>
          <w:szCs w:val="28"/>
          <w:shd w:val="clear" w:color="auto" w:fill="FFFFFF"/>
        </w:rPr>
        <w:t>通过机械解离和酶消化获得乳腺癌组织或淋巴结转移的单细胞悬液。通过</w:t>
      </w:r>
      <w:proofErr w:type="spellStart"/>
      <w:r w:rsidRPr="00CD3592">
        <w:rPr>
          <w:rFonts w:ascii="黑体" w:eastAsia="黑体" w:hAnsi="黑体" w:hint="eastAsia"/>
          <w:color w:val="000000" w:themeColor="text1"/>
          <w:spacing w:val="8"/>
          <w:sz w:val="28"/>
          <w:szCs w:val="28"/>
          <w:shd w:val="clear" w:color="auto" w:fill="FFFFFF"/>
        </w:rPr>
        <w:t>Ficoll-Paque</w:t>
      </w:r>
      <w:proofErr w:type="spellEnd"/>
      <w:r w:rsidRPr="00CD3592">
        <w:rPr>
          <w:rFonts w:ascii="黑体" w:eastAsia="黑体" w:hAnsi="黑体" w:hint="eastAsia"/>
          <w:color w:val="000000" w:themeColor="text1"/>
          <w:spacing w:val="8"/>
          <w:sz w:val="28"/>
          <w:szCs w:val="28"/>
          <w:shd w:val="clear" w:color="auto" w:fill="FFFFFF"/>
        </w:rPr>
        <w:t xml:space="preserve"> PLUS分离除去死细胞，并将</w:t>
      </w:r>
      <w:r>
        <w:rPr>
          <w:rFonts w:ascii="黑体" w:eastAsia="黑体" w:hAnsi="黑体" w:hint="eastAsia"/>
          <w:color w:val="000000" w:themeColor="text1"/>
          <w:spacing w:val="8"/>
          <w:sz w:val="28"/>
          <w:szCs w:val="28"/>
          <w:shd w:val="clear" w:color="auto" w:fill="FFFFFF"/>
        </w:rPr>
        <w:t>剩余</w:t>
      </w:r>
      <w:r w:rsidRPr="00CD3592">
        <w:rPr>
          <w:rFonts w:ascii="黑体" w:eastAsia="黑体" w:hAnsi="黑体" w:hint="eastAsia"/>
          <w:color w:val="000000" w:themeColor="text1"/>
          <w:spacing w:val="8"/>
          <w:sz w:val="28"/>
          <w:szCs w:val="28"/>
          <w:shd w:val="clear" w:color="auto" w:fill="FFFFFF"/>
        </w:rPr>
        <w:t>细胞加载到C1 Single-Cell Auto中的单个集成流体回路mRNA测序芯片上。用显微镜检查加载的芯片以验证单细胞</w:t>
      </w:r>
      <w:r w:rsidR="0006574A">
        <w:rPr>
          <w:rFonts w:ascii="黑体" w:eastAsia="黑体" w:hAnsi="黑体" w:hint="eastAsia"/>
          <w:color w:val="000000" w:themeColor="text1"/>
          <w:spacing w:val="8"/>
          <w:sz w:val="28"/>
          <w:szCs w:val="28"/>
          <w:shd w:val="clear" w:color="auto" w:fill="FFFFFF"/>
        </w:rPr>
        <w:t>已经载入</w:t>
      </w:r>
      <w:r w:rsidRPr="00CD3592">
        <w:rPr>
          <w:rFonts w:ascii="黑体" w:eastAsia="黑体" w:hAnsi="黑体" w:hint="eastAsia"/>
          <w:color w:val="000000" w:themeColor="text1"/>
          <w:spacing w:val="8"/>
          <w:sz w:val="28"/>
          <w:szCs w:val="28"/>
          <w:shd w:val="clear" w:color="auto" w:fill="FFFFFF"/>
        </w:rPr>
        <w:t>。对于细胞</w:t>
      </w:r>
      <w:r w:rsidRPr="00CD3592">
        <w:rPr>
          <w:rFonts w:ascii="黑体" w:eastAsia="黑体" w:hAnsi="黑体" w:hint="eastAsia"/>
          <w:color w:val="000000" w:themeColor="text1"/>
          <w:spacing w:val="8"/>
          <w:sz w:val="28"/>
          <w:szCs w:val="28"/>
          <w:shd w:val="clear" w:color="auto" w:fill="FFFFFF"/>
        </w:rPr>
        <w:lastRenderedPageBreak/>
        <w:t>裂解</w:t>
      </w:r>
      <w:r w:rsidR="0006574A">
        <w:rPr>
          <w:rFonts w:ascii="黑体" w:eastAsia="黑体" w:hAnsi="黑体" w:hint="eastAsia"/>
          <w:color w:val="000000" w:themeColor="text1"/>
          <w:spacing w:val="8"/>
          <w:sz w:val="28"/>
          <w:szCs w:val="28"/>
          <w:shd w:val="clear" w:color="auto" w:fill="FFFFFF"/>
        </w:rPr>
        <w:t>、</w:t>
      </w:r>
      <w:r w:rsidRPr="00CD3592">
        <w:rPr>
          <w:rFonts w:ascii="黑体" w:eastAsia="黑体" w:hAnsi="黑体" w:hint="eastAsia"/>
          <w:color w:val="000000" w:themeColor="text1"/>
          <w:spacing w:val="8"/>
          <w:sz w:val="28"/>
          <w:szCs w:val="28"/>
          <w:shd w:val="clear" w:color="auto" w:fill="FFFFFF"/>
        </w:rPr>
        <w:t>cDNA合成和扩增，按照制造商的说明使用</w:t>
      </w:r>
      <w:proofErr w:type="spellStart"/>
      <w:r w:rsidRPr="00CD3592">
        <w:rPr>
          <w:rFonts w:ascii="黑体" w:eastAsia="黑体" w:hAnsi="黑体" w:hint="eastAsia"/>
          <w:color w:val="000000" w:themeColor="text1"/>
          <w:spacing w:val="8"/>
          <w:sz w:val="28"/>
          <w:szCs w:val="28"/>
          <w:shd w:val="clear" w:color="auto" w:fill="FFFFFF"/>
        </w:rPr>
        <w:t>SMARTer</w:t>
      </w:r>
      <w:proofErr w:type="spellEnd"/>
      <w:r w:rsidRPr="00CD3592">
        <w:rPr>
          <w:rFonts w:ascii="黑体" w:eastAsia="黑体" w:hAnsi="黑体" w:hint="eastAsia"/>
          <w:color w:val="000000" w:themeColor="text1"/>
          <w:spacing w:val="8"/>
          <w:sz w:val="28"/>
          <w:szCs w:val="28"/>
          <w:shd w:val="clear" w:color="auto" w:fill="FFFFFF"/>
        </w:rPr>
        <w:t xml:space="preserve"> Ultra Low RNA试剂盒。将来自</w:t>
      </w:r>
      <w:proofErr w:type="spellStart"/>
      <w:r w:rsidRPr="00CD3592">
        <w:rPr>
          <w:rFonts w:ascii="黑体" w:eastAsia="黑体" w:hAnsi="黑体" w:hint="eastAsia"/>
          <w:color w:val="000000" w:themeColor="text1"/>
          <w:spacing w:val="8"/>
          <w:sz w:val="28"/>
          <w:szCs w:val="28"/>
          <w:shd w:val="clear" w:color="auto" w:fill="FFFFFF"/>
        </w:rPr>
        <w:t>ArrayControl</w:t>
      </w:r>
      <w:proofErr w:type="spellEnd"/>
      <w:r w:rsidRPr="00CD3592">
        <w:rPr>
          <w:rFonts w:ascii="黑体" w:eastAsia="黑体" w:hAnsi="黑体" w:hint="eastAsia"/>
          <w:color w:val="000000" w:themeColor="text1"/>
          <w:spacing w:val="8"/>
          <w:sz w:val="28"/>
          <w:szCs w:val="28"/>
          <w:shd w:val="clear" w:color="auto" w:fill="FFFFFF"/>
        </w:rPr>
        <w:t xml:space="preserve"> RNA Spikes的</w:t>
      </w:r>
      <w:r w:rsidR="0006574A" w:rsidRPr="0006574A">
        <w:rPr>
          <w:rFonts w:ascii="黑体" w:eastAsia="黑体" w:hAnsi="黑体"/>
          <w:color w:val="000000" w:themeColor="text1"/>
          <w:spacing w:val="8"/>
          <w:sz w:val="28"/>
          <w:szCs w:val="28"/>
          <w:shd w:val="clear" w:color="auto" w:fill="FFFFFF"/>
        </w:rPr>
        <w:t>spike-ins</w:t>
      </w:r>
      <w:r w:rsidR="0006574A">
        <w:rPr>
          <w:rFonts w:ascii="黑体" w:eastAsia="黑体" w:hAnsi="黑体"/>
          <w:color w:val="000000" w:themeColor="text1"/>
          <w:spacing w:val="8"/>
          <w:sz w:val="28"/>
          <w:szCs w:val="28"/>
          <w:shd w:val="clear" w:color="auto" w:fill="FFFFFF"/>
        </w:rPr>
        <w:t xml:space="preserve"> </w:t>
      </w:r>
      <w:r w:rsidRPr="00CD3592">
        <w:rPr>
          <w:rFonts w:ascii="黑体" w:eastAsia="黑体" w:hAnsi="黑体" w:hint="eastAsia"/>
          <w:color w:val="000000" w:themeColor="text1"/>
          <w:spacing w:val="8"/>
          <w:sz w:val="28"/>
          <w:szCs w:val="28"/>
          <w:shd w:val="clear" w:color="auto" w:fill="FFFFFF"/>
        </w:rPr>
        <w:t>1和4加入裂解混合物中。使用Qubit 2.0荧光计和2100 Bioanalyzer对扩增</w:t>
      </w:r>
      <w:r w:rsidR="0006574A">
        <w:rPr>
          <w:rFonts w:ascii="黑体" w:eastAsia="黑体" w:hAnsi="黑体" w:hint="eastAsia"/>
          <w:color w:val="000000" w:themeColor="text1"/>
          <w:spacing w:val="8"/>
          <w:sz w:val="28"/>
          <w:szCs w:val="28"/>
          <w:shd w:val="clear" w:color="auto" w:fill="FFFFFF"/>
        </w:rPr>
        <w:t>后的</w:t>
      </w:r>
      <w:proofErr w:type="gramStart"/>
      <w:r w:rsidRPr="00CD3592">
        <w:rPr>
          <w:rFonts w:ascii="黑体" w:eastAsia="黑体" w:hAnsi="黑体" w:hint="eastAsia"/>
          <w:color w:val="000000" w:themeColor="text1"/>
          <w:spacing w:val="8"/>
          <w:sz w:val="28"/>
          <w:szCs w:val="28"/>
          <w:shd w:val="clear" w:color="auto" w:fill="FFFFFF"/>
        </w:rPr>
        <w:t>的</w:t>
      </w:r>
      <w:proofErr w:type="gramEnd"/>
      <w:r w:rsidRPr="00CD3592">
        <w:rPr>
          <w:rFonts w:ascii="黑体" w:eastAsia="黑体" w:hAnsi="黑体" w:hint="eastAsia"/>
          <w:color w:val="000000" w:themeColor="text1"/>
          <w:spacing w:val="8"/>
          <w:sz w:val="28"/>
          <w:szCs w:val="28"/>
          <w:shd w:val="clear" w:color="auto" w:fill="FFFFFF"/>
        </w:rPr>
        <w:t>cDNA进行定量和鉴定。</w:t>
      </w:r>
      <w:r w:rsidR="002B1517" w:rsidRPr="00CD3592">
        <w:rPr>
          <w:rFonts w:ascii="黑体" w:eastAsia="黑体" w:hAnsi="黑体" w:hint="eastAsia"/>
          <w:color w:val="000000" w:themeColor="text1"/>
          <w:spacing w:val="8"/>
          <w:sz w:val="28"/>
          <w:szCs w:val="28"/>
          <w:shd w:val="clear" w:color="auto" w:fill="FFFFFF"/>
        </w:rPr>
        <w:t>使用RNeasy Plus Micro试剂盒制备肿瘤组织分离物或肿瘤组织</w:t>
      </w:r>
      <w:r w:rsidR="002B1517">
        <w:rPr>
          <w:rFonts w:ascii="黑体" w:eastAsia="黑体" w:hAnsi="黑体" w:hint="eastAsia"/>
          <w:color w:val="000000" w:themeColor="text1"/>
          <w:spacing w:val="8"/>
          <w:sz w:val="28"/>
          <w:szCs w:val="28"/>
          <w:shd w:val="clear" w:color="auto" w:fill="FFFFFF"/>
        </w:rPr>
        <w:t>，</w:t>
      </w:r>
      <w:r w:rsidR="002B1517" w:rsidRPr="00CD3592">
        <w:rPr>
          <w:rFonts w:ascii="黑体" w:eastAsia="黑体" w:hAnsi="黑体" w:hint="eastAsia"/>
          <w:color w:val="000000" w:themeColor="text1"/>
          <w:spacing w:val="8"/>
          <w:sz w:val="28"/>
          <w:szCs w:val="28"/>
          <w:shd w:val="clear" w:color="auto" w:fill="FFFFFF"/>
        </w:rPr>
        <w:t>并用与</w:t>
      </w:r>
      <w:proofErr w:type="spellStart"/>
      <w:r w:rsidR="002B1517" w:rsidRPr="00CD3592">
        <w:rPr>
          <w:rFonts w:ascii="黑体" w:eastAsia="黑体" w:hAnsi="黑体" w:hint="eastAsia"/>
          <w:color w:val="000000" w:themeColor="text1"/>
          <w:spacing w:val="8"/>
          <w:sz w:val="28"/>
          <w:szCs w:val="28"/>
          <w:shd w:val="clear" w:color="auto" w:fill="FFFFFF"/>
        </w:rPr>
        <w:t>SMARTer</w:t>
      </w:r>
      <w:proofErr w:type="spellEnd"/>
      <w:r w:rsidR="002B1517" w:rsidRPr="00CD3592">
        <w:rPr>
          <w:rFonts w:ascii="黑体" w:eastAsia="黑体" w:hAnsi="黑体" w:hint="eastAsia"/>
          <w:color w:val="000000" w:themeColor="text1"/>
          <w:spacing w:val="8"/>
          <w:sz w:val="28"/>
          <w:szCs w:val="28"/>
          <w:shd w:val="clear" w:color="auto" w:fill="FFFFFF"/>
        </w:rPr>
        <w:t xml:space="preserve"> Ultra Low RNA</w:t>
      </w:r>
      <w:proofErr w:type="gramStart"/>
      <w:r w:rsidR="002B1517" w:rsidRPr="00CD3592">
        <w:rPr>
          <w:rFonts w:ascii="黑体" w:eastAsia="黑体" w:hAnsi="黑体" w:hint="eastAsia"/>
          <w:color w:val="000000" w:themeColor="text1"/>
          <w:spacing w:val="8"/>
          <w:sz w:val="28"/>
          <w:szCs w:val="28"/>
          <w:shd w:val="clear" w:color="auto" w:fill="FFFFFF"/>
        </w:rPr>
        <w:t>试剂盒</w:t>
      </w:r>
      <w:r w:rsidRPr="00CD3592">
        <w:rPr>
          <w:rFonts w:ascii="黑体" w:eastAsia="黑体" w:hAnsi="黑体" w:hint="eastAsia"/>
          <w:color w:val="000000" w:themeColor="text1"/>
          <w:spacing w:val="8"/>
          <w:sz w:val="28"/>
          <w:szCs w:val="28"/>
          <w:shd w:val="clear" w:color="auto" w:fill="FFFFFF"/>
        </w:rPr>
        <w:t>从</w:t>
      </w:r>
      <w:r w:rsidR="002B1517">
        <w:rPr>
          <w:rFonts w:ascii="黑体" w:eastAsia="黑体" w:hAnsi="黑体" w:hint="eastAsia"/>
          <w:color w:val="000000" w:themeColor="text1"/>
          <w:spacing w:val="8"/>
          <w:sz w:val="28"/>
          <w:szCs w:val="28"/>
          <w:shd w:val="clear" w:color="auto" w:fill="FFFFFF"/>
        </w:rPr>
        <w:t>单个</w:t>
      </w:r>
      <w:proofErr w:type="gramEnd"/>
      <w:r w:rsidR="002B1517">
        <w:rPr>
          <w:rFonts w:ascii="黑体" w:eastAsia="黑体" w:hAnsi="黑体" w:hint="eastAsia"/>
          <w:color w:val="000000" w:themeColor="text1"/>
          <w:spacing w:val="8"/>
          <w:sz w:val="28"/>
          <w:szCs w:val="28"/>
          <w:shd w:val="clear" w:color="auto" w:fill="FFFFFF"/>
        </w:rPr>
        <w:t>用到</w:t>
      </w:r>
      <w:r w:rsidRPr="00CD3592">
        <w:rPr>
          <w:rFonts w:ascii="黑体" w:eastAsia="黑体" w:hAnsi="黑体" w:hint="eastAsia"/>
          <w:color w:val="000000" w:themeColor="text1"/>
          <w:spacing w:val="8"/>
          <w:sz w:val="28"/>
          <w:szCs w:val="28"/>
          <w:shd w:val="clear" w:color="auto" w:fill="FFFFFF"/>
        </w:rPr>
        <w:t>细胞中提取</w:t>
      </w:r>
      <w:r w:rsidR="002B1517">
        <w:rPr>
          <w:rFonts w:ascii="黑体" w:eastAsia="黑体" w:hAnsi="黑体" w:hint="eastAsia"/>
          <w:color w:val="000000" w:themeColor="text1"/>
          <w:spacing w:val="8"/>
          <w:sz w:val="28"/>
          <w:szCs w:val="28"/>
          <w:shd w:val="clear" w:color="auto" w:fill="FFFFFF"/>
        </w:rPr>
        <w:t>扩增</w:t>
      </w:r>
      <w:r w:rsidRPr="00CD3592">
        <w:rPr>
          <w:rFonts w:ascii="黑体" w:eastAsia="黑体" w:hAnsi="黑体" w:hint="eastAsia"/>
          <w:color w:val="000000" w:themeColor="text1"/>
          <w:spacing w:val="8"/>
          <w:sz w:val="28"/>
          <w:szCs w:val="28"/>
          <w:shd w:val="clear" w:color="auto" w:fill="FFFFFF"/>
        </w:rPr>
        <w:t>RNA</w:t>
      </w:r>
      <w:r w:rsidR="002B1517">
        <w:rPr>
          <w:rFonts w:ascii="黑体" w:eastAsia="黑体" w:hAnsi="黑体"/>
          <w:color w:val="000000" w:themeColor="text1"/>
          <w:spacing w:val="8"/>
          <w:sz w:val="28"/>
          <w:szCs w:val="28"/>
          <w:shd w:val="clear" w:color="auto" w:fill="FFFFFF"/>
        </w:rPr>
        <w:t xml:space="preserve"> </w:t>
      </w:r>
      <w:r w:rsidR="002B1517">
        <w:rPr>
          <w:rFonts w:ascii="黑体" w:eastAsia="黑体" w:hAnsi="黑体" w:hint="eastAsia"/>
          <w:color w:val="000000" w:themeColor="text1"/>
          <w:spacing w:val="8"/>
          <w:sz w:val="28"/>
          <w:szCs w:val="28"/>
          <w:shd w:val="clear" w:color="auto" w:fill="FFFFFF"/>
        </w:rPr>
        <w:t>。</w:t>
      </w:r>
    </w:p>
    <w:p w14:paraId="0B47C267" w14:textId="3090933A" w:rsidR="00724401" w:rsidRDefault="00724401" w:rsidP="006060EE">
      <w:pPr>
        <w:rPr>
          <w:rFonts w:ascii="黑体" w:eastAsia="黑体" w:hAnsi="黑体"/>
          <w:color w:val="000000" w:themeColor="text1"/>
          <w:spacing w:val="8"/>
          <w:sz w:val="28"/>
          <w:szCs w:val="28"/>
          <w:shd w:val="clear" w:color="auto" w:fill="FFFFFF"/>
        </w:rPr>
      </w:pPr>
      <w:r>
        <w:rPr>
          <w:rFonts w:ascii="黑体" w:eastAsia="黑体" w:hAnsi="黑体" w:hint="eastAsia"/>
          <w:color w:val="000000" w:themeColor="text1"/>
          <w:spacing w:val="8"/>
          <w:sz w:val="28"/>
          <w:szCs w:val="28"/>
          <w:shd w:val="clear" w:color="auto" w:fill="FFFFFF"/>
        </w:rPr>
        <w:t>1</w:t>
      </w:r>
      <w:r>
        <w:rPr>
          <w:rFonts w:ascii="黑体" w:eastAsia="黑体" w:hAnsi="黑体"/>
          <w:color w:val="000000" w:themeColor="text1"/>
          <w:spacing w:val="8"/>
          <w:sz w:val="28"/>
          <w:szCs w:val="28"/>
          <w:shd w:val="clear" w:color="auto" w:fill="FFFFFF"/>
        </w:rPr>
        <w:t>.4</w:t>
      </w:r>
      <w:r w:rsidRPr="00724401">
        <w:rPr>
          <w:rFonts w:ascii="黑体" w:eastAsia="黑体" w:hAnsi="黑体" w:hint="eastAsia"/>
          <w:color w:val="000000" w:themeColor="text1"/>
          <w:spacing w:val="8"/>
          <w:sz w:val="28"/>
          <w:szCs w:val="28"/>
          <w:shd w:val="clear" w:color="auto" w:fill="FFFFFF"/>
        </w:rPr>
        <w:t>全外显子组测序和数据处理</w:t>
      </w:r>
    </w:p>
    <w:p w14:paraId="466BF677" w14:textId="0AE144BE" w:rsidR="00CD3592" w:rsidRDefault="00CF3FFF" w:rsidP="006060EE">
      <w:pPr>
        <w:rPr>
          <w:rFonts w:ascii="黑体" w:eastAsia="黑体" w:hAnsi="黑体"/>
          <w:color w:val="000000" w:themeColor="text1"/>
          <w:spacing w:val="8"/>
          <w:sz w:val="28"/>
          <w:szCs w:val="28"/>
          <w:shd w:val="clear" w:color="auto" w:fill="FFFFFF"/>
        </w:rPr>
      </w:pPr>
      <w:r w:rsidRPr="00CF3FFF">
        <w:rPr>
          <w:rFonts w:ascii="黑体" w:eastAsia="黑体" w:hAnsi="黑体" w:hint="eastAsia"/>
          <w:color w:val="000000" w:themeColor="text1"/>
          <w:spacing w:val="8"/>
          <w:sz w:val="28"/>
          <w:szCs w:val="28"/>
          <w:shd w:val="clear" w:color="auto" w:fill="FFFFFF"/>
        </w:rPr>
        <w:t>使用</w:t>
      </w:r>
      <w:proofErr w:type="spellStart"/>
      <w:r w:rsidR="00B75D5C" w:rsidRPr="00B75D5C">
        <w:rPr>
          <w:rFonts w:ascii="黑体" w:eastAsia="黑体" w:hAnsi="黑体"/>
          <w:color w:val="000000" w:themeColor="text1"/>
          <w:spacing w:val="8"/>
          <w:sz w:val="28"/>
          <w:szCs w:val="28"/>
          <w:shd w:val="clear" w:color="auto" w:fill="FFFFFF"/>
        </w:rPr>
        <w:t>SureSelect</w:t>
      </w:r>
      <w:proofErr w:type="spellEnd"/>
      <w:r w:rsidR="00B75D5C" w:rsidRPr="00B75D5C">
        <w:rPr>
          <w:rFonts w:ascii="黑体" w:eastAsia="黑体" w:hAnsi="黑体"/>
          <w:color w:val="000000" w:themeColor="text1"/>
          <w:spacing w:val="8"/>
          <w:sz w:val="28"/>
          <w:szCs w:val="28"/>
          <w:shd w:val="clear" w:color="auto" w:fill="FFFFFF"/>
        </w:rPr>
        <w:t xml:space="preserve"> XT Human All Exon V5 kit</w:t>
      </w:r>
      <w:r w:rsidRPr="00CF3FFF">
        <w:rPr>
          <w:rFonts w:ascii="黑体" w:eastAsia="黑体" w:hAnsi="黑体" w:hint="eastAsia"/>
          <w:color w:val="000000" w:themeColor="text1"/>
          <w:spacing w:val="8"/>
          <w:sz w:val="28"/>
          <w:szCs w:val="28"/>
          <w:shd w:val="clear" w:color="auto" w:fill="FFFFFF"/>
        </w:rPr>
        <w:t>试剂盒捕获外显子</w:t>
      </w:r>
      <w:r w:rsidR="00B75D5C">
        <w:rPr>
          <w:rFonts w:ascii="黑体" w:eastAsia="黑体" w:hAnsi="黑体" w:hint="eastAsia"/>
          <w:color w:val="000000" w:themeColor="text1"/>
          <w:spacing w:val="8"/>
          <w:sz w:val="28"/>
          <w:szCs w:val="28"/>
          <w:shd w:val="clear" w:color="auto" w:fill="FFFFFF"/>
        </w:rPr>
        <w:t>，采用</w:t>
      </w:r>
      <w:r w:rsidR="00B75D5C" w:rsidRPr="00CF3FFF">
        <w:rPr>
          <w:rFonts w:ascii="黑体" w:eastAsia="黑体" w:hAnsi="黑体" w:hint="eastAsia"/>
          <w:color w:val="000000" w:themeColor="text1"/>
          <w:spacing w:val="8"/>
          <w:sz w:val="28"/>
          <w:szCs w:val="28"/>
          <w:shd w:val="clear" w:color="auto" w:fill="FFFFFF"/>
        </w:rPr>
        <w:t>100-bp配对末端模式测序</w:t>
      </w:r>
      <w:r w:rsidR="00B75D5C">
        <w:rPr>
          <w:rFonts w:ascii="黑体" w:eastAsia="黑体" w:hAnsi="黑体" w:hint="eastAsia"/>
          <w:color w:val="000000" w:themeColor="text1"/>
          <w:spacing w:val="8"/>
          <w:sz w:val="28"/>
          <w:szCs w:val="28"/>
          <w:shd w:val="clear" w:color="auto" w:fill="FFFFFF"/>
        </w:rPr>
        <w:t>配套的</w:t>
      </w:r>
      <w:proofErr w:type="spellStart"/>
      <w:r w:rsidRPr="00CF3FFF">
        <w:rPr>
          <w:rFonts w:ascii="黑体" w:eastAsia="黑体" w:hAnsi="黑体" w:hint="eastAsia"/>
          <w:color w:val="000000" w:themeColor="text1"/>
          <w:spacing w:val="8"/>
          <w:sz w:val="28"/>
          <w:szCs w:val="28"/>
          <w:shd w:val="clear" w:color="auto" w:fill="FFFFFF"/>
        </w:rPr>
        <w:t>TruSeq</w:t>
      </w:r>
      <w:proofErr w:type="spellEnd"/>
      <w:r w:rsidRPr="00CF3FFF">
        <w:rPr>
          <w:rFonts w:ascii="黑体" w:eastAsia="黑体" w:hAnsi="黑体" w:hint="eastAsia"/>
          <w:color w:val="000000" w:themeColor="text1"/>
          <w:spacing w:val="8"/>
          <w:sz w:val="28"/>
          <w:szCs w:val="28"/>
          <w:shd w:val="clear" w:color="auto" w:fill="FFFFFF"/>
        </w:rPr>
        <w:t xml:space="preserve"> Rapid PE Cluster试剂盒和</w:t>
      </w:r>
      <w:proofErr w:type="spellStart"/>
      <w:r w:rsidRPr="00CF3FFF">
        <w:rPr>
          <w:rFonts w:ascii="黑体" w:eastAsia="黑体" w:hAnsi="黑体" w:hint="eastAsia"/>
          <w:color w:val="000000" w:themeColor="text1"/>
          <w:spacing w:val="8"/>
          <w:sz w:val="28"/>
          <w:szCs w:val="28"/>
          <w:shd w:val="clear" w:color="auto" w:fill="FFFFFF"/>
        </w:rPr>
        <w:t>TruSeq</w:t>
      </w:r>
      <w:proofErr w:type="spellEnd"/>
      <w:r w:rsidRPr="00CF3FFF">
        <w:rPr>
          <w:rFonts w:ascii="黑体" w:eastAsia="黑体" w:hAnsi="黑体" w:hint="eastAsia"/>
          <w:color w:val="000000" w:themeColor="text1"/>
          <w:spacing w:val="8"/>
          <w:sz w:val="28"/>
          <w:szCs w:val="28"/>
          <w:shd w:val="clear" w:color="auto" w:fill="FFFFFF"/>
        </w:rPr>
        <w:t xml:space="preserve"> Rapid SBS试剂盒</w:t>
      </w:r>
      <w:r w:rsidR="00B75D5C" w:rsidRPr="00CF3FFF">
        <w:rPr>
          <w:rFonts w:ascii="黑体" w:eastAsia="黑体" w:hAnsi="黑体" w:hint="eastAsia"/>
          <w:color w:val="000000" w:themeColor="text1"/>
          <w:spacing w:val="8"/>
          <w:sz w:val="28"/>
          <w:szCs w:val="28"/>
          <w:shd w:val="clear" w:color="auto" w:fill="FFFFFF"/>
        </w:rPr>
        <w:t>构建</w:t>
      </w:r>
      <w:proofErr w:type="spellStart"/>
      <w:r w:rsidR="00B75D5C" w:rsidRPr="00CF3FFF">
        <w:rPr>
          <w:rFonts w:ascii="黑体" w:eastAsia="黑体" w:hAnsi="黑体" w:hint="eastAsia"/>
          <w:color w:val="000000" w:themeColor="text1"/>
          <w:spacing w:val="8"/>
          <w:sz w:val="28"/>
          <w:szCs w:val="28"/>
          <w:shd w:val="clear" w:color="auto" w:fill="FFFFFF"/>
        </w:rPr>
        <w:t>HiSeq</w:t>
      </w:r>
      <w:proofErr w:type="spellEnd"/>
      <w:r w:rsidR="00B75D5C" w:rsidRPr="00CF3FFF">
        <w:rPr>
          <w:rFonts w:ascii="黑体" w:eastAsia="黑体" w:hAnsi="黑体" w:hint="eastAsia"/>
          <w:color w:val="000000" w:themeColor="text1"/>
          <w:spacing w:val="8"/>
          <w:sz w:val="28"/>
          <w:szCs w:val="28"/>
          <w:shd w:val="clear" w:color="auto" w:fill="FFFFFF"/>
        </w:rPr>
        <w:t xml:space="preserve"> 2500系统测序文库</w:t>
      </w:r>
      <w:r w:rsidRPr="00CF3FFF">
        <w:rPr>
          <w:rFonts w:ascii="黑体" w:eastAsia="黑体" w:hAnsi="黑体" w:hint="eastAsia"/>
          <w:color w:val="000000" w:themeColor="text1"/>
          <w:spacing w:val="8"/>
          <w:sz w:val="28"/>
          <w:szCs w:val="28"/>
          <w:shd w:val="clear" w:color="auto" w:fill="FFFFFF"/>
        </w:rPr>
        <w:t>。使用BWA将外显子组测序</w:t>
      </w:r>
      <w:r w:rsidR="002B1517">
        <w:rPr>
          <w:rFonts w:ascii="黑体" w:eastAsia="黑体" w:hAnsi="黑体" w:hint="eastAsia"/>
          <w:color w:val="000000" w:themeColor="text1"/>
          <w:spacing w:val="8"/>
          <w:sz w:val="28"/>
          <w:szCs w:val="28"/>
          <w:shd w:val="clear" w:color="auto" w:fill="FFFFFF"/>
        </w:rPr>
        <w:t>读长对其到</w:t>
      </w:r>
      <w:r w:rsidR="002B1517" w:rsidRPr="00CF3FFF">
        <w:rPr>
          <w:rFonts w:ascii="黑体" w:eastAsia="黑体" w:hAnsi="黑体" w:hint="eastAsia"/>
          <w:color w:val="000000" w:themeColor="text1"/>
          <w:spacing w:val="8"/>
          <w:sz w:val="28"/>
          <w:szCs w:val="28"/>
          <w:shd w:val="clear" w:color="auto" w:fill="FFFFFF"/>
        </w:rPr>
        <w:t>参考基因组</w:t>
      </w:r>
      <w:r w:rsidRPr="00CF3FFF">
        <w:rPr>
          <w:rFonts w:ascii="黑体" w:eastAsia="黑体" w:hAnsi="黑体" w:hint="eastAsia"/>
          <w:color w:val="000000" w:themeColor="text1"/>
          <w:spacing w:val="8"/>
          <w:sz w:val="28"/>
          <w:szCs w:val="28"/>
          <w:shd w:val="clear" w:color="auto" w:fill="FFFFFF"/>
        </w:rPr>
        <w:t>hg</w:t>
      </w:r>
      <w:r w:rsidR="002B1517">
        <w:rPr>
          <w:rFonts w:ascii="黑体" w:eastAsia="黑体" w:hAnsi="黑体"/>
          <w:color w:val="000000" w:themeColor="text1"/>
          <w:spacing w:val="8"/>
          <w:sz w:val="28"/>
          <w:szCs w:val="28"/>
          <w:shd w:val="clear" w:color="auto" w:fill="FFFFFF"/>
        </w:rPr>
        <w:t>38</w:t>
      </w:r>
      <w:r w:rsidRPr="00CF3FFF">
        <w:rPr>
          <w:rFonts w:ascii="黑体" w:eastAsia="黑体" w:hAnsi="黑体" w:hint="eastAsia"/>
          <w:color w:val="000000" w:themeColor="text1"/>
          <w:spacing w:val="8"/>
          <w:sz w:val="28"/>
          <w:szCs w:val="28"/>
          <w:shd w:val="clear" w:color="auto" w:fill="FFFFFF"/>
        </w:rPr>
        <w:t>。</w:t>
      </w:r>
      <w:r w:rsidR="00B75D5C">
        <w:rPr>
          <w:rFonts w:ascii="黑体" w:eastAsia="黑体" w:hAnsi="黑体" w:hint="eastAsia"/>
          <w:color w:val="000000" w:themeColor="text1"/>
          <w:spacing w:val="8"/>
          <w:sz w:val="28"/>
          <w:szCs w:val="28"/>
          <w:shd w:val="clear" w:color="auto" w:fill="FFFFFF"/>
        </w:rPr>
        <w:t>采用</w:t>
      </w:r>
      <w:r w:rsidRPr="00CF3FFF">
        <w:rPr>
          <w:rFonts w:ascii="黑体" w:eastAsia="黑体" w:hAnsi="黑体" w:hint="eastAsia"/>
          <w:color w:val="000000" w:themeColor="text1"/>
          <w:spacing w:val="8"/>
          <w:sz w:val="28"/>
          <w:szCs w:val="28"/>
          <w:shd w:val="clear" w:color="auto" w:fill="FFFFFF"/>
        </w:rPr>
        <w:t>Picard</w:t>
      </w:r>
      <w:r w:rsidR="00B75D5C">
        <w:rPr>
          <w:rFonts w:ascii="黑体" w:eastAsia="黑体" w:hAnsi="黑体" w:hint="eastAsia"/>
          <w:color w:val="000000" w:themeColor="text1"/>
          <w:spacing w:val="8"/>
          <w:sz w:val="28"/>
          <w:szCs w:val="28"/>
          <w:shd w:val="clear" w:color="auto" w:fill="FFFFFF"/>
        </w:rPr>
        <w:t>标记</w:t>
      </w:r>
      <w:r w:rsidR="002B1517">
        <w:rPr>
          <w:rFonts w:ascii="黑体" w:eastAsia="黑体" w:hAnsi="黑体" w:hint="eastAsia"/>
          <w:color w:val="000000" w:themeColor="text1"/>
          <w:spacing w:val="8"/>
          <w:sz w:val="28"/>
          <w:szCs w:val="28"/>
          <w:shd w:val="clear" w:color="auto" w:fill="FFFFFF"/>
        </w:rPr>
        <w:t>潜在</w:t>
      </w:r>
      <w:r w:rsidR="00B75D5C">
        <w:rPr>
          <w:rFonts w:ascii="黑体" w:eastAsia="黑体" w:hAnsi="黑体" w:hint="eastAsia"/>
          <w:color w:val="000000" w:themeColor="text1"/>
          <w:spacing w:val="8"/>
          <w:sz w:val="28"/>
          <w:szCs w:val="28"/>
          <w:shd w:val="clear" w:color="auto" w:fill="FFFFFF"/>
        </w:rPr>
        <w:t>的</w:t>
      </w:r>
      <w:r w:rsidR="00B75D5C" w:rsidRPr="00CF3FFF">
        <w:rPr>
          <w:rFonts w:ascii="黑体" w:eastAsia="黑体" w:hAnsi="黑体" w:hint="eastAsia"/>
          <w:color w:val="000000" w:themeColor="text1"/>
          <w:spacing w:val="8"/>
          <w:sz w:val="28"/>
          <w:szCs w:val="28"/>
          <w:shd w:val="clear" w:color="auto" w:fill="FFFFFF"/>
        </w:rPr>
        <w:t>重复</w:t>
      </w:r>
      <w:r w:rsidR="00ED366D">
        <w:rPr>
          <w:rFonts w:ascii="黑体" w:eastAsia="黑体" w:hAnsi="黑体" w:hint="eastAsia"/>
          <w:color w:val="000000" w:themeColor="text1"/>
          <w:spacing w:val="8"/>
          <w:sz w:val="28"/>
          <w:szCs w:val="28"/>
          <w:shd w:val="clear" w:color="auto" w:fill="FFFFFF"/>
        </w:rPr>
        <w:t>突变</w:t>
      </w:r>
      <w:r w:rsidRPr="00CF3FFF">
        <w:rPr>
          <w:rFonts w:ascii="黑体" w:eastAsia="黑体" w:hAnsi="黑体" w:hint="eastAsia"/>
          <w:color w:val="000000" w:themeColor="text1"/>
          <w:spacing w:val="8"/>
          <w:sz w:val="28"/>
          <w:szCs w:val="28"/>
          <w:shd w:val="clear" w:color="auto" w:fill="FFFFFF"/>
        </w:rPr>
        <w:t>（</w:t>
      </w:r>
      <w:r w:rsidR="002B1517" w:rsidRPr="002B1517">
        <w:rPr>
          <w:rFonts w:ascii="黑体" w:eastAsia="黑体" w:hAnsi="黑体"/>
          <w:color w:val="000000" w:themeColor="text1"/>
          <w:spacing w:val="8"/>
          <w:sz w:val="28"/>
          <w:szCs w:val="28"/>
          <w:shd w:val="clear" w:color="auto" w:fill="FFFFFF"/>
        </w:rPr>
        <w:t>https://sourceforge.net/projects/picard/files/picard-tools/1.119/</w:t>
      </w:r>
      <w:r w:rsidRPr="00CF3FFF">
        <w:rPr>
          <w:rFonts w:ascii="黑体" w:eastAsia="黑体" w:hAnsi="黑体" w:hint="eastAsia"/>
          <w:color w:val="000000" w:themeColor="text1"/>
          <w:spacing w:val="8"/>
          <w:sz w:val="28"/>
          <w:szCs w:val="28"/>
          <w:shd w:val="clear" w:color="auto" w:fill="FFFFFF"/>
        </w:rPr>
        <w:t>）。通过应用GATK的模块重新校准可能包含小插入或缺失的位点，该模块具有</w:t>
      </w:r>
      <w:r w:rsidR="00ED366D">
        <w:rPr>
          <w:rFonts w:ascii="黑体" w:eastAsia="黑体" w:hAnsi="黑体" w:hint="eastAsia"/>
          <w:color w:val="000000" w:themeColor="text1"/>
          <w:spacing w:val="8"/>
          <w:sz w:val="28"/>
          <w:szCs w:val="28"/>
          <w:shd w:val="clear" w:color="auto" w:fill="FFFFFF"/>
        </w:rPr>
        <w:t>千人</w:t>
      </w:r>
      <w:r w:rsidRPr="00CF3FFF">
        <w:rPr>
          <w:rFonts w:ascii="黑体" w:eastAsia="黑体" w:hAnsi="黑体" w:hint="eastAsia"/>
          <w:color w:val="000000" w:themeColor="text1"/>
          <w:spacing w:val="8"/>
          <w:sz w:val="28"/>
          <w:szCs w:val="28"/>
          <w:shd w:val="clear" w:color="auto" w:fill="FFFFFF"/>
        </w:rPr>
        <w:t>基因组计划第I阶段确定的已知变异位点（http://www.1000genomes.org/）和dbSNP-137（http://www.ncbi.nlm.nih.gov/SNP/）</w:t>
      </w:r>
      <w:r w:rsidR="00ED366D">
        <w:rPr>
          <w:rFonts w:ascii="黑体" w:eastAsia="黑体" w:hAnsi="黑体" w:hint="eastAsia"/>
          <w:color w:val="000000" w:themeColor="text1"/>
          <w:spacing w:val="8"/>
          <w:sz w:val="28"/>
          <w:szCs w:val="28"/>
          <w:shd w:val="clear" w:color="auto" w:fill="FFFFFF"/>
        </w:rPr>
        <w:t>的数据</w:t>
      </w:r>
      <w:r w:rsidRPr="00CF3FFF">
        <w:rPr>
          <w:rFonts w:ascii="黑体" w:eastAsia="黑体" w:hAnsi="黑体" w:hint="eastAsia"/>
          <w:color w:val="000000" w:themeColor="text1"/>
          <w:spacing w:val="8"/>
          <w:sz w:val="28"/>
          <w:szCs w:val="28"/>
          <w:shd w:val="clear" w:color="auto" w:fill="FFFFFF"/>
        </w:rPr>
        <w:t>。我们使用</w:t>
      </w:r>
      <w:proofErr w:type="spellStart"/>
      <w:r w:rsidRPr="00CF3FFF">
        <w:rPr>
          <w:rFonts w:ascii="黑体" w:eastAsia="黑体" w:hAnsi="黑体" w:hint="eastAsia"/>
          <w:color w:val="000000" w:themeColor="text1"/>
          <w:spacing w:val="8"/>
          <w:sz w:val="28"/>
          <w:szCs w:val="28"/>
          <w:shd w:val="clear" w:color="auto" w:fill="FFFFFF"/>
        </w:rPr>
        <w:t>MuTect</w:t>
      </w:r>
      <w:proofErr w:type="spellEnd"/>
      <w:r w:rsidRPr="00CF3FFF">
        <w:rPr>
          <w:rFonts w:ascii="黑体" w:eastAsia="黑体" w:hAnsi="黑体" w:hint="eastAsia"/>
          <w:color w:val="000000" w:themeColor="text1"/>
          <w:spacing w:val="8"/>
          <w:sz w:val="28"/>
          <w:szCs w:val="28"/>
          <w:shd w:val="clear" w:color="auto" w:fill="FFFFFF"/>
        </w:rPr>
        <w:t>来检测单核苷酸变异（SNV），并使用Control-FREEC软件包来检测CNV。肿瘤的整个外显子组测序（WES）覆盖率为100×，配对</w:t>
      </w:r>
      <w:r w:rsidR="007057FF">
        <w:rPr>
          <w:rFonts w:ascii="黑体" w:eastAsia="黑体" w:hAnsi="黑体" w:hint="eastAsia"/>
          <w:color w:val="000000" w:themeColor="text1"/>
          <w:spacing w:val="8"/>
          <w:sz w:val="28"/>
          <w:szCs w:val="28"/>
          <w:shd w:val="clear" w:color="auto" w:fill="FFFFFF"/>
        </w:rPr>
        <w:t>的</w:t>
      </w:r>
      <w:r w:rsidRPr="00CF3FFF">
        <w:rPr>
          <w:rFonts w:ascii="黑体" w:eastAsia="黑体" w:hAnsi="黑体" w:hint="eastAsia"/>
          <w:color w:val="000000" w:themeColor="text1"/>
          <w:spacing w:val="8"/>
          <w:sz w:val="28"/>
          <w:szCs w:val="28"/>
          <w:shd w:val="clear" w:color="auto" w:fill="FFFFFF"/>
        </w:rPr>
        <w:t>血液样本的覆盖率为50</w:t>
      </w:r>
      <w:r w:rsidR="007057FF">
        <w:rPr>
          <w:rFonts w:ascii="黑体" w:eastAsia="黑体" w:hAnsi="黑体" w:hint="eastAsia"/>
          <w:color w:val="000000" w:themeColor="text1"/>
          <w:spacing w:val="8"/>
          <w:sz w:val="28"/>
          <w:szCs w:val="28"/>
          <w:shd w:val="clear" w:color="auto" w:fill="FFFFFF"/>
        </w:rPr>
        <w:t>X</w:t>
      </w:r>
      <w:r w:rsidR="00CD3592" w:rsidRPr="00CD3592">
        <w:rPr>
          <w:rFonts w:ascii="黑体" w:eastAsia="黑体" w:hAnsi="黑体" w:hint="eastAsia"/>
          <w:color w:val="000000" w:themeColor="text1"/>
          <w:spacing w:val="8"/>
          <w:sz w:val="28"/>
          <w:szCs w:val="28"/>
          <w:shd w:val="clear" w:color="auto" w:fill="FFFFFF"/>
        </w:rPr>
        <w:t>。</w:t>
      </w:r>
    </w:p>
    <w:p w14:paraId="7AE89D0B" w14:textId="07EFB151" w:rsidR="007057FF" w:rsidRDefault="007057FF" w:rsidP="006060EE">
      <w:pPr>
        <w:rPr>
          <w:rFonts w:ascii="黑体" w:eastAsia="黑体" w:hAnsi="黑体"/>
          <w:color w:val="000000" w:themeColor="text1"/>
          <w:spacing w:val="8"/>
          <w:sz w:val="28"/>
          <w:szCs w:val="28"/>
          <w:shd w:val="clear" w:color="auto" w:fill="FFFFFF"/>
        </w:rPr>
      </w:pPr>
      <w:r>
        <w:rPr>
          <w:rFonts w:ascii="黑体" w:eastAsia="黑体" w:hAnsi="黑体"/>
          <w:color w:val="000000" w:themeColor="text1"/>
          <w:spacing w:val="8"/>
          <w:sz w:val="28"/>
          <w:szCs w:val="28"/>
          <w:shd w:val="clear" w:color="auto" w:fill="FFFFFF"/>
        </w:rPr>
        <w:t xml:space="preserve">2 </w:t>
      </w:r>
      <w:r w:rsidRPr="007057FF">
        <w:rPr>
          <w:rFonts w:ascii="黑体" w:eastAsia="黑体" w:hAnsi="黑体" w:hint="eastAsia"/>
          <w:color w:val="000000" w:themeColor="text1"/>
          <w:spacing w:val="8"/>
          <w:sz w:val="28"/>
          <w:szCs w:val="28"/>
          <w:shd w:val="clear" w:color="auto" w:fill="FFFFFF"/>
        </w:rPr>
        <w:t>RNA测序和生物信息学分析</w:t>
      </w:r>
    </w:p>
    <w:p w14:paraId="3B4F140B" w14:textId="77777777" w:rsidR="00FD38CB" w:rsidRDefault="007057FF" w:rsidP="00FD38CB">
      <w:pPr>
        <w:rPr>
          <w:rFonts w:ascii="黑体" w:eastAsia="黑体" w:hAnsi="黑体"/>
          <w:color w:val="000000" w:themeColor="text1"/>
          <w:spacing w:val="8"/>
          <w:sz w:val="28"/>
          <w:szCs w:val="28"/>
          <w:shd w:val="clear" w:color="auto" w:fill="FFFFFF"/>
        </w:rPr>
      </w:pPr>
      <w:r w:rsidRPr="007057FF">
        <w:rPr>
          <w:rFonts w:ascii="黑体" w:eastAsia="黑体" w:hAnsi="黑体" w:hint="eastAsia"/>
          <w:color w:val="000000" w:themeColor="text1"/>
          <w:spacing w:val="8"/>
          <w:sz w:val="28"/>
          <w:szCs w:val="28"/>
          <w:shd w:val="clear" w:color="auto" w:fill="FFFFFF"/>
        </w:rPr>
        <w:t>使用</w:t>
      </w:r>
      <w:proofErr w:type="spellStart"/>
      <w:r w:rsidRPr="007057FF">
        <w:rPr>
          <w:rFonts w:ascii="黑体" w:eastAsia="黑体" w:hAnsi="黑体" w:hint="eastAsia"/>
          <w:color w:val="000000" w:themeColor="text1"/>
          <w:spacing w:val="8"/>
          <w:sz w:val="28"/>
          <w:szCs w:val="28"/>
          <w:shd w:val="clear" w:color="auto" w:fill="FFFFFF"/>
        </w:rPr>
        <w:t>Nextera</w:t>
      </w:r>
      <w:proofErr w:type="spellEnd"/>
      <w:r w:rsidRPr="007057FF">
        <w:rPr>
          <w:rFonts w:ascii="黑体" w:eastAsia="黑体" w:hAnsi="黑体" w:hint="eastAsia"/>
          <w:color w:val="000000" w:themeColor="text1"/>
          <w:spacing w:val="8"/>
          <w:sz w:val="28"/>
          <w:szCs w:val="28"/>
          <w:shd w:val="clear" w:color="auto" w:fill="FFFFFF"/>
        </w:rPr>
        <w:t xml:space="preserve"> XT DNA样品制备试剂盒</w:t>
      </w:r>
      <w:r w:rsidR="00BA1543" w:rsidRPr="007057FF">
        <w:rPr>
          <w:rFonts w:ascii="黑体" w:eastAsia="黑体" w:hAnsi="黑体" w:hint="eastAsia"/>
          <w:color w:val="000000" w:themeColor="text1"/>
          <w:spacing w:val="8"/>
          <w:sz w:val="28"/>
          <w:szCs w:val="28"/>
          <w:shd w:val="clear" w:color="auto" w:fill="FFFFFF"/>
        </w:rPr>
        <w:t>扩增cDNA</w:t>
      </w:r>
      <w:r w:rsidR="00BA1543">
        <w:rPr>
          <w:rFonts w:ascii="黑体" w:eastAsia="黑体" w:hAnsi="黑体" w:hint="eastAsia"/>
          <w:color w:val="000000" w:themeColor="text1"/>
          <w:spacing w:val="8"/>
          <w:sz w:val="28"/>
          <w:szCs w:val="28"/>
          <w:shd w:val="clear" w:color="auto" w:fill="FFFFFF"/>
        </w:rPr>
        <w:t>来</w:t>
      </w:r>
      <w:r w:rsidRPr="007057FF">
        <w:rPr>
          <w:rFonts w:ascii="黑体" w:eastAsia="黑体" w:hAnsi="黑体" w:hint="eastAsia"/>
          <w:color w:val="000000" w:themeColor="text1"/>
          <w:spacing w:val="8"/>
          <w:sz w:val="28"/>
          <w:szCs w:val="28"/>
          <w:shd w:val="clear" w:color="auto" w:fill="FFFFFF"/>
        </w:rPr>
        <w:t>构建测序文库，</w:t>
      </w:r>
      <w:r w:rsidRPr="007057FF">
        <w:rPr>
          <w:rFonts w:ascii="黑体" w:eastAsia="黑体" w:hAnsi="黑体" w:hint="eastAsia"/>
          <w:color w:val="000000" w:themeColor="text1"/>
          <w:spacing w:val="8"/>
          <w:sz w:val="28"/>
          <w:szCs w:val="28"/>
          <w:shd w:val="clear" w:color="auto" w:fill="FFFFFF"/>
        </w:rPr>
        <w:lastRenderedPageBreak/>
        <w:t>并使用HiSeq250</w:t>
      </w:r>
      <w:r w:rsidR="00BA1543">
        <w:rPr>
          <w:rFonts w:ascii="黑体" w:eastAsia="黑体" w:hAnsi="黑体" w:hint="eastAsia"/>
          <w:color w:val="000000" w:themeColor="text1"/>
          <w:spacing w:val="8"/>
          <w:sz w:val="28"/>
          <w:szCs w:val="28"/>
          <w:shd w:val="clear" w:color="auto" w:fill="FFFFFF"/>
        </w:rPr>
        <w:t>测序仪与</w:t>
      </w:r>
      <w:proofErr w:type="spellStart"/>
      <w:r w:rsidRPr="007057FF">
        <w:rPr>
          <w:rFonts w:ascii="黑体" w:eastAsia="黑体" w:hAnsi="黑体" w:hint="eastAsia"/>
          <w:color w:val="000000" w:themeColor="text1"/>
          <w:spacing w:val="8"/>
          <w:sz w:val="28"/>
          <w:szCs w:val="28"/>
          <w:shd w:val="clear" w:color="auto" w:fill="FFFFFF"/>
        </w:rPr>
        <w:t>TruSeq</w:t>
      </w:r>
      <w:proofErr w:type="spellEnd"/>
      <w:r w:rsidRPr="007057FF">
        <w:rPr>
          <w:rFonts w:ascii="黑体" w:eastAsia="黑体" w:hAnsi="黑体" w:hint="eastAsia"/>
          <w:color w:val="000000" w:themeColor="text1"/>
          <w:spacing w:val="8"/>
          <w:sz w:val="28"/>
          <w:szCs w:val="28"/>
          <w:shd w:val="clear" w:color="auto" w:fill="FFFFFF"/>
        </w:rPr>
        <w:t xml:space="preserve"> Rapid PE Cluster试剂盒和</w:t>
      </w:r>
      <w:proofErr w:type="spellStart"/>
      <w:r w:rsidRPr="007057FF">
        <w:rPr>
          <w:rFonts w:ascii="黑体" w:eastAsia="黑体" w:hAnsi="黑体" w:hint="eastAsia"/>
          <w:color w:val="000000" w:themeColor="text1"/>
          <w:spacing w:val="8"/>
          <w:sz w:val="28"/>
          <w:szCs w:val="28"/>
          <w:shd w:val="clear" w:color="auto" w:fill="FFFFFF"/>
        </w:rPr>
        <w:t>TruSeq</w:t>
      </w:r>
      <w:proofErr w:type="spellEnd"/>
      <w:r w:rsidRPr="007057FF">
        <w:rPr>
          <w:rFonts w:ascii="黑体" w:eastAsia="黑体" w:hAnsi="黑体" w:hint="eastAsia"/>
          <w:color w:val="000000" w:themeColor="text1"/>
          <w:spacing w:val="8"/>
          <w:sz w:val="28"/>
          <w:szCs w:val="28"/>
          <w:shd w:val="clear" w:color="auto" w:fill="FFFFFF"/>
        </w:rPr>
        <w:t xml:space="preserve"> Rapid SBS的100bp配对末端模式中测序。为了评估阵列对照RNA加标的表达值，通过将三种对照RNA加标（</w:t>
      </w:r>
      <w:proofErr w:type="spellStart"/>
      <w:r w:rsidRPr="007057FF">
        <w:rPr>
          <w:rFonts w:ascii="黑体" w:eastAsia="黑体" w:hAnsi="黑体" w:hint="eastAsia"/>
          <w:color w:val="000000" w:themeColor="text1"/>
          <w:spacing w:val="8"/>
          <w:sz w:val="28"/>
          <w:szCs w:val="28"/>
          <w:shd w:val="clear" w:color="auto" w:fill="FFFFFF"/>
        </w:rPr>
        <w:t>ThermoFisher</w:t>
      </w:r>
      <w:proofErr w:type="spellEnd"/>
      <w:r w:rsidRPr="007057FF">
        <w:rPr>
          <w:rFonts w:ascii="黑体" w:eastAsia="黑体" w:hAnsi="黑体" w:hint="eastAsia"/>
          <w:color w:val="000000" w:themeColor="text1"/>
          <w:spacing w:val="8"/>
          <w:sz w:val="28"/>
          <w:szCs w:val="28"/>
          <w:shd w:val="clear" w:color="auto" w:fill="FFFFFF"/>
        </w:rPr>
        <w:t>）与人基因组参考序列（hg19）和GENCODE 19注释合并来产生参考序列和相应的注释。然后使用STAR_2.4.0b的2通模式（默认参数）55将RNA读数与参考序列比对，并使用RSEM v1.2.17（默认参数）将相对基因表达定量为百万转录（TPM）（默认参数）56。将每个基因的同种型表达水平相加以得到TPM值。使用RNA-</w:t>
      </w:r>
      <w:proofErr w:type="spellStart"/>
      <w:r w:rsidRPr="007057FF">
        <w:rPr>
          <w:rFonts w:ascii="黑体" w:eastAsia="黑体" w:hAnsi="黑体" w:hint="eastAsia"/>
          <w:color w:val="000000" w:themeColor="text1"/>
          <w:spacing w:val="8"/>
          <w:sz w:val="28"/>
          <w:szCs w:val="28"/>
          <w:shd w:val="clear" w:color="auto" w:fill="FFFFFF"/>
        </w:rPr>
        <w:t>SeQC</w:t>
      </w:r>
      <w:proofErr w:type="spellEnd"/>
      <w:r w:rsidRPr="007057FF">
        <w:rPr>
          <w:rFonts w:ascii="黑体" w:eastAsia="黑体" w:hAnsi="黑体" w:hint="eastAsia"/>
          <w:color w:val="000000" w:themeColor="text1"/>
          <w:spacing w:val="8"/>
          <w:sz w:val="28"/>
          <w:szCs w:val="28"/>
          <w:shd w:val="clear" w:color="auto" w:fill="FFFFFF"/>
        </w:rPr>
        <w:t xml:space="preserve"> 57进行对齐的单细胞RNA-seq读数的质量控制评估，并且结果总结在补充数据3中。为了去除具有低质量测序值的细胞，应用了四种过滤标准：（1）总读数; （2）映射率; （3）检测到的基因数量; （4）基因间区域的一部分。为了去除具有低表达值的基因，应用以下步骤。首先，TPM值&lt;1被认为是不可靠的并且用零代替。其次，TPM值为log 2 - 在</w:t>
      </w:r>
      <w:proofErr w:type="gramStart"/>
      <w:r w:rsidRPr="007057FF">
        <w:rPr>
          <w:rFonts w:ascii="黑体" w:eastAsia="黑体" w:hAnsi="黑体" w:hint="eastAsia"/>
          <w:color w:val="000000" w:themeColor="text1"/>
          <w:spacing w:val="8"/>
          <w:sz w:val="28"/>
          <w:szCs w:val="28"/>
          <w:shd w:val="clear" w:color="auto" w:fill="FFFFFF"/>
        </w:rPr>
        <w:t>添加值</w:t>
      </w:r>
      <w:proofErr w:type="gramEnd"/>
      <w:r w:rsidRPr="007057FF">
        <w:rPr>
          <w:rFonts w:ascii="黑体" w:eastAsia="黑体" w:hAnsi="黑体" w:hint="eastAsia"/>
          <w:color w:val="000000" w:themeColor="text1"/>
          <w:spacing w:val="8"/>
          <w:sz w:val="28"/>
          <w:szCs w:val="28"/>
          <w:shd w:val="clear" w:color="auto" w:fill="FFFFFF"/>
        </w:rPr>
        <w:t>1后转换。第三，除去在&lt;10％的所有肿瘤组中表达的基因。总共有515个单细胞和17,779个基因通过了QC标准。过滤的17,779个基因也用于大量肿瘤分析。作为对单细胞RNA测序的灵敏度和重复性的估计，我们获得了RNA加标1（12,200个转录本）和RNA加标4（912个转录本; 补充图2a）的一致log 2（TPM + 1）比率。）。没有检测到具有估计的62个转录物输入的RNA加标7。对于</w:t>
      </w:r>
      <w:proofErr w:type="gramStart"/>
      <w:r w:rsidRPr="007057FF">
        <w:rPr>
          <w:rFonts w:ascii="黑体" w:eastAsia="黑体" w:hAnsi="黑体" w:hint="eastAsia"/>
          <w:color w:val="000000" w:themeColor="text1"/>
          <w:spacing w:val="8"/>
          <w:sz w:val="28"/>
          <w:szCs w:val="28"/>
          <w:shd w:val="clear" w:color="auto" w:fill="FFFFFF"/>
        </w:rPr>
        <w:t>转录组</w:t>
      </w:r>
      <w:proofErr w:type="gramEnd"/>
      <w:r w:rsidRPr="007057FF">
        <w:rPr>
          <w:rFonts w:ascii="黑体" w:eastAsia="黑体" w:hAnsi="黑体" w:hint="eastAsia"/>
          <w:color w:val="000000" w:themeColor="text1"/>
          <w:spacing w:val="8"/>
          <w:sz w:val="28"/>
          <w:szCs w:val="28"/>
          <w:shd w:val="clear" w:color="auto" w:fill="FFFFFF"/>
        </w:rPr>
        <w:t>分析，表达数据的平均值是通过减去平均log 2来实现的（TPM + 1）每个基因的值，但以下情况除外：用于RNA加</w:t>
      </w:r>
      <w:proofErr w:type="gramStart"/>
      <w:r w:rsidRPr="007057FF">
        <w:rPr>
          <w:rFonts w:ascii="黑体" w:eastAsia="黑体" w:hAnsi="黑体" w:hint="eastAsia"/>
          <w:color w:val="000000" w:themeColor="text1"/>
          <w:spacing w:val="8"/>
          <w:sz w:val="28"/>
          <w:szCs w:val="28"/>
          <w:shd w:val="clear" w:color="auto" w:fill="FFFFFF"/>
        </w:rPr>
        <w:t>标分析</w:t>
      </w:r>
      <w:proofErr w:type="gramEnd"/>
      <w:r w:rsidRPr="007057FF">
        <w:rPr>
          <w:rFonts w:ascii="黑体" w:eastAsia="黑体" w:hAnsi="黑体" w:hint="eastAsia"/>
          <w:color w:val="000000" w:themeColor="text1"/>
          <w:spacing w:val="8"/>
          <w:sz w:val="28"/>
          <w:szCs w:val="28"/>
          <w:shd w:val="clear" w:color="auto" w:fill="FFFFFF"/>
        </w:rPr>
        <w:t>; RNA-seq和定量PCR（qPCR）</w:t>
      </w:r>
      <w:r w:rsidRPr="007057FF">
        <w:rPr>
          <w:rFonts w:ascii="黑体" w:eastAsia="黑体" w:hAnsi="黑体" w:hint="eastAsia"/>
          <w:color w:val="000000" w:themeColor="text1"/>
          <w:spacing w:val="8"/>
          <w:sz w:val="28"/>
          <w:szCs w:val="28"/>
          <w:shd w:val="clear" w:color="auto" w:fill="FFFFFF"/>
        </w:rPr>
        <w:lastRenderedPageBreak/>
        <w:t>结果之间的比较; 检测染色体表达模式; 测量肿瘤内相关性; 与免疫荧光染色结果比较; 免疫标志物表达的比较; 和自我归一化工具的应用，如基因集变异分析（GSVA）和</w:t>
      </w:r>
      <w:proofErr w:type="spellStart"/>
      <w:r w:rsidRPr="007057FF">
        <w:rPr>
          <w:rFonts w:ascii="黑体" w:eastAsia="黑体" w:hAnsi="黑体" w:hint="eastAsia"/>
          <w:color w:val="000000" w:themeColor="text1"/>
          <w:spacing w:val="8"/>
          <w:sz w:val="28"/>
          <w:szCs w:val="28"/>
          <w:shd w:val="clear" w:color="auto" w:fill="FFFFFF"/>
        </w:rPr>
        <w:t>TNBCtype</w:t>
      </w:r>
      <w:proofErr w:type="spellEnd"/>
      <w:r w:rsidRPr="007057FF">
        <w:rPr>
          <w:rFonts w:ascii="黑体" w:eastAsia="黑体" w:hAnsi="黑体" w:hint="eastAsia"/>
          <w:color w:val="000000" w:themeColor="text1"/>
          <w:spacing w:val="8"/>
          <w:sz w:val="28"/>
          <w:szCs w:val="28"/>
          <w:shd w:val="clear" w:color="auto" w:fill="FFFFFF"/>
        </w:rPr>
        <w:t>。</w:t>
      </w:r>
      <w:r w:rsidR="00FD38CB" w:rsidRPr="00FD38CB">
        <w:rPr>
          <w:rFonts w:ascii="黑体" w:eastAsia="黑体" w:hAnsi="黑体" w:hint="eastAsia"/>
          <w:color w:val="000000" w:themeColor="text1"/>
          <w:spacing w:val="8"/>
          <w:sz w:val="28"/>
          <w:szCs w:val="28"/>
          <w:shd w:val="clear" w:color="auto" w:fill="FFFFFF"/>
        </w:rPr>
        <w:t>来自原</w:t>
      </w:r>
    </w:p>
    <w:p w14:paraId="7259FA9D" w14:textId="77777777" w:rsidR="00FD38CB" w:rsidRDefault="00FD38CB" w:rsidP="00FD38CB">
      <w:pPr>
        <w:rPr>
          <w:rFonts w:ascii="黑体" w:eastAsia="黑体" w:hAnsi="黑体"/>
          <w:color w:val="000000" w:themeColor="text1"/>
          <w:spacing w:val="8"/>
          <w:sz w:val="28"/>
          <w:szCs w:val="28"/>
          <w:shd w:val="clear" w:color="auto" w:fill="FFFFFF"/>
        </w:rPr>
      </w:pPr>
    </w:p>
    <w:p w14:paraId="0C6A12D0" w14:textId="63C0B12D" w:rsidR="00FD38CB" w:rsidRPr="00FD38CB" w:rsidRDefault="00FD38CB" w:rsidP="00FD38CB">
      <w:pPr>
        <w:rPr>
          <w:rFonts w:ascii="黑体" w:eastAsia="黑体" w:hAnsi="黑体"/>
          <w:color w:val="000000" w:themeColor="text1"/>
          <w:spacing w:val="8"/>
          <w:sz w:val="28"/>
          <w:szCs w:val="28"/>
          <w:shd w:val="clear" w:color="auto" w:fill="FFFFFF"/>
        </w:rPr>
      </w:pPr>
      <w:r w:rsidRPr="00FD38CB">
        <w:rPr>
          <w:rFonts w:ascii="黑体" w:eastAsia="黑体" w:hAnsi="黑体" w:hint="eastAsia"/>
          <w:color w:val="000000" w:themeColor="text1"/>
          <w:spacing w:val="8"/>
          <w:sz w:val="28"/>
          <w:szCs w:val="28"/>
          <w:shd w:val="clear" w:color="auto" w:fill="FFFFFF"/>
        </w:rPr>
        <w:t>发性乳腺癌患者免疫细胞的单细胞</w:t>
      </w:r>
      <w:proofErr w:type="gramStart"/>
      <w:r w:rsidRPr="00FD38CB">
        <w:rPr>
          <w:rFonts w:ascii="黑体" w:eastAsia="黑体" w:hAnsi="黑体" w:hint="eastAsia"/>
          <w:color w:val="000000" w:themeColor="text1"/>
          <w:spacing w:val="8"/>
          <w:sz w:val="28"/>
          <w:szCs w:val="28"/>
          <w:shd w:val="clear" w:color="auto" w:fill="FFFFFF"/>
        </w:rPr>
        <w:t>转录组</w:t>
      </w:r>
      <w:proofErr w:type="gramEnd"/>
      <w:r w:rsidRPr="00FD38CB">
        <w:rPr>
          <w:rFonts w:ascii="黑体" w:eastAsia="黑体" w:hAnsi="黑体" w:hint="eastAsia"/>
          <w:color w:val="000000" w:themeColor="text1"/>
          <w:spacing w:val="8"/>
          <w:sz w:val="28"/>
          <w:szCs w:val="28"/>
          <w:shd w:val="clear" w:color="auto" w:fill="FFFFFF"/>
        </w:rPr>
        <w:t>测序</w:t>
      </w:r>
    </w:p>
    <w:p w14:paraId="5C607314" w14:textId="77777777" w:rsidR="00FD38CB" w:rsidRPr="00FD38CB" w:rsidRDefault="00FD38CB" w:rsidP="00FD38CB">
      <w:pPr>
        <w:rPr>
          <w:rFonts w:ascii="黑体" w:eastAsia="黑体" w:hAnsi="黑体"/>
          <w:color w:val="000000" w:themeColor="text1"/>
          <w:spacing w:val="8"/>
          <w:sz w:val="28"/>
          <w:szCs w:val="28"/>
          <w:shd w:val="clear" w:color="auto" w:fill="FFFFFF"/>
        </w:rPr>
      </w:pPr>
    </w:p>
    <w:p w14:paraId="77CE54EE" w14:textId="7B2BA4F9" w:rsidR="007057FF" w:rsidRDefault="00FD38CB" w:rsidP="00FD38CB">
      <w:pPr>
        <w:rPr>
          <w:rFonts w:ascii="黑体" w:eastAsia="黑体" w:hAnsi="黑体"/>
          <w:color w:val="000000" w:themeColor="text1"/>
          <w:spacing w:val="8"/>
          <w:sz w:val="28"/>
          <w:szCs w:val="28"/>
          <w:shd w:val="clear" w:color="auto" w:fill="FFFFFF"/>
        </w:rPr>
      </w:pPr>
      <w:r w:rsidRPr="00FD38CB">
        <w:rPr>
          <w:rFonts w:ascii="黑体" w:eastAsia="黑体" w:hAnsi="黑体" w:hint="eastAsia"/>
          <w:color w:val="000000" w:themeColor="text1"/>
          <w:spacing w:val="8"/>
          <w:sz w:val="28"/>
          <w:szCs w:val="28"/>
          <w:shd w:val="clear" w:color="auto" w:fill="FFFFFF"/>
        </w:rPr>
        <w:t>本研究通过整合Illumina的</w:t>
      </w:r>
      <w:proofErr w:type="spellStart"/>
      <w:r w:rsidRPr="00FD38CB">
        <w:rPr>
          <w:rFonts w:ascii="黑体" w:eastAsia="黑体" w:hAnsi="黑体" w:hint="eastAsia"/>
          <w:color w:val="000000" w:themeColor="text1"/>
          <w:spacing w:val="8"/>
          <w:sz w:val="28"/>
          <w:szCs w:val="28"/>
          <w:shd w:val="clear" w:color="auto" w:fill="FFFFFF"/>
        </w:rPr>
        <w:t>HiSeq</w:t>
      </w:r>
      <w:proofErr w:type="spellEnd"/>
      <w:r w:rsidRPr="00FD38CB">
        <w:rPr>
          <w:rFonts w:ascii="黑体" w:eastAsia="黑体" w:hAnsi="黑体" w:hint="eastAsia"/>
          <w:color w:val="000000" w:themeColor="text1"/>
          <w:spacing w:val="8"/>
          <w:sz w:val="28"/>
          <w:szCs w:val="28"/>
          <w:shd w:val="clear" w:color="auto" w:fill="FFFFFF"/>
        </w:rPr>
        <w:t xml:space="preserve"> 2500测序仪、Droplet Genomics的芯片，以及定制的</w:t>
      </w:r>
      <w:proofErr w:type="spellStart"/>
      <w:r w:rsidRPr="00FD38CB">
        <w:rPr>
          <w:rFonts w:ascii="黑体" w:eastAsia="黑体" w:hAnsi="黑体" w:hint="eastAsia"/>
          <w:color w:val="000000" w:themeColor="text1"/>
          <w:spacing w:val="8"/>
          <w:sz w:val="28"/>
          <w:szCs w:val="28"/>
          <w:shd w:val="clear" w:color="auto" w:fill="FFFFFF"/>
        </w:rPr>
        <w:t>inDrop</w:t>
      </w:r>
      <w:proofErr w:type="spellEnd"/>
      <w:r w:rsidRPr="00FD38CB">
        <w:rPr>
          <w:rFonts w:ascii="黑体" w:eastAsia="黑体" w:hAnsi="黑体" w:hint="eastAsia"/>
          <w:color w:val="000000" w:themeColor="text1"/>
          <w:spacing w:val="8"/>
          <w:sz w:val="28"/>
          <w:szCs w:val="28"/>
          <w:shd w:val="clear" w:color="auto" w:fill="FFFFFF"/>
        </w:rPr>
        <w:t>单细胞RNA-Seq微流体平台，对来自8名从未接受过治疗的原发性乳腺癌患者的47,016个免疫细胞进行</w:t>
      </w:r>
      <w:proofErr w:type="gramStart"/>
      <w:r w:rsidRPr="00FD38CB">
        <w:rPr>
          <w:rFonts w:ascii="黑体" w:eastAsia="黑体" w:hAnsi="黑体" w:hint="eastAsia"/>
          <w:color w:val="000000" w:themeColor="text1"/>
          <w:spacing w:val="8"/>
          <w:sz w:val="28"/>
          <w:szCs w:val="28"/>
          <w:shd w:val="clear" w:color="auto" w:fill="FFFFFF"/>
        </w:rPr>
        <w:t>转录组</w:t>
      </w:r>
      <w:proofErr w:type="gramEnd"/>
      <w:r w:rsidRPr="00FD38CB">
        <w:rPr>
          <w:rFonts w:ascii="黑体" w:eastAsia="黑体" w:hAnsi="黑体" w:hint="eastAsia"/>
          <w:color w:val="000000" w:themeColor="text1"/>
          <w:spacing w:val="8"/>
          <w:sz w:val="28"/>
          <w:szCs w:val="28"/>
          <w:shd w:val="clear" w:color="auto" w:fill="FFFFFF"/>
        </w:rPr>
        <w:t>分析。研究对象包括表达雌激素受体（ER）的肿瘤、表达孕激素受体（PR）的肿瘤、表达人表皮生长因子受体2（HER2）的肿瘤，以及ER、PR和HER2都不表达的三阴肿瘤。最终研究如同预期的那样，在结果中看到了各种免疫细胞簇，包括单核细胞、巨噬细胞、肥大细胞、T细胞、B细胞、树突状细胞和嗜中性粒细胞。</w:t>
      </w:r>
    </w:p>
    <w:p w14:paraId="1967C23C" w14:textId="77777777" w:rsidR="00FD38CB" w:rsidRPr="00FD38CB" w:rsidRDefault="00FD38CB" w:rsidP="00FD38CB">
      <w:pPr>
        <w:rPr>
          <w:rFonts w:ascii="黑体" w:eastAsia="黑体" w:hAnsi="黑体"/>
          <w:color w:val="000000" w:themeColor="text1"/>
          <w:spacing w:val="8"/>
          <w:sz w:val="28"/>
          <w:szCs w:val="28"/>
          <w:shd w:val="clear" w:color="auto" w:fill="FFFFFF"/>
        </w:rPr>
      </w:pPr>
      <w:r w:rsidRPr="00FD38CB">
        <w:rPr>
          <w:rFonts w:ascii="黑体" w:eastAsia="黑体" w:hAnsi="黑体" w:hint="eastAsia"/>
          <w:color w:val="000000" w:themeColor="text1"/>
          <w:spacing w:val="8"/>
          <w:sz w:val="28"/>
          <w:szCs w:val="28"/>
          <w:shd w:val="clear" w:color="auto" w:fill="FFFFFF"/>
        </w:rPr>
        <w:t>10x Chromium平台配对的单细胞RNA-seq和TCR-seq揭示单个T细胞克隆型活化状态的范围</w:t>
      </w:r>
    </w:p>
    <w:p w14:paraId="3C932F18" w14:textId="77777777" w:rsidR="00FD38CB" w:rsidRPr="00FD38CB" w:rsidRDefault="00FD38CB" w:rsidP="00FD38CB">
      <w:pPr>
        <w:rPr>
          <w:rFonts w:ascii="黑体" w:eastAsia="黑体" w:hAnsi="黑体"/>
          <w:color w:val="000000" w:themeColor="text1"/>
          <w:spacing w:val="8"/>
          <w:sz w:val="28"/>
          <w:szCs w:val="28"/>
          <w:shd w:val="clear" w:color="auto" w:fill="FFFFFF"/>
        </w:rPr>
      </w:pPr>
    </w:p>
    <w:p w14:paraId="4873BC29" w14:textId="2B954D43" w:rsidR="00FD38CB" w:rsidRDefault="00FD38CB" w:rsidP="00FD38CB">
      <w:pPr>
        <w:rPr>
          <w:rFonts w:ascii="黑体" w:eastAsia="黑体" w:hAnsi="黑体"/>
          <w:color w:val="000000" w:themeColor="text1"/>
          <w:spacing w:val="8"/>
          <w:sz w:val="28"/>
          <w:szCs w:val="28"/>
          <w:shd w:val="clear" w:color="auto" w:fill="FFFFFF"/>
        </w:rPr>
      </w:pPr>
      <w:r w:rsidRPr="00FD38CB">
        <w:rPr>
          <w:rFonts w:ascii="黑体" w:eastAsia="黑体" w:hAnsi="黑体" w:hint="eastAsia"/>
          <w:color w:val="000000" w:themeColor="text1"/>
          <w:spacing w:val="8"/>
          <w:sz w:val="28"/>
          <w:szCs w:val="28"/>
          <w:shd w:val="clear" w:color="auto" w:fill="FFFFFF"/>
        </w:rPr>
        <w:t>在后续实验中，为了更深入的了解TCR库的多样性是否有助于观察T细胞活化谱和整体表型的多样性，研究人员通过10x Genomics单细胞平台，选取来自3个额外乳腺癌组织（BC9-11）的27,000多个T细胞，进行配对的单细胞RNA测序和TCR测序。</w:t>
      </w:r>
      <w:r w:rsidRPr="00FD38CB">
        <w:rPr>
          <w:rFonts w:ascii="黑体" w:eastAsia="黑体" w:hAnsi="黑体" w:hint="eastAsia"/>
          <w:color w:val="000000" w:themeColor="text1"/>
          <w:spacing w:val="8"/>
          <w:sz w:val="28"/>
          <w:szCs w:val="28"/>
          <w:shd w:val="clear" w:color="auto" w:fill="FFFFFF"/>
        </w:rPr>
        <w:lastRenderedPageBreak/>
        <w:t>由此方法获得的数据能通过相同的单个细胞，将基因表达直接映射到TCR应用中。最终表明TCR多样性并不是T细胞连续激活的唯一驱动因素，也存在</w:t>
      </w:r>
    </w:p>
    <w:p w14:paraId="4A9DC9B4" w14:textId="77777777" w:rsidR="00FD38CB" w:rsidRPr="00FD38CB" w:rsidRDefault="00FD38CB" w:rsidP="00FD38CB">
      <w:pPr>
        <w:rPr>
          <w:rFonts w:ascii="黑体" w:eastAsia="黑体" w:hAnsi="黑体"/>
          <w:color w:val="000000" w:themeColor="text1"/>
          <w:spacing w:val="8"/>
          <w:sz w:val="28"/>
          <w:szCs w:val="28"/>
          <w:shd w:val="clear" w:color="auto" w:fill="FFFFFF"/>
        </w:rPr>
      </w:pPr>
      <w:r w:rsidRPr="00FD38CB">
        <w:rPr>
          <w:rFonts w:ascii="黑体" w:eastAsia="黑体" w:hAnsi="黑体" w:hint="eastAsia"/>
          <w:color w:val="000000" w:themeColor="text1"/>
          <w:spacing w:val="8"/>
          <w:sz w:val="28"/>
          <w:szCs w:val="28"/>
          <w:shd w:val="clear" w:color="auto" w:fill="FFFFFF"/>
        </w:rPr>
        <w:t xml:space="preserve">10x </w:t>
      </w:r>
      <w:proofErr w:type="spellStart"/>
      <w:r w:rsidRPr="00FD38CB">
        <w:rPr>
          <w:rFonts w:ascii="黑体" w:eastAsia="黑体" w:hAnsi="黑体" w:hint="eastAsia"/>
          <w:color w:val="000000" w:themeColor="text1"/>
          <w:spacing w:val="8"/>
          <w:sz w:val="28"/>
          <w:szCs w:val="28"/>
          <w:shd w:val="clear" w:color="auto" w:fill="FFFFFF"/>
        </w:rPr>
        <w:t>Genomcis</w:t>
      </w:r>
      <w:proofErr w:type="spellEnd"/>
      <w:r w:rsidRPr="00FD38CB">
        <w:rPr>
          <w:rFonts w:ascii="黑体" w:eastAsia="黑体" w:hAnsi="黑体" w:hint="eastAsia"/>
          <w:color w:val="000000" w:themeColor="text1"/>
          <w:spacing w:val="8"/>
          <w:sz w:val="28"/>
          <w:szCs w:val="28"/>
          <w:shd w:val="clear" w:color="auto" w:fill="FFFFFF"/>
        </w:rPr>
        <w:t xml:space="preserve"> 单细胞5'和VDJ测序的文库构建</w:t>
      </w:r>
    </w:p>
    <w:p w14:paraId="224FE51F" w14:textId="77777777" w:rsidR="00FD38CB" w:rsidRPr="00FD38CB" w:rsidRDefault="00FD38CB" w:rsidP="00FD38CB">
      <w:pPr>
        <w:rPr>
          <w:rFonts w:ascii="黑体" w:eastAsia="黑体" w:hAnsi="黑体"/>
          <w:color w:val="000000" w:themeColor="text1"/>
          <w:spacing w:val="8"/>
          <w:sz w:val="28"/>
          <w:szCs w:val="28"/>
          <w:shd w:val="clear" w:color="auto" w:fill="FFFFFF"/>
        </w:rPr>
      </w:pPr>
    </w:p>
    <w:p w14:paraId="6E158ADC" w14:textId="77777777" w:rsidR="00FD38CB" w:rsidRPr="00FD38CB" w:rsidRDefault="00FD38CB" w:rsidP="00FD38CB">
      <w:pPr>
        <w:rPr>
          <w:rFonts w:ascii="黑体" w:eastAsia="黑体" w:hAnsi="黑体"/>
          <w:color w:val="000000" w:themeColor="text1"/>
          <w:spacing w:val="8"/>
          <w:sz w:val="28"/>
          <w:szCs w:val="28"/>
          <w:shd w:val="clear" w:color="auto" w:fill="FFFFFF"/>
        </w:rPr>
      </w:pPr>
      <w:r w:rsidRPr="00FD38CB">
        <w:rPr>
          <w:rFonts w:ascii="黑体" w:eastAsia="黑体" w:hAnsi="黑体" w:hint="eastAsia"/>
          <w:color w:val="000000" w:themeColor="text1"/>
          <w:spacing w:val="8"/>
          <w:sz w:val="28"/>
          <w:szCs w:val="28"/>
          <w:shd w:val="clear" w:color="auto" w:fill="FFFFFF"/>
        </w:rPr>
        <w:t>将大约12,000个FACS分选的CD3+免疫细胞（90％-95％存活率），以700 cell/μl的浓度制成微滴，以期望能获得7,000个标记的单细胞mRNA信息（</w:t>
      </w:r>
      <w:proofErr w:type="spellStart"/>
      <w:r w:rsidRPr="00FD38CB">
        <w:rPr>
          <w:rFonts w:ascii="黑体" w:eastAsia="黑体" w:hAnsi="黑体" w:hint="eastAsia"/>
          <w:color w:val="000000" w:themeColor="text1"/>
          <w:spacing w:val="8"/>
          <w:sz w:val="28"/>
          <w:szCs w:val="28"/>
          <w:shd w:val="clear" w:color="auto" w:fill="FFFFFF"/>
        </w:rPr>
        <w:t>multiplet</w:t>
      </w:r>
      <w:proofErr w:type="spellEnd"/>
      <w:r w:rsidRPr="00FD38CB">
        <w:rPr>
          <w:rFonts w:ascii="黑体" w:eastAsia="黑体" w:hAnsi="黑体" w:hint="eastAsia"/>
          <w:color w:val="000000" w:themeColor="text1"/>
          <w:spacing w:val="8"/>
          <w:sz w:val="28"/>
          <w:szCs w:val="28"/>
          <w:shd w:val="clear" w:color="auto" w:fill="FFFFFF"/>
        </w:rPr>
        <w:t xml:space="preserve"> rate: 5.4%）。液滴破碎，mRNA逆转录后，产生带有Barcode和UMI的cDNA，barcoded-cDNA纯化，PCR扩增，构建5'基因表达文库和富集的T细胞受体文库，上机测序。</w:t>
      </w:r>
    </w:p>
    <w:p w14:paraId="4B7D0764" w14:textId="77777777" w:rsidR="00FD38CB" w:rsidRPr="00FD38CB" w:rsidRDefault="00FD38CB" w:rsidP="00FD38CB">
      <w:pPr>
        <w:rPr>
          <w:rFonts w:ascii="黑体" w:eastAsia="黑体" w:hAnsi="黑体"/>
          <w:color w:val="000000" w:themeColor="text1"/>
          <w:spacing w:val="8"/>
          <w:sz w:val="28"/>
          <w:szCs w:val="28"/>
          <w:shd w:val="clear" w:color="auto" w:fill="FFFFFF"/>
        </w:rPr>
      </w:pPr>
    </w:p>
    <w:p w14:paraId="19C1BE50" w14:textId="16916FB5" w:rsidR="00FD38CB" w:rsidRPr="007057FF" w:rsidRDefault="00FD38CB" w:rsidP="00FD38CB">
      <w:pPr>
        <w:rPr>
          <w:rFonts w:ascii="黑体" w:eastAsia="黑体" w:hAnsi="黑体"/>
          <w:color w:val="000000" w:themeColor="text1"/>
          <w:spacing w:val="8"/>
          <w:sz w:val="28"/>
          <w:szCs w:val="28"/>
          <w:shd w:val="clear" w:color="auto" w:fill="FFFFFF"/>
        </w:rPr>
      </w:pPr>
      <w:r w:rsidRPr="00FD38CB">
        <w:rPr>
          <w:rFonts w:ascii="黑体" w:eastAsia="黑体" w:hAnsi="黑体" w:hint="eastAsia"/>
          <w:color w:val="000000" w:themeColor="text1"/>
          <w:spacing w:val="8"/>
          <w:sz w:val="28"/>
          <w:szCs w:val="28"/>
          <w:shd w:val="clear" w:color="auto" w:fill="FFFFFF"/>
        </w:rPr>
        <w:t>本次试验观察的结果，以及基于10x Chromium平台的免疫细胞RNA-seq和TCR-seq数据集，加上全面的分析手段，将有助于我们更好地了解免疫细胞促进和延缓肿瘤生长背后的潜在分子机制。</w:t>
      </w:r>
    </w:p>
    <w:p w14:paraId="4381BF32" w14:textId="6390B921" w:rsidR="007057FF" w:rsidRDefault="007057FF" w:rsidP="006060EE">
      <w:pPr>
        <w:rPr>
          <w:rFonts w:ascii="黑体" w:eastAsia="黑体" w:hAnsi="黑体"/>
          <w:color w:val="000000" w:themeColor="text1"/>
          <w:spacing w:val="8"/>
          <w:sz w:val="28"/>
          <w:szCs w:val="28"/>
          <w:shd w:val="clear" w:color="auto" w:fill="FFFFFF"/>
        </w:rPr>
      </w:pPr>
    </w:p>
    <w:p w14:paraId="63756F4A" w14:textId="77777777" w:rsidR="00B302B4" w:rsidRPr="00B302B4" w:rsidRDefault="00B302B4" w:rsidP="00B302B4">
      <w:pPr>
        <w:rPr>
          <w:rFonts w:ascii="黑体" w:eastAsia="黑体" w:hAnsi="黑体"/>
          <w:color w:val="000000" w:themeColor="text1"/>
          <w:spacing w:val="8"/>
          <w:sz w:val="28"/>
          <w:szCs w:val="28"/>
          <w:shd w:val="clear" w:color="auto" w:fill="FFFFFF"/>
        </w:rPr>
      </w:pPr>
      <w:r w:rsidRPr="00B302B4">
        <w:rPr>
          <w:rFonts w:ascii="黑体" w:eastAsia="黑体" w:hAnsi="黑体" w:hint="eastAsia"/>
          <w:color w:val="000000" w:themeColor="text1"/>
          <w:spacing w:val="8"/>
          <w:sz w:val="28"/>
          <w:szCs w:val="28"/>
          <w:shd w:val="clear" w:color="auto" w:fill="FFFFFF"/>
        </w:rPr>
        <w:t>从RNA-seq数据中复制数字推断</w:t>
      </w:r>
    </w:p>
    <w:p w14:paraId="2B3B56D5" w14:textId="77777777" w:rsidR="00B302B4" w:rsidRPr="00B302B4" w:rsidRDefault="00B302B4" w:rsidP="00B302B4">
      <w:pPr>
        <w:rPr>
          <w:rFonts w:ascii="黑体" w:eastAsia="黑体" w:hAnsi="黑体"/>
          <w:color w:val="000000" w:themeColor="text1"/>
          <w:spacing w:val="8"/>
          <w:sz w:val="28"/>
          <w:szCs w:val="28"/>
          <w:shd w:val="clear" w:color="auto" w:fill="FFFFFF"/>
        </w:rPr>
      </w:pPr>
      <w:r w:rsidRPr="00B302B4">
        <w:rPr>
          <w:rFonts w:ascii="黑体" w:eastAsia="黑体" w:hAnsi="黑体" w:hint="eastAsia"/>
          <w:color w:val="000000" w:themeColor="text1"/>
          <w:spacing w:val="8"/>
          <w:sz w:val="28"/>
          <w:szCs w:val="28"/>
          <w:shd w:val="clear" w:color="auto" w:fill="FFFFFF"/>
        </w:rPr>
        <w:t>为了鉴定与推定的非癌细胞相比的癌细胞的不同染色体基因表达模式，来自</w:t>
      </w:r>
      <w:proofErr w:type="spellStart"/>
      <w:r w:rsidRPr="00B302B4">
        <w:rPr>
          <w:rFonts w:ascii="黑体" w:eastAsia="黑体" w:hAnsi="黑体" w:hint="eastAsia"/>
          <w:color w:val="000000" w:themeColor="text1"/>
          <w:spacing w:val="8"/>
          <w:sz w:val="28"/>
          <w:szCs w:val="28"/>
          <w:shd w:val="clear" w:color="auto" w:fill="FFFFFF"/>
        </w:rPr>
        <w:t>GTEx</w:t>
      </w:r>
      <w:proofErr w:type="spellEnd"/>
      <w:r w:rsidRPr="00B302B4">
        <w:rPr>
          <w:rFonts w:ascii="黑体" w:eastAsia="黑体" w:hAnsi="黑体" w:hint="eastAsia"/>
          <w:color w:val="000000" w:themeColor="text1"/>
          <w:spacing w:val="8"/>
          <w:sz w:val="28"/>
          <w:szCs w:val="28"/>
          <w:shd w:val="clear" w:color="auto" w:fill="FFFFFF"/>
        </w:rPr>
        <w:t>门户（http://www.gtexportal.org/）的正常乳腺组织的表达</w:t>
      </w:r>
      <w:proofErr w:type="gramStart"/>
      <w:r w:rsidRPr="00B302B4">
        <w:rPr>
          <w:rFonts w:ascii="黑体" w:eastAsia="黑体" w:hAnsi="黑体" w:hint="eastAsia"/>
          <w:color w:val="000000" w:themeColor="text1"/>
          <w:spacing w:val="8"/>
          <w:sz w:val="28"/>
          <w:szCs w:val="28"/>
          <w:shd w:val="clear" w:color="auto" w:fill="FFFFFF"/>
        </w:rPr>
        <w:t>谱首先</w:t>
      </w:r>
      <w:proofErr w:type="gramEnd"/>
      <w:r w:rsidRPr="00B302B4">
        <w:rPr>
          <w:rFonts w:ascii="黑体" w:eastAsia="黑体" w:hAnsi="黑体" w:hint="eastAsia"/>
          <w:color w:val="000000" w:themeColor="text1"/>
          <w:spacing w:val="8"/>
          <w:sz w:val="28"/>
          <w:szCs w:val="28"/>
          <w:shd w:val="clear" w:color="auto" w:fill="FFFFFF"/>
        </w:rPr>
        <w:t>转化为log 2（TPM +） 1）与我们的数据</w:t>
      </w:r>
      <w:proofErr w:type="gramStart"/>
      <w:r w:rsidRPr="00B302B4">
        <w:rPr>
          <w:rFonts w:ascii="黑体" w:eastAsia="黑体" w:hAnsi="黑体" w:hint="eastAsia"/>
          <w:color w:val="000000" w:themeColor="text1"/>
          <w:spacing w:val="8"/>
          <w:sz w:val="28"/>
          <w:szCs w:val="28"/>
          <w:shd w:val="clear" w:color="auto" w:fill="FFFFFF"/>
        </w:rPr>
        <w:t>集相</w:t>
      </w:r>
      <w:proofErr w:type="gramEnd"/>
      <w:r w:rsidRPr="00B302B4">
        <w:rPr>
          <w:rFonts w:ascii="黑体" w:eastAsia="黑体" w:hAnsi="黑体" w:hint="eastAsia"/>
          <w:color w:val="000000" w:themeColor="text1"/>
          <w:spacing w:val="8"/>
          <w:sz w:val="28"/>
          <w:szCs w:val="28"/>
          <w:shd w:val="clear" w:color="auto" w:fill="FFFFFF"/>
        </w:rPr>
        <w:t>当的值。其次，计算在我们过滤的单细胞数据中检测到的基因的平均基因表达及其对所有正常乳腺组织的变化。第三，Z通过</w:t>
      </w:r>
      <w:r w:rsidRPr="00B302B4">
        <w:rPr>
          <w:rFonts w:ascii="黑体" w:eastAsia="黑体" w:hAnsi="黑体" w:hint="eastAsia"/>
          <w:color w:val="000000" w:themeColor="text1"/>
          <w:spacing w:val="8"/>
          <w:sz w:val="28"/>
          <w:szCs w:val="28"/>
          <w:shd w:val="clear" w:color="auto" w:fill="FFFFFF"/>
        </w:rPr>
        <w:lastRenderedPageBreak/>
        <w:t>将我们的单细胞数据归一化为正常乳腺组织的平均表达谱来计算每个基因的分数。所有基因按染色体编号和起始位置分类。从150个基因的移动平均值作为窗口大小估计染色体表达模式，并将其调整为跨基因的中心值。</w:t>
      </w:r>
    </w:p>
    <w:p w14:paraId="1E7EE0E7" w14:textId="77777777" w:rsidR="00B302B4" w:rsidRPr="00B302B4" w:rsidRDefault="00B302B4" w:rsidP="00B302B4">
      <w:pPr>
        <w:rPr>
          <w:rFonts w:ascii="黑体" w:eastAsia="黑体" w:hAnsi="黑体"/>
          <w:color w:val="000000" w:themeColor="text1"/>
          <w:spacing w:val="8"/>
          <w:sz w:val="28"/>
          <w:szCs w:val="28"/>
          <w:shd w:val="clear" w:color="auto" w:fill="FFFFFF"/>
        </w:rPr>
      </w:pPr>
    </w:p>
    <w:p w14:paraId="0486C840" w14:textId="77777777" w:rsidR="00B302B4" w:rsidRPr="00B302B4" w:rsidRDefault="00B302B4" w:rsidP="00B302B4">
      <w:pPr>
        <w:rPr>
          <w:rFonts w:ascii="黑体" w:eastAsia="黑体" w:hAnsi="黑体"/>
          <w:color w:val="000000" w:themeColor="text1"/>
          <w:spacing w:val="8"/>
          <w:sz w:val="28"/>
          <w:szCs w:val="28"/>
          <w:shd w:val="clear" w:color="auto" w:fill="FFFFFF"/>
        </w:rPr>
      </w:pPr>
      <w:r w:rsidRPr="00B302B4">
        <w:rPr>
          <w:rFonts w:ascii="黑体" w:eastAsia="黑体" w:hAnsi="黑体" w:hint="eastAsia"/>
          <w:color w:val="000000" w:themeColor="text1"/>
          <w:spacing w:val="8"/>
          <w:sz w:val="28"/>
          <w:szCs w:val="28"/>
          <w:shd w:val="clear" w:color="auto" w:fill="FFFFFF"/>
        </w:rPr>
        <w:t>基因组CNV与推断的CNV之间的相关性</w:t>
      </w:r>
    </w:p>
    <w:p w14:paraId="41BCF9EB" w14:textId="77777777" w:rsidR="00B302B4" w:rsidRPr="00B302B4" w:rsidRDefault="00B302B4" w:rsidP="00B302B4">
      <w:pPr>
        <w:rPr>
          <w:rFonts w:ascii="黑体" w:eastAsia="黑体" w:hAnsi="黑体"/>
          <w:color w:val="000000" w:themeColor="text1"/>
          <w:spacing w:val="8"/>
          <w:sz w:val="28"/>
          <w:szCs w:val="28"/>
          <w:shd w:val="clear" w:color="auto" w:fill="FFFFFF"/>
        </w:rPr>
      </w:pPr>
      <w:r w:rsidRPr="00B302B4">
        <w:rPr>
          <w:rFonts w:ascii="黑体" w:eastAsia="黑体" w:hAnsi="黑体" w:hint="eastAsia"/>
          <w:color w:val="000000" w:themeColor="text1"/>
          <w:spacing w:val="8"/>
          <w:sz w:val="28"/>
          <w:szCs w:val="28"/>
          <w:shd w:val="clear" w:color="auto" w:fill="FFFFFF"/>
        </w:rPr>
        <w:t>对体细胞CNV和大规模片段（&gt; 10,000bp）进行CNV的比较。为了并行比较WES和RNA-seq之间的CNV，将两个CNV分成10Mb窗口大小，并推断CNV在单个细胞中取平均值。使用R函数通过Pearson相关分析计算相关系数。</w:t>
      </w:r>
    </w:p>
    <w:p w14:paraId="09CC8ED5" w14:textId="77777777" w:rsidR="00B302B4" w:rsidRPr="00B302B4" w:rsidRDefault="00B302B4" w:rsidP="00B302B4">
      <w:pPr>
        <w:rPr>
          <w:rFonts w:ascii="黑体" w:eastAsia="黑体" w:hAnsi="黑体"/>
          <w:color w:val="000000" w:themeColor="text1"/>
          <w:spacing w:val="8"/>
          <w:sz w:val="28"/>
          <w:szCs w:val="28"/>
          <w:shd w:val="clear" w:color="auto" w:fill="FFFFFF"/>
        </w:rPr>
      </w:pPr>
    </w:p>
    <w:p w14:paraId="0790286C" w14:textId="77777777" w:rsidR="00B302B4" w:rsidRPr="00B302B4" w:rsidRDefault="00B302B4" w:rsidP="00B302B4">
      <w:pPr>
        <w:rPr>
          <w:rFonts w:ascii="黑体" w:eastAsia="黑体" w:hAnsi="黑体"/>
          <w:color w:val="000000" w:themeColor="text1"/>
          <w:spacing w:val="8"/>
          <w:sz w:val="28"/>
          <w:szCs w:val="28"/>
          <w:shd w:val="clear" w:color="auto" w:fill="FFFFFF"/>
        </w:rPr>
      </w:pPr>
      <w:r w:rsidRPr="00B302B4">
        <w:rPr>
          <w:rFonts w:ascii="黑体" w:eastAsia="黑体" w:hAnsi="黑体" w:hint="eastAsia"/>
          <w:color w:val="000000" w:themeColor="text1"/>
          <w:spacing w:val="8"/>
          <w:sz w:val="28"/>
          <w:szCs w:val="28"/>
          <w:shd w:val="clear" w:color="auto" w:fill="FFFFFF"/>
        </w:rPr>
        <w:t>途径分析</w:t>
      </w:r>
    </w:p>
    <w:p w14:paraId="406B5CB3" w14:textId="77777777" w:rsidR="00B302B4" w:rsidRPr="00B302B4" w:rsidRDefault="00B302B4" w:rsidP="00B302B4">
      <w:pPr>
        <w:rPr>
          <w:rFonts w:ascii="黑体" w:eastAsia="黑体" w:hAnsi="黑体"/>
          <w:color w:val="000000" w:themeColor="text1"/>
          <w:spacing w:val="8"/>
          <w:sz w:val="28"/>
          <w:szCs w:val="28"/>
          <w:shd w:val="clear" w:color="auto" w:fill="FFFFFF"/>
        </w:rPr>
      </w:pPr>
      <w:r w:rsidRPr="00B302B4">
        <w:rPr>
          <w:rFonts w:ascii="黑体" w:eastAsia="黑体" w:hAnsi="黑体" w:hint="eastAsia"/>
          <w:color w:val="000000" w:themeColor="text1"/>
          <w:spacing w:val="8"/>
          <w:sz w:val="28"/>
          <w:szCs w:val="28"/>
          <w:shd w:val="clear" w:color="auto" w:fill="FFFFFF"/>
        </w:rPr>
        <w:t>为了评估基因表达特征和途径激活，使用具有RNA-seq模式的R包58中称为GSVA软件的非参数和无监督软件算法。我们在GSVA中包括</w:t>
      </w:r>
      <w:proofErr w:type="spellStart"/>
      <w:r w:rsidRPr="00B302B4">
        <w:rPr>
          <w:rFonts w:ascii="黑体" w:eastAsia="黑体" w:hAnsi="黑体" w:hint="eastAsia"/>
          <w:color w:val="000000" w:themeColor="text1"/>
          <w:spacing w:val="8"/>
          <w:sz w:val="28"/>
          <w:szCs w:val="28"/>
          <w:shd w:val="clear" w:color="auto" w:fill="FFFFFF"/>
        </w:rPr>
        <w:t>GTEx</w:t>
      </w:r>
      <w:proofErr w:type="spellEnd"/>
      <w:r w:rsidRPr="00B302B4">
        <w:rPr>
          <w:rFonts w:ascii="黑体" w:eastAsia="黑体" w:hAnsi="黑体" w:hint="eastAsia"/>
          <w:color w:val="000000" w:themeColor="text1"/>
          <w:spacing w:val="8"/>
          <w:sz w:val="28"/>
          <w:szCs w:val="28"/>
          <w:shd w:val="clear" w:color="auto" w:fill="FFFFFF"/>
        </w:rPr>
        <w:t>正常乳腺组织样品以评估相对途径激活水平。对于所有基因组，使用超几何测试进行过表达分析，并且使用P值&lt;0.05的那些。</w:t>
      </w:r>
    </w:p>
    <w:p w14:paraId="71D011F8" w14:textId="77777777" w:rsidR="00B302B4" w:rsidRPr="00B302B4" w:rsidRDefault="00B302B4" w:rsidP="00B302B4">
      <w:pPr>
        <w:rPr>
          <w:rFonts w:ascii="黑体" w:eastAsia="黑体" w:hAnsi="黑体"/>
          <w:color w:val="000000" w:themeColor="text1"/>
          <w:spacing w:val="8"/>
          <w:sz w:val="28"/>
          <w:szCs w:val="28"/>
          <w:shd w:val="clear" w:color="auto" w:fill="FFFFFF"/>
        </w:rPr>
      </w:pPr>
    </w:p>
    <w:p w14:paraId="564E5A38" w14:textId="77777777" w:rsidR="00B302B4" w:rsidRPr="00B302B4" w:rsidRDefault="00B302B4" w:rsidP="00B302B4">
      <w:pPr>
        <w:rPr>
          <w:rFonts w:ascii="黑体" w:eastAsia="黑体" w:hAnsi="黑体"/>
          <w:color w:val="000000" w:themeColor="text1"/>
          <w:spacing w:val="8"/>
          <w:sz w:val="28"/>
          <w:szCs w:val="28"/>
          <w:shd w:val="clear" w:color="auto" w:fill="FFFFFF"/>
        </w:rPr>
      </w:pPr>
      <w:r w:rsidRPr="00B302B4">
        <w:rPr>
          <w:rFonts w:ascii="黑体" w:eastAsia="黑体" w:hAnsi="黑体" w:hint="eastAsia"/>
          <w:color w:val="000000" w:themeColor="text1"/>
          <w:spacing w:val="8"/>
          <w:sz w:val="28"/>
          <w:szCs w:val="28"/>
          <w:shd w:val="clear" w:color="auto" w:fill="FFFFFF"/>
        </w:rPr>
        <w:t>乳腺癌亚型特异性基因表达</w:t>
      </w:r>
    </w:p>
    <w:p w14:paraId="16E7EB64" w14:textId="77777777" w:rsidR="00B302B4" w:rsidRPr="00B302B4" w:rsidRDefault="00B302B4" w:rsidP="00B302B4">
      <w:pPr>
        <w:rPr>
          <w:rFonts w:ascii="黑体" w:eastAsia="黑体" w:hAnsi="黑体"/>
          <w:color w:val="000000" w:themeColor="text1"/>
          <w:spacing w:val="8"/>
          <w:sz w:val="28"/>
          <w:szCs w:val="28"/>
          <w:shd w:val="clear" w:color="auto" w:fill="FFFFFF"/>
        </w:rPr>
      </w:pPr>
      <w:r w:rsidRPr="00B302B4">
        <w:rPr>
          <w:rFonts w:ascii="黑体" w:eastAsia="黑体" w:hAnsi="黑体" w:hint="eastAsia"/>
          <w:color w:val="000000" w:themeColor="text1"/>
          <w:spacing w:val="8"/>
          <w:sz w:val="28"/>
          <w:szCs w:val="28"/>
          <w:shd w:val="clear" w:color="auto" w:fill="FFFFFF"/>
        </w:rPr>
        <w:t>我们采用将R包“修拉” 32来分析单细胞数据和所使用的LRT基于零膨胀数据和所述接收器操作特性测试，以确定亚型特异性标志物（其平均表达比双重和分类能力的情况下（曲线下面积）</w:t>
      </w:r>
      <w:r w:rsidRPr="00B302B4">
        <w:rPr>
          <w:rFonts w:ascii="黑体" w:eastAsia="黑体" w:hAnsi="黑体" w:hint="eastAsia"/>
          <w:color w:val="000000" w:themeColor="text1"/>
          <w:spacing w:val="8"/>
          <w:sz w:val="28"/>
          <w:szCs w:val="28"/>
          <w:shd w:val="clear" w:color="auto" w:fill="FFFFFF"/>
        </w:rPr>
        <w:lastRenderedPageBreak/>
        <w:t>高于0.7，LRT P &lt;0.05; 补充表2a-c）。为了显示每个亚型中的区室途径激活或鉴定与腔HER2 +肿瘤细胞相比的富含HER2的肿瘤细胞的特征基因，计算来自</w:t>
      </w:r>
      <w:proofErr w:type="spellStart"/>
      <w:r w:rsidRPr="00B302B4">
        <w:rPr>
          <w:rFonts w:ascii="黑体" w:eastAsia="黑体" w:hAnsi="黑体" w:hint="eastAsia"/>
          <w:color w:val="000000" w:themeColor="text1"/>
          <w:spacing w:val="8"/>
          <w:sz w:val="28"/>
          <w:szCs w:val="28"/>
          <w:shd w:val="clear" w:color="auto" w:fill="FFFFFF"/>
        </w:rPr>
        <w:t>MSigDB</w:t>
      </w:r>
      <w:proofErr w:type="spellEnd"/>
      <w:r w:rsidRPr="00B302B4">
        <w:rPr>
          <w:rFonts w:ascii="黑体" w:eastAsia="黑体" w:hAnsi="黑体" w:hint="eastAsia"/>
          <w:color w:val="000000" w:themeColor="text1"/>
          <w:spacing w:val="8"/>
          <w:sz w:val="28"/>
          <w:szCs w:val="28"/>
          <w:shd w:val="clear" w:color="auto" w:fill="FFFFFF"/>
        </w:rPr>
        <w:t xml:space="preserve"> v5.0的亚</w:t>
      </w:r>
      <w:proofErr w:type="gramStart"/>
      <w:r w:rsidRPr="00B302B4">
        <w:rPr>
          <w:rFonts w:ascii="黑体" w:eastAsia="黑体" w:hAnsi="黑体" w:hint="eastAsia"/>
          <w:color w:val="000000" w:themeColor="text1"/>
          <w:spacing w:val="8"/>
          <w:sz w:val="28"/>
          <w:szCs w:val="28"/>
          <w:shd w:val="clear" w:color="auto" w:fill="FFFFFF"/>
        </w:rPr>
        <w:t>型相关</w:t>
      </w:r>
      <w:proofErr w:type="gramEnd"/>
      <w:r w:rsidRPr="00B302B4">
        <w:rPr>
          <w:rFonts w:ascii="黑体" w:eastAsia="黑体" w:hAnsi="黑体" w:hint="eastAsia"/>
          <w:color w:val="000000" w:themeColor="text1"/>
          <w:spacing w:val="8"/>
          <w:sz w:val="28"/>
          <w:szCs w:val="28"/>
          <w:shd w:val="clear" w:color="auto" w:fill="FFFFFF"/>
        </w:rPr>
        <w:t>途径或HER2 / HER3下游信号传导途径的GSVA富集评分。</w:t>
      </w:r>
    </w:p>
    <w:p w14:paraId="5A3E1506" w14:textId="77777777" w:rsidR="00B302B4" w:rsidRPr="00B302B4" w:rsidRDefault="00B302B4" w:rsidP="00B302B4">
      <w:pPr>
        <w:rPr>
          <w:rFonts w:ascii="黑体" w:eastAsia="黑体" w:hAnsi="黑体"/>
          <w:color w:val="000000" w:themeColor="text1"/>
          <w:spacing w:val="8"/>
          <w:sz w:val="28"/>
          <w:szCs w:val="28"/>
          <w:shd w:val="clear" w:color="auto" w:fill="FFFFFF"/>
        </w:rPr>
      </w:pPr>
    </w:p>
    <w:p w14:paraId="1AB95BC7" w14:textId="77777777" w:rsidR="00B302B4" w:rsidRPr="00B302B4" w:rsidRDefault="00B302B4" w:rsidP="00B302B4">
      <w:pPr>
        <w:rPr>
          <w:rFonts w:ascii="黑体" w:eastAsia="黑体" w:hAnsi="黑体"/>
          <w:color w:val="000000" w:themeColor="text1"/>
          <w:spacing w:val="8"/>
          <w:sz w:val="28"/>
          <w:szCs w:val="28"/>
          <w:shd w:val="clear" w:color="auto" w:fill="FFFFFF"/>
        </w:rPr>
      </w:pPr>
      <w:r w:rsidRPr="00B302B4">
        <w:rPr>
          <w:rFonts w:ascii="黑体" w:eastAsia="黑体" w:hAnsi="黑体" w:hint="eastAsia"/>
          <w:color w:val="000000" w:themeColor="text1"/>
          <w:spacing w:val="8"/>
          <w:sz w:val="28"/>
          <w:szCs w:val="28"/>
          <w:shd w:val="clear" w:color="auto" w:fill="FFFFFF"/>
        </w:rPr>
        <w:t>三阴性乳腺癌亚型</w:t>
      </w:r>
    </w:p>
    <w:p w14:paraId="5402978A" w14:textId="77777777" w:rsidR="00B302B4" w:rsidRPr="00B302B4" w:rsidRDefault="00B302B4" w:rsidP="00B302B4">
      <w:pPr>
        <w:rPr>
          <w:rFonts w:ascii="黑体" w:eastAsia="黑体" w:hAnsi="黑体"/>
          <w:color w:val="000000" w:themeColor="text1"/>
          <w:spacing w:val="8"/>
          <w:sz w:val="28"/>
          <w:szCs w:val="28"/>
          <w:shd w:val="clear" w:color="auto" w:fill="FFFFFF"/>
        </w:rPr>
      </w:pPr>
      <w:r w:rsidRPr="00B302B4">
        <w:rPr>
          <w:rFonts w:ascii="黑体" w:eastAsia="黑体" w:hAnsi="黑体" w:hint="eastAsia"/>
          <w:color w:val="000000" w:themeColor="text1"/>
          <w:spacing w:val="8"/>
          <w:sz w:val="28"/>
          <w:szCs w:val="28"/>
          <w:shd w:val="clear" w:color="auto" w:fill="FFFFFF"/>
        </w:rPr>
        <w:t>使用</w:t>
      </w:r>
      <w:proofErr w:type="spellStart"/>
      <w:r w:rsidRPr="00B302B4">
        <w:rPr>
          <w:rFonts w:ascii="黑体" w:eastAsia="黑体" w:hAnsi="黑体" w:hint="eastAsia"/>
          <w:color w:val="000000" w:themeColor="text1"/>
          <w:spacing w:val="8"/>
          <w:sz w:val="28"/>
          <w:szCs w:val="28"/>
          <w:shd w:val="clear" w:color="auto" w:fill="FFFFFF"/>
        </w:rPr>
        <w:t>TNBCtype</w:t>
      </w:r>
      <w:proofErr w:type="spellEnd"/>
      <w:r w:rsidRPr="00B302B4">
        <w:rPr>
          <w:rFonts w:ascii="黑体" w:eastAsia="黑体" w:hAnsi="黑体" w:hint="eastAsia"/>
          <w:color w:val="000000" w:themeColor="text1"/>
          <w:spacing w:val="8"/>
          <w:sz w:val="28"/>
          <w:szCs w:val="28"/>
          <w:shd w:val="clear" w:color="auto" w:fill="FFFFFF"/>
        </w:rPr>
        <w:t>（http://cbc.mc.vanderbilt.edu/tnbc/index.php）59将三阴性乳腺癌细胞分为六种亚型（图5c）。</w:t>
      </w:r>
      <w:proofErr w:type="spellStart"/>
      <w:r w:rsidRPr="00B302B4">
        <w:rPr>
          <w:rFonts w:ascii="黑体" w:eastAsia="黑体" w:hAnsi="黑体" w:hint="eastAsia"/>
          <w:color w:val="000000" w:themeColor="text1"/>
          <w:spacing w:val="8"/>
          <w:sz w:val="28"/>
          <w:szCs w:val="28"/>
          <w:shd w:val="clear" w:color="auto" w:fill="FFFFFF"/>
        </w:rPr>
        <w:t>TNBCtype</w:t>
      </w:r>
      <w:proofErr w:type="spellEnd"/>
      <w:r w:rsidRPr="00B302B4">
        <w:rPr>
          <w:rFonts w:ascii="黑体" w:eastAsia="黑体" w:hAnsi="黑体" w:hint="eastAsia"/>
          <w:color w:val="000000" w:themeColor="text1"/>
          <w:spacing w:val="8"/>
          <w:sz w:val="28"/>
          <w:szCs w:val="28"/>
          <w:shd w:val="clear" w:color="auto" w:fill="FFFFFF"/>
        </w:rPr>
        <w:t>对于每个亚型具有六个质心，由2,188个亚型 - 特征基因和386个训练样品定义。通过将候选样本与六个质心进行比较，</w:t>
      </w:r>
      <w:proofErr w:type="spellStart"/>
      <w:r w:rsidRPr="00B302B4">
        <w:rPr>
          <w:rFonts w:ascii="黑体" w:eastAsia="黑体" w:hAnsi="黑体" w:hint="eastAsia"/>
          <w:color w:val="000000" w:themeColor="text1"/>
          <w:spacing w:val="8"/>
          <w:sz w:val="28"/>
          <w:szCs w:val="28"/>
          <w:shd w:val="clear" w:color="auto" w:fill="FFFFFF"/>
        </w:rPr>
        <w:t>TNBCtype</w:t>
      </w:r>
      <w:proofErr w:type="spellEnd"/>
      <w:r w:rsidRPr="00B302B4">
        <w:rPr>
          <w:rFonts w:ascii="黑体" w:eastAsia="黑体" w:hAnsi="黑体" w:hint="eastAsia"/>
          <w:color w:val="000000" w:themeColor="text1"/>
          <w:spacing w:val="8"/>
          <w:sz w:val="28"/>
          <w:szCs w:val="28"/>
          <w:shd w:val="clear" w:color="auto" w:fill="FFFFFF"/>
        </w:rPr>
        <w:t xml:space="preserve"> 为每个子类型提供Spearman相关系数和P值。一些细胞具有高相关系数（P.&lt;0.05）具有多于一种亚型，因此被分类为多种亚型。在应用</w:t>
      </w:r>
      <w:proofErr w:type="spellStart"/>
      <w:r w:rsidRPr="00B302B4">
        <w:rPr>
          <w:rFonts w:ascii="黑体" w:eastAsia="黑体" w:hAnsi="黑体" w:hint="eastAsia"/>
          <w:color w:val="000000" w:themeColor="text1"/>
          <w:spacing w:val="8"/>
          <w:sz w:val="28"/>
          <w:szCs w:val="28"/>
          <w:shd w:val="clear" w:color="auto" w:fill="FFFFFF"/>
        </w:rPr>
        <w:t>TNBCtype</w:t>
      </w:r>
      <w:proofErr w:type="spellEnd"/>
      <w:r w:rsidRPr="00B302B4">
        <w:rPr>
          <w:rFonts w:ascii="黑体" w:eastAsia="黑体" w:hAnsi="黑体" w:hint="eastAsia"/>
          <w:color w:val="000000" w:themeColor="text1"/>
          <w:spacing w:val="8"/>
          <w:sz w:val="28"/>
          <w:szCs w:val="28"/>
          <w:shd w:val="clear" w:color="auto" w:fill="FFFFFF"/>
        </w:rPr>
        <w:t>之前，除去在任何单个TNBC细胞中不表达的基因。然后上传输</w:t>
      </w:r>
      <w:proofErr w:type="gramStart"/>
      <w:r w:rsidRPr="00B302B4">
        <w:rPr>
          <w:rFonts w:ascii="黑体" w:eastAsia="黑体" w:hAnsi="黑体" w:hint="eastAsia"/>
          <w:color w:val="000000" w:themeColor="text1"/>
          <w:spacing w:val="8"/>
          <w:sz w:val="28"/>
          <w:szCs w:val="28"/>
          <w:shd w:val="clear" w:color="auto" w:fill="FFFFFF"/>
        </w:rPr>
        <w:t>入文件</w:t>
      </w:r>
      <w:proofErr w:type="gramEnd"/>
      <w:r w:rsidRPr="00B302B4">
        <w:rPr>
          <w:rFonts w:ascii="黑体" w:eastAsia="黑体" w:hAnsi="黑体" w:hint="eastAsia"/>
          <w:color w:val="000000" w:themeColor="text1"/>
          <w:spacing w:val="8"/>
          <w:sz w:val="28"/>
          <w:szCs w:val="28"/>
          <w:shd w:val="clear" w:color="auto" w:fill="FFFFFF"/>
        </w:rPr>
        <w:t>而不居中以避免由于大多数TNBC单细胞中的ESR1表达为零而导致错误的ER +肿瘤细胞调用。</w:t>
      </w:r>
    </w:p>
    <w:p w14:paraId="027C7675" w14:textId="77777777" w:rsidR="00B302B4" w:rsidRPr="00B302B4" w:rsidRDefault="00B302B4" w:rsidP="00B302B4">
      <w:pPr>
        <w:rPr>
          <w:rFonts w:ascii="黑体" w:eastAsia="黑体" w:hAnsi="黑体"/>
          <w:color w:val="000000" w:themeColor="text1"/>
          <w:spacing w:val="8"/>
          <w:sz w:val="28"/>
          <w:szCs w:val="28"/>
          <w:shd w:val="clear" w:color="auto" w:fill="FFFFFF"/>
        </w:rPr>
      </w:pPr>
    </w:p>
    <w:p w14:paraId="7BD91A80" w14:textId="77777777" w:rsidR="00B302B4" w:rsidRPr="00B302B4" w:rsidRDefault="00B302B4" w:rsidP="00B302B4">
      <w:pPr>
        <w:rPr>
          <w:rFonts w:ascii="黑体" w:eastAsia="黑体" w:hAnsi="黑体"/>
          <w:color w:val="000000" w:themeColor="text1"/>
          <w:spacing w:val="8"/>
          <w:sz w:val="28"/>
          <w:szCs w:val="28"/>
          <w:shd w:val="clear" w:color="auto" w:fill="FFFFFF"/>
        </w:rPr>
      </w:pPr>
      <w:r w:rsidRPr="00B302B4">
        <w:rPr>
          <w:rFonts w:ascii="黑体" w:eastAsia="黑体" w:hAnsi="黑体" w:hint="eastAsia"/>
          <w:color w:val="000000" w:themeColor="text1"/>
          <w:spacing w:val="8"/>
          <w:sz w:val="28"/>
          <w:szCs w:val="28"/>
          <w:shd w:val="clear" w:color="auto" w:fill="FFFFFF"/>
        </w:rPr>
        <w:t>免疫细胞类型特异性基因表达谱</w:t>
      </w:r>
    </w:p>
    <w:p w14:paraId="52DAA2F4" w14:textId="77777777" w:rsidR="00B302B4" w:rsidRPr="00B302B4" w:rsidRDefault="00B302B4" w:rsidP="00B302B4">
      <w:pPr>
        <w:rPr>
          <w:rFonts w:ascii="黑体" w:eastAsia="黑体" w:hAnsi="黑体"/>
          <w:color w:val="000000" w:themeColor="text1"/>
          <w:spacing w:val="8"/>
          <w:sz w:val="28"/>
          <w:szCs w:val="28"/>
          <w:shd w:val="clear" w:color="auto" w:fill="FFFFFF"/>
        </w:rPr>
      </w:pPr>
      <w:r w:rsidRPr="00B302B4">
        <w:rPr>
          <w:rFonts w:ascii="黑体" w:eastAsia="黑体" w:hAnsi="黑体" w:hint="eastAsia"/>
          <w:color w:val="000000" w:themeColor="text1"/>
          <w:spacing w:val="8"/>
          <w:sz w:val="28"/>
          <w:szCs w:val="28"/>
          <w:shd w:val="clear" w:color="auto" w:fill="FFFFFF"/>
        </w:rPr>
        <w:t>使用在11种非重叠免疫细胞类型中注释的412个基因，通过来自175个非肿瘤细胞的非阴性因子分解60鉴定了三个免疫细胞亚组37（补充表3）。为了表征三种免疫细胞簇，使用Seurat进行接收器操作特性测试和基于零膨胀数据的LRT。然后，获得倍数&gt; 2</w:t>
      </w:r>
      <w:r w:rsidRPr="00B302B4">
        <w:rPr>
          <w:rFonts w:ascii="黑体" w:eastAsia="黑体" w:hAnsi="黑体" w:hint="eastAsia"/>
          <w:color w:val="000000" w:themeColor="text1"/>
          <w:spacing w:val="8"/>
          <w:sz w:val="28"/>
          <w:szCs w:val="28"/>
          <w:shd w:val="clear" w:color="auto" w:fill="FFFFFF"/>
        </w:rPr>
        <w:lastRenderedPageBreak/>
        <w:t>且曲线下面积&gt; 0.7的基因作为细胞类型特异性基因（LRT P &lt;0.05; 补充表4a-c）。基因本体术语显着富集细胞类型特异性基因由DAVID 6.7注释（https://david.ncifcrf.gov/）使用默认选项。为了通过功能状态进一步表征T或B细胞，用文献中选择的基因组进行GSVA分析（补充表5a-c）。</w:t>
      </w:r>
    </w:p>
    <w:p w14:paraId="28AA3E30" w14:textId="77777777" w:rsidR="00B302B4" w:rsidRPr="00B302B4" w:rsidRDefault="00B302B4" w:rsidP="00B302B4">
      <w:pPr>
        <w:rPr>
          <w:rFonts w:ascii="黑体" w:eastAsia="黑体" w:hAnsi="黑体"/>
          <w:color w:val="000000" w:themeColor="text1"/>
          <w:spacing w:val="8"/>
          <w:sz w:val="28"/>
          <w:szCs w:val="28"/>
          <w:shd w:val="clear" w:color="auto" w:fill="FFFFFF"/>
        </w:rPr>
      </w:pPr>
    </w:p>
    <w:p w14:paraId="26207F39" w14:textId="77777777" w:rsidR="00B302B4" w:rsidRPr="00B302B4" w:rsidRDefault="00B302B4" w:rsidP="00B302B4">
      <w:pPr>
        <w:rPr>
          <w:rFonts w:ascii="黑体" w:eastAsia="黑体" w:hAnsi="黑体"/>
          <w:color w:val="000000" w:themeColor="text1"/>
          <w:spacing w:val="8"/>
          <w:sz w:val="28"/>
          <w:szCs w:val="28"/>
          <w:shd w:val="clear" w:color="auto" w:fill="FFFFFF"/>
        </w:rPr>
      </w:pPr>
      <w:r w:rsidRPr="00B302B4">
        <w:rPr>
          <w:rFonts w:ascii="黑体" w:eastAsia="黑体" w:hAnsi="黑体" w:hint="eastAsia"/>
          <w:color w:val="000000" w:themeColor="text1"/>
          <w:spacing w:val="8"/>
          <w:sz w:val="28"/>
          <w:szCs w:val="28"/>
          <w:shd w:val="clear" w:color="auto" w:fill="FFFFFF"/>
        </w:rPr>
        <w:t>免疫荧光染色</w:t>
      </w:r>
    </w:p>
    <w:p w14:paraId="47BD61A2" w14:textId="77777777" w:rsidR="00B302B4" w:rsidRPr="00B302B4" w:rsidRDefault="00B302B4" w:rsidP="00B302B4">
      <w:pPr>
        <w:rPr>
          <w:rFonts w:ascii="黑体" w:eastAsia="黑体" w:hAnsi="黑体"/>
          <w:color w:val="000000" w:themeColor="text1"/>
          <w:spacing w:val="8"/>
          <w:sz w:val="28"/>
          <w:szCs w:val="28"/>
          <w:shd w:val="clear" w:color="auto" w:fill="FFFFFF"/>
        </w:rPr>
      </w:pPr>
      <w:r w:rsidRPr="00B302B4">
        <w:rPr>
          <w:rFonts w:ascii="黑体" w:eastAsia="黑体" w:hAnsi="黑体" w:hint="eastAsia"/>
          <w:color w:val="000000" w:themeColor="text1"/>
          <w:spacing w:val="8"/>
          <w:sz w:val="28"/>
          <w:szCs w:val="28"/>
          <w:shd w:val="clear" w:color="auto" w:fill="FFFFFF"/>
        </w:rPr>
        <w:t>进行免疫荧光染色以评估肿瘤组织中肿瘤浸润性T或B细胞的存在。用福尔马林固定的抗CD3（1：200; MA5-12577，Thermo Fisher，Waltham，MA，USA）和抗MARK3（1：100; PA5-29328，Thermo Fisher）抗体对T淋巴细胞进行双染色。石蜡包埋（FFPE）载玻片。用抗CD20（1：200; MA5-13141，Thermo Fisher）和抗PRPSAP2（1:50; PA5-31237，Thermo Fisher）抗体对B淋巴细胞进行双染色。Alexa488标记的抗小鼠和Alexa568标记的抗兔抗体（1:50; Invitrogen）用于具有4,6-二</w:t>
      </w:r>
      <w:proofErr w:type="gramStart"/>
      <w:r w:rsidRPr="00B302B4">
        <w:rPr>
          <w:rFonts w:ascii="黑体" w:eastAsia="黑体" w:hAnsi="黑体" w:hint="eastAsia"/>
          <w:color w:val="000000" w:themeColor="text1"/>
          <w:spacing w:val="8"/>
          <w:sz w:val="28"/>
          <w:szCs w:val="28"/>
          <w:shd w:val="clear" w:color="auto" w:fill="FFFFFF"/>
        </w:rPr>
        <w:t>脒</w:t>
      </w:r>
      <w:proofErr w:type="gramEnd"/>
      <w:r w:rsidRPr="00B302B4">
        <w:rPr>
          <w:rFonts w:ascii="黑体" w:eastAsia="黑体" w:hAnsi="黑体" w:hint="eastAsia"/>
          <w:color w:val="000000" w:themeColor="text1"/>
          <w:spacing w:val="8"/>
          <w:sz w:val="28"/>
          <w:szCs w:val="28"/>
          <w:shd w:val="clear" w:color="auto" w:fill="FFFFFF"/>
        </w:rPr>
        <w:t>基-2-苯基衍生物的双重免疫荧光。将CD3 +或CD20 +细胞的数量评估为三个0.125mm 2区域中的平均计数，具有最大阳性染色。</w:t>
      </w:r>
    </w:p>
    <w:p w14:paraId="475758F8" w14:textId="77777777" w:rsidR="00B302B4" w:rsidRPr="00B302B4" w:rsidRDefault="00B302B4" w:rsidP="00B302B4">
      <w:pPr>
        <w:rPr>
          <w:rFonts w:ascii="黑体" w:eastAsia="黑体" w:hAnsi="黑体"/>
          <w:color w:val="000000" w:themeColor="text1"/>
          <w:spacing w:val="8"/>
          <w:sz w:val="28"/>
          <w:szCs w:val="28"/>
          <w:shd w:val="clear" w:color="auto" w:fill="FFFFFF"/>
        </w:rPr>
      </w:pPr>
    </w:p>
    <w:p w14:paraId="7CFD091E" w14:textId="77777777" w:rsidR="00B302B4" w:rsidRPr="00B302B4" w:rsidRDefault="00B302B4" w:rsidP="00B302B4">
      <w:pPr>
        <w:rPr>
          <w:rFonts w:ascii="黑体" w:eastAsia="黑体" w:hAnsi="黑体"/>
          <w:color w:val="000000" w:themeColor="text1"/>
          <w:spacing w:val="8"/>
          <w:sz w:val="28"/>
          <w:szCs w:val="28"/>
          <w:shd w:val="clear" w:color="auto" w:fill="FFFFFF"/>
        </w:rPr>
      </w:pPr>
      <w:r w:rsidRPr="00B302B4">
        <w:rPr>
          <w:rFonts w:ascii="黑体" w:eastAsia="黑体" w:hAnsi="黑体" w:hint="eastAsia"/>
          <w:color w:val="000000" w:themeColor="text1"/>
          <w:spacing w:val="8"/>
          <w:sz w:val="28"/>
          <w:szCs w:val="28"/>
          <w:shd w:val="clear" w:color="auto" w:fill="FFFFFF"/>
        </w:rPr>
        <w:t>通过qPCR验证RNA-seq数据</w:t>
      </w:r>
    </w:p>
    <w:p w14:paraId="421B0A45" w14:textId="1253BABD" w:rsidR="007057FF" w:rsidRDefault="00B302B4" w:rsidP="00B302B4">
      <w:pPr>
        <w:rPr>
          <w:rFonts w:ascii="黑体" w:eastAsia="黑体" w:hAnsi="黑体"/>
          <w:color w:val="000000" w:themeColor="text1"/>
          <w:spacing w:val="8"/>
          <w:sz w:val="28"/>
          <w:szCs w:val="28"/>
          <w:shd w:val="clear" w:color="auto" w:fill="FFFFFF"/>
        </w:rPr>
      </w:pPr>
      <w:r w:rsidRPr="00B302B4">
        <w:rPr>
          <w:rFonts w:ascii="黑体" w:eastAsia="黑体" w:hAnsi="黑体" w:hint="eastAsia"/>
          <w:color w:val="000000" w:themeColor="text1"/>
          <w:spacing w:val="8"/>
          <w:sz w:val="28"/>
          <w:szCs w:val="28"/>
          <w:shd w:val="clear" w:color="auto" w:fill="FFFFFF"/>
        </w:rPr>
        <w:t>使用来自6个大量和185个单细胞样品的cDNA，用DELTA基因测定法（PN100-3035，</w:t>
      </w:r>
      <w:proofErr w:type="spellStart"/>
      <w:r w:rsidRPr="00B302B4">
        <w:rPr>
          <w:rFonts w:ascii="黑体" w:eastAsia="黑体" w:hAnsi="黑体" w:hint="eastAsia"/>
          <w:color w:val="000000" w:themeColor="text1"/>
          <w:spacing w:val="8"/>
          <w:sz w:val="28"/>
          <w:szCs w:val="28"/>
          <w:shd w:val="clear" w:color="auto" w:fill="FFFFFF"/>
        </w:rPr>
        <w:t>Fluidigm</w:t>
      </w:r>
      <w:proofErr w:type="spellEnd"/>
      <w:r w:rsidRPr="00B302B4">
        <w:rPr>
          <w:rFonts w:ascii="黑体" w:eastAsia="黑体" w:hAnsi="黑体" w:hint="eastAsia"/>
          <w:color w:val="000000" w:themeColor="text1"/>
          <w:spacing w:val="8"/>
          <w:sz w:val="28"/>
          <w:szCs w:val="28"/>
          <w:shd w:val="clear" w:color="auto" w:fill="FFFFFF"/>
        </w:rPr>
        <w:t>）进行qPCR。使用D3软件（</w:t>
      </w:r>
      <w:proofErr w:type="spellStart"/>
      <w:r w:rsidRPr="00B302B4">
        <w:rPr>
          <w:rFonts w:ascii="黑体" w:eastAsia="黑体" w:hAnsi="黑体" w:hint="eastAsia"/>
          <w:color w:val="000000" w:themeColor="text1"/>
          <w:spacing w:val="8"/>
          <w:sz w:val="28"/>
          <w:szCs w:val="28"/>
          <w:shd w:val="clear" w:color="auto" w:fill="FFFFFF"/>
        </w:rPr>
        <w:t>Fluidigm</w:t>
      </w:r>
      <w:proofErr w:type="spellEnd"/>
      <w:r w:rsidRPr="00B302B4">
        <w:rPr>
          <w:rFonts w:ascii="黑体" w:eastAsia="黑体" w:hAnsi="黑体" w:hint="eastAsia"/>
          <w:color w:val="000000" w:themeColor="text1"/>
          <w:spacing w:val="8"/>
          <w:sz w:val="28"/>
          <w:szCs w:val="28"/>
          <w:shd w:val="clear" w:color="auto" w:fill="FFFFFF"/>
        </w:rPr>
        <w:t>）设计引物序列，并列于补充表6中。在比较qPCR和RNA-seq数据</w:t>
      </w:r>
      <w:r w:rsidRPr="00B302B4">
        <w:rPr>
          <w:rFonts w:ascii="黑体" w:eastAsia="黑体" w:hAnsi="黑体" w:hint="eastAsia"/>
          <w:color w:val="000000" w:themeColor="text1"/>
          <w:spacing w:val="8"/>
          <w:sz w:val="28"/>
          <w:szCs w:val="28"/>
          <w:shd w:val="clear" w:color="auto" w:fill="FFFFFF"/>
        </w:rPr>
        <w:lastRenderedPageBreak/>
        <w:t>之前，将999（=未检测到）的Ct值替换为'NA'。Ct</w:t>
      </w:r>
      <w:proofErr w:type="gramStart"/>
      <w:r w:rsidRPr="00B302B4">
        <w:rPr>
          <w:rFonts w:ascii="黑体" w:eastAsia="黑体" w:hAnsi="黑体" w:hint="eastAsia"/>
          <w:color w:val="000000" w:themeColor="text1"/>
          <w:spacing w:val="8"/>
          <w:sz w:val="28"/>
          <w:szCs w:val="28"/>
          <w:shd w:val="clear" w:color="auto" w:fill="FFFFFF"/>
        </w:rPr>
        <w:t>值被负转换</w:t>
      </w:r>
      <w:proofErr w:type="gramEnd"/>
      <w:r w:rsidRPr="00B302B4">
        <w:rPr>
          <w:rFonts w:ascii="黑体" w:eastAsia="黑体" w:hAnsi="黑体" w:hint="eastAsia"/>
          <w:color w:val="000000" w:themeColor="text1"/>
          <w:spacing w:val="8"/>
          <w:sz w:val="28"/>
          <w:szCs w:val="28"/>
          <w:shd w:val="clear" w:color="auto" w:fill="FFFFFF"/>
        </w:rPr>
        <w:t>，-20被设定为阈值。这些数据代表qPCR 的log 2表达水平，与RNA-seq的log 2（TPM + 1）相当。通过Pearson的相关性，Spearman的</w:t>
      </w:r>
      <w:proofErr w:type="gramStart"/>
      <w:r w:rsidRPr="00B302B4">
        <w:rPr>
          <w:rFonts w:ascii="黑体" w:eastAsia="黑体" w:hAnsi="黑体" w:hint="eastAsia"/>
          <w:color w:val="000000" w:themeColor="text1"/>
          <w:spacing w:val="8"/>
          <w:sz w:val="28"/>
          <w:szCs w:val="28"/>
          <w:shd w:val="clear" w:color="auto" w:fill="FFFFFF"/>
        </w:rPr>
        <w:t>秩次相关</w:t>
      </w:r>
      <w:proofErr w:type="gramEnd"/>
      <w:r w:rsidRPr="00B302B4">
        <w:rPr>
          <w:rFonts w:ascii="黑体" w:eastAsia="黑体" w:hAnsi="黑体" w:hint="eastAsia"/>
          <w:color w:val="000000" w:themeColor="text1"/>
          <w:spacing w:val="8"/>
          <w:sz w:val="28"/>
          <w:szCs w:val="28"/>
          <w:shd w:val="clear" w:color="auto" w:fill="FFFFFF"/>
        </w:rPr>
        <w:t>和线性回归分析来评估相互关系。</w:t>
      </w:r>
    </w:p>
    <w:p w14:paraId="7D82CA00" w14:textId="77777777" w:rsidR="006060EE" w:rsidRDefault="006060EE" w:rsidP="00606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黑体" w:eastAsia="黑体" w:hAnsi="黑体" w:cs="宋体"/>
          <w:color w:val="000000" w:themeColor="text1"/>
          <w:kern w:val="0"/>
          <w:sz w:val="28"/>
          <w:szCs w:val="28"/>
        </w:rPr>
      </w:pPr>
    </w:p>
    <w:p w14:paraId="1D8C631B" w14:textId="77777777" w:rsidR="006060EE" w:rsidRDefault="006060EE" w:rsidP="00606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黑体" w:eastAsia="黑体" w:hAnsi="黑体"/>
          <w:color w:val="000000" w:themeColor="text1"/>
          <w:sz w:val="28"/>
          <w:szCs w:val="28"/>
        </w:rPr>
      </w:pPr>
      <w:r>
        <w:rPr>
          <w:rFonts w:ascii="黑体" w:eastAsia="黑体" w:hAnsi="黑体" w:hint="eastAsia"/>
          <w:color w:val="000000" w:themeColor="text1"/>
          <w:sz w:val="28"/>
          <w:szCs w:val="28"/>
        </w:rPr>
        <w:t>方案进度：2018.7-2018.8，进行二细胞期样品的采集，送测序；</w:t>
      </w:r>
    </w:p>
    <w:p w14:paraId="2DC2B516" w14:textId="77777777" w:rsidR="006060EE" w:rsidRDefault="006060EE" w:rsidP="006060EE">
      <w:pPr>
        <w:pStyle w:val="a3"/>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黑体" w:eastAsia="黑体" w:hAnsi="黑体"/>
          <w:color w:val="000000" w:themeColor="text1"/>
          <w:sz w:val="28"/>
          <w:szCs w:val="28"/>
        </w:rPr>
      </w:pPr>
      <w:r>
        <w:rPr>
          <w:rFonts w:ascii="黑体" w:eastAsia="黑体" w:hAnsi="黑体" w:hint="eastAsia"/>
          <w:color w:val="000000" w:themeColor="text1"/>
          <w:sz w:val="28"/>
          <w:szCs w:val="28"/>
        </w:rPr>
        <w:t>样品的质控、对齐、表达矩阵的获取以及质控；</w:t>
      </w:r>
    </w:p>
    <w:p w14:paraId="21A9E243" w14:textId="77777777" w:rsidR="006060EE" w:rsidRDefault="006060EE" w:rsidP="00606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黑体" w:eastAsia="黑体" w:hAnsi="黑体"/>
          <w:color w:val="000000" w:themeColor="text1"/>
          <w:sz w:val="28"/>
          <w:szCs w:val="28"/>
        </w:rPr>
      </w:pPr>
      <w:r>
        <w:rPr>
          <w:rFonts w:ascii="黑体" w:eastAsia="黑体" w:hAnsi="黑体" w:hint="eastAsia"/>
          <w:color w:val="000000" w:themeColor="text1"/>
          <w:sz w:val="28"/>
          <w:szCs w:val="28"/>
        </w:rPr>
        <w:t>2018.10-2018.12,去干扰、差异表达、组成分分析、通路富集；</w:t>
      </w:r>
    </w:p>
    <w:p w14:paraId="0D59F2F1" w14:textId="77777777" w:rsidR="006060EE" w:rsidRDefault="006060EE" w:rsidP="00606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黑体" w:eastAsia="黑体" w:hAnsi="黑体"/>
          <w:color w:val="000000" w:themeColor="text1"/>
          <w:sz w:val="28"/>
          <w:szCs w:val="28"/>
        </w:rPr>
      </w:pPr>
      <w:r>
        <w:rPr>
          <w:rFonts w:ascii="黑体" w:eastAsia="黑体" w:hAnsi="黑体" w:hint="eastAsia"/>
          <w:color w:val="000000" w:themeColor="text1"/>
          <w:sz w:val="28"/>
          <w:szCs w:val="28"/>
        </w:rPr>
        <w:t>2019.1-2019.3；表观遗传相关基因、细胞周期相关基因以及新的转录本基因差异比对；</w:t>
      </w:r>
    </w:p>
    <w:p w14:paraId="4EC9CFC8" w14:textId="77777777" w:rsidR="006060EE" w:rsidRDefault="006060EE" w:rsidP="006060EE">
      <w:pPr>
        <w:pStyle w:val="a3"/>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黑体" w:eastAsia="黑体" w:hAnsi="黑体"/>
          <w:color w:val="000000" w:themeColor="text1"/>
          <w:sz w:val="28"/>
          <w:szCs w:val="28"/>
        </w:rPr>
      </w:pPr>
      <w:r>
        <w:rPr>
          <w:rFonts w:ascii="黑体" w:eastAsia="黑体" w:hAnsi="黑体" w:hint="eastAsia"/>
          <w:color w:val="000000" w:themeColor="text1"/>
          <w:sz w:val="28"/>
          <w:szCs w:val="28"/>
        </w:rPr>
        <w:t>结题报告的撰写。</w:t>
      </w:r>
    </w:p>
    <w:p w14:paraId="2F350965" w14:textId="77777777" w:rsidR="006060EE" w:rsidRDefault="006060EE" w:rsidP="00606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黑体" w:eastAsia="黑体" w:hAnsi="黑体"/>
          <w:color w:val="000000" w:themeColor="text1"/>
          <w:sz w:val="28"/>
          <w:szCs w:val="28"/>
        </w:rPr>
      </w:pPr>
    </w:p>
    <w:p w14:paraId="6BA9C9AD" w14:textId="77777777" w:rsidR="006060EE" w:rsidRDefault="006060EE" w:rsidP="00606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黑体" w:eastAsia="黑体" w:hAnsi="黑体"/>
          <w:color w:val="000000" w:themeColor="text1"/>
          <w:sz w:val="28"/>
          <w:szCs w:val="28"/>
        </w:rPr>
      </w:pPr>
    </w:p>
    <w:p w14:paraId="1E617C83" w14:textId="77777777" w:rsidR="006060EE" w:rsidRDefault="006060EE" w:rsidP="006060EE">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References</w:t>
      </w:r>
    </w:p>
    <w:p w14:paraId="031CDB10" w14:textId="77777777" w:rsidR="005E58EA" w:rsidRDefault="005E58EA"/>
    <w:sectPr w:rsidR="005E58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A3A7D"/>
    <w:multiLevelType w:val="multilevel"/>
    <w:tmpl w:val="07E8C43E"/>
    <w:lvl w:ilvl="0">
      <w:start w:val="2019"/>
      <w:numFmt w:val="decimal"/>
      <w:lvlText w:val="%1"/>
      <w:lvlJc w:val="left"/>
      <w:pPr>
        <w:ind w:left="810" w:hanging="810"/>
      </w:pPr>
    </w:lvl>
    <w:lvl w:ilvl="1">
      <w:start w:val="4"/>
      <w:numFmt w:val="decimal"/>
      <w:lvlText w:val="%1.%2"/>
      <w:lvlJc w:val="left"/>
      <w:pPr>
        <w:ind w:left="810" w:hanging="810"/>
      </w:pPr>
    </w:lvl>
    <w:lvl w:ilvl="2">
      <w:start w:val="1"/>
      <w:numFmt w:val="decimal"/>
      <w:lvlText w:val="%1.%2.%3"/>
      <w:lvlJc w:val="left"/>
      <w:pPr>
        <w:ind w:left="810" w:hanging="81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3BB26EAC"/>
    <w:multiLevelType w:val="multilevel"/>
    <w:tmpl w:val="F9A8326E"/>
    <w:lvl w:ilvl="0">
      <w:start w:val="1"/>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6D385712"/>
    <w:multiLevelType w:val="hybridMultilevel"/>
    <w:tmpl w:val="F1DC26AE"/>
    <w:lvl w:ilvl="0" w:tplc="3E4E9AE0">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7F49719F"/>
    <w:multiLevelType w:val="multilevel"/>
    <w:tmpl w:val="7E04E2B2"/>
    <w:lvl w:ilvl="0">
      <w:start w:val="2018"/>
      <w:numFmt w:val="decimal"/>
      <w:lvlText w:val="%1."/>
      <w:lvlJc w:val="left"/>
      <w:pPr>
        <w:ind w:left="2183" w:hanging="2183"/>
      </w:pPr>
    </w:lvl>
    <w:lvl w:ilvl="1">
      <w:start w:val="10"/>
      <w:numFmt w:val="decimal"/>
      <w:lvlText w:val="%1.%2-"/>
      <w:lvlJc w:val="left"/>
      <w:pPr>
        <w:ind w:left="2183" w:hanging="2183"/>
      </w:pPr>
    </w:lvl>
    <w:lvl w:ilvl="2">
      <w:start w:val="2018"/>
      <w:numFmt w:val="decimal"/>
      <w:lvlText w:val="%1.%2-%3."/>
      <w:lvlJc w:val="left"/>
      <w:pPr>
        <w:ind w:left="2183" w:hanging="2183"/>
      </w:pPr>
    </w:lvl>
    <w:lvl w:ilvl="3">
      <w:start w:val="10"/>
      <w:numFmt w:val="decimal"/>
      <w:lvlText w:val="%1.%2-%3.%4，"/>
      <w:lvlJc w:val="left"/>
      <w:pPr>
        <w:ind w:left="2183" w:hanging="2183"/>
      </w:pPr>
    </w:lvl>
    <w:lvl w:ilvl="4">
      <w:start w:val="1"/>
      <w:numFmt w:val="decimal"/>
      <w:lvlText w:val="%1.%2-%3.%4，%5."/>
      <w:lvlJc w:val="left"/>
      <w:pPr>
        <w:ind w:left="2183" w:hanging="2183"/>
      </w:pPr>
    </w:lvl>
    <w:lvl w:ilvl="5">
      <w:start w:val="1"/>
      <w:numFmt w:val="decimal"/>
      <w:lvlText w:val="%1.%2-%3.%4，%5.%6."/>
      <w:lvlJc w:val="left"/>
      <w:pPr>
        <w:ind w:left="2183" w:hanging="2183"/>
      </w:pPr>
    </w:lvl>
    <w:lvl w:ilvl="6">
      <w:start w:val="1"/>
      <w:numFmt w:val="decimal"/>
      <w:lvlText w:val="%1.%2-%3.%4，%5.%6.%7."/>
      <w:lvlJc w:val="left"/>
      <w:pPr>
        <w:ind w:left="2183" w:hanging="2183"/>
      </w:pPr>
    </w:lvl>
    <w:lvl w:ilvl="7">
      <w:start w:val="1"/>
      <w:numFmt w:val="decimal"/>
      <w:lvlText w:val="%1.%2-%3.%4，%5.%6.%7.%8."/>
      <w:lvlJc w:val="left"/>
      <w:pPr>
        <w:ind w:left="2183" w:hanging="2183"/>
      </w:pPr>
    </w:lvl>
    <w:lvl w:ilvl="8">
      <w:start w:val="1"/>
      <w:numFmt w:val="decimal"/>
      <w:lvlText w:val="%1.%2-%3.%4，%5.%6.%7.%8.%9."/>
      <w:lvlJc w:val="left"/>
      <w:pPr>
        <w:ind w:left="2520" w:hanging="2520"/>
      </w:pPr>
    </w:lvl>
  </w:abstractNum>
  <w:num w:numId="1">
    <w:abstractNumId w:val="3"/>
    <w:lvlOverride w:ilvl="0">
      <w:startOverride w:val="2018"/>
    </w:lvlOverride>
    <w:lvlOverride w:ilvl="1">
      <w:startOverride w:val="10"/>
    </w:lvlOverride>
    <w:lvlOverride w:ilvl="2">
      <w:startOverride w:val="2018"/>
    </w:lvlOverride>
    <w:lvlOverride w:ilvl="3">
      <w:startOverride w:val="10"/>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2019"/>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C52D0"/>
    <w:rsid w:val="0001292D"/>
    <w:rsid w:val="00015A43"/>
    <w:rsid w:val="00020BB2"/>
    <w:rsid w:val="000513D1"/>
    <w:rsid w:val="0006574A"/>
    <w:rsid w:val="000728C1"/>
    <w:rsid w:val="000C52D0"/>
    <w:rsid w:val="000D268D"/>
    <w:rsid w:val="00130F60"/>
    <w:rsid w:val="00176936"/>
    <w:rsid w:val="001D0DF9"/>
    <w:rsid w:val="002021E6"/>
    <w:rsid w:val="002B1517"/>
    <w:rsid w:val="002C0451"/>
    <w:rsid w:val="002C2A8C"/>
    <w:rsid w:val="002D2B8A"/>
    <w:rsid w:val="002F7DA1"/>
    <w:rsid w:val="00304F66"/>
    <w:rsid w:val="00336098"/>
    <w:rsid w:val="0035037B"/>
    <w:rsid w:val="003A4898"/>
    <w:rsid w:val="003E7346"/>
    <w:rsid w:val="004F5218"/>
    <w:rsid w:val="005260A6"/>
    <w:rsid w:val="00570659"/>
    <w:rsid w:val="005E58EA"/>
    <w:rsid w:val="006060EE"/>
    <w:rsid w:val="00673BB5"/>
    <w:rsid w:val="006B474B"/>
    <w:rsid w:val="006F171D"/>
    <w:rsid w:val="007057FF"/>
    <w:rsid w:val="00714094"/>
    <w:rsid w:val="00724401"/>
    <w:rsid w:val="00734111"/>
    <w:rsid w:val="00787ABE"/>
    <w:rsid w:val="00816466"/>
    <w:rsid w:val="008710F0"/>
    <w:rsid w:val="0087180D"/>
    <w:rsid w:val="008841A1"/>
    <w:rsid w:val="00885B10"/>
    <w:rsid w:val="008A1FD5"/>
    <w:rsid w:val="008E4181"/>
    <w:rsid w:val="008E4FDA"/>
    <w:rsid w:val="0092729C"/>
    <w:rsid w:val="00A45CD4"/>
    <w:rsid w:val="00A8535E"/>
    <w:rsid w:val="00AD4DBD"/>
    <w:rsid w:val="00AE16A0"/>
    <w:rsid w:val="00B06ADB"/>
    <w:rsid w:val="00B302B4"/>
    <w:rsid w:val="00B64AC0"/>
    <w:rsid w:val="00B75D5C"/>
    <w:rsid w:val="00B92A67"/>
    <w:rsid w:val="00BA1543"/>
    <w:rsid w:val="00BB14ED"/>
    <w:rsid w:val="00C16424"/>
    <w:rsid w:val="00C235EE"/>
    <w:rsid w:val="00C34518"/>
    <w:rsid w:val="00CD3592"/>
    <w:rsid w:val="00CE023E"/>
    <w:rsid w:val="00CF3FFF"/>
    <w:rsid w:val="00D42601"/>
    <w:rsid w:val="00E16B9D"/>
    <w:rsid w:val="00E46630"/>
    <w:rsid w:val="00E57ADE"/>
    <w:rsid w:val="00EA14CC"/>
    <w:rsid w:val="00EB2B8F"/>
    <w:rsid w:val="00ED20B7"/>
    <w:rsid w:val="00ED366D"/>
    <w:rsid w:val="00EE05E5"/>
    <w:rsid w:val="00EE5C0E"/>
    <w:rsid w:val="00F03825"/>
    <w:rsid w:val="00FD38CB"/>
    <w:rsid w:val="00FE1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A8D43"/>
  <w15:chartTrackingRefBased/>
  <w15:docId w15:val="{FFA62E29-1A08-4CC0-B0BE-219C0EF77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060EE"/>
    <w:pPr>
      <w:widowControl w:val="0"/>
      <w:jc w:val="both"/>
    </w:pPr>
  </w:style>
  <w:style w:type="paragraph" w:styleId="1">
    <w:name w:val="heading 1"/>
    <w:basedOn w:val="a"/>
    <w:next w:val="a"/>
    <w:link w:val="10"/>
    <w:uiPriority w:val="9"/>
    <w:qFormat/>
    <w:rsid w:val="0087180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718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7180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7180D"/>
    <w:rPr>
      <w:b/>
      <w:bCs/>
      <w:kern w:val="44"/>
      <w:sz w:val="44"/>
      <w:szCs w:val="44"/>
    </w:rPr>
  </w:style>
  <w:style w:type="character" w:customStyle="1" w:styleId="20">
    <w:name w:val="标题 2 字符"/>
    <w:basedOn w:val="a0"/>
    <w:link w:val="2"/>
    <w:uiPriority w:val="9"/>
    <w:rsid w:val="0087180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7180D"/>
    <w:rPr>
      <w:b/>
      <w:bCs/>
      <w:sz w:val="32"/>
      <w:szCs w:val="32"/>
    </w:rPr>
  </w:style>
  <w:style w:type="paragraph" w:styleId="a3">
    <w:name w:val="List Paragraph"/>
    <w:basedOn w:val="a"/>
    <w:uiPriority w:val="34"/>
    <w:qFormat/>
    <w:rsid w:val="0087180D"/>
    <w:pPr>
      <w:ind w:firstLineChars="200" w:firstLine="420"/>
    </w:pPr>
  </w:style>
  <w:style w:type="character" w:styleId="a4">
    <w:name w:val="Hyperlink"/>
    <w:basedOn w:val="a0"/>
    <w:uiPriority w:val="99"/>
    <w:semiHidden/>
    <w:unhideWhenUsed/>
    <w:rsid w:val="006060EE"/>
    <w:rPr>
      <w:color w:val="0000FF"/>
      <w:u w:val="single"/>
    </w:rPr>
  </w:style>
  <w:style w:type="character" w:styleId="HTML">
    <w:name w:val="HTML Code"/>
    <w:basedOn w:val="a0"/>
    <w:uiPriority w:val="99"/>
    <w:semiHidden/>
    <w:unhideWhenUsed/>
    <w:rsid w:val="006060EE"/>
    <w:rPr>
      <w:rFonts w:ascii="宋体" w:eastAsia="宋体" w:hAnsi="宋体" w:cs="宋体" w:hint="eastAsia"/>
      <w:sz w:val="24"/>
      <w:szCs w:val="24"/>
    </w:rPr>
  </w:style>
  <w:style w:type="paragraph" w:styleId="HTML0">
    <w:name w:val="HTML Preformatted"/>
    <w:basedOn w:val="a"/>
    <w:link w:val="HTML1"/>
    <w:uiPriority w:val="99"/>
    <w:semiHidden/>
    <w:unhideWhenUsed/>
    <w:rsid w:val="006060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6060EE"/>
    <w:rPr>
      <w:rFonts w:ascii="宋体" w:eastAsia="宋体" w:hAnsi="宋体" w:cs="宋体"/>
      <w:kern w:val="0"/>
      <w:sz w:val="24"/>
      <w:szCs w:val="24"/>
    </w:rPr>
  </w:style>
  <w:style w:type="paragraph" w:styleId="a5">
    <w:name w:val="Normal (Web)"/>
    <w:basedOn w:val="a"/>
    <w:uiPriority w:val="99"/>
    <w:semiHidden/>
    <w:unhideWhenUsed/>
    <w:rsid w:val="006060EE"/>
    <w:pPr>
      <w:widowControl/>
      <w:spacing w:before="100" w:beforeAutospacing="1" w:after="100" w:afterAutospacing="1"/>
      <w:jc w:val="left"/>
    </w:pPr>
    <w:rPr>
      <w:rFonts w:ascii="宋体" w:eastAsia="宋体" w:hAnsi="宋体" w:cs="宋体"/>
      <w:kern w:val="0"/>
      <w:sz w:val="24"/>
      <w:szCs w:val="24"/>
    </w:rPr>
  </w:style>
  <w:style w:type="character" w:customStyle="1" w:styleId="st">
    <w:name w:val="st"/>
    <w:basedOn w:val="a0"/>
    <w:rsid w:val="006060EE"/>
  </w:style>
  <w:style w:type="character" w:customStyle="1" w:styleId="kw">
    <w:name w:val="kw"/>
    <w:basedOn w:val="a0"/>
    <w:rsid w:val="006060EE"/>
  </w:style>
  <w:style w:type="character" w:customStyle="1" w:styleId="dt">
    <w:name w:val="dt"/>
    <w:basedOn w:val="a0"/>
    <w:rsid w:val="006060EE"/>
  </w:style>
  <w:style w:type="character" w:customStyle="1" w:styleId="fl">
    <w:name w:val="fl"/>
    <w:basedOn w:val="a0"/>
    <w:rsid w:val="006060EE"/>
  </w:style>
  <w:style w:type="character" w:customStyle="1" w:styleId="dv">
    <w:name w:val="dv"/>
    <w:basedOn w:val="a0"/>
    <w:rsid w:val="006060EE"/>
  </w:style>
  <w:style w:type="character" w:customStyle="1" w:styleId="op">
    <w:name w:val="op"/>
    <w:basedOn w:val="a0"/>
    <w:rsid w:val="006060EE"/>
  </w:style>
  <w:style w:type="character" w:customStyle="1" w:styleId="ot">
    <w:name w:val="ot"/>
    <w:basedOn w:val="a0"/>
    <w:rsid w:val="006060EE"/>
  </w:style>
  <w:style w:type="character" w:styleId="a6">
    <w:name w:val="Emphasis"/>
    <w:basedOn w:val="a0"/>
    <w:uiPriority w:val="20"/>
    <w:qFormat/>
    <w:rsid w:val="006060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1923">
      <w:bodyDiv w:val="1"/>
      <w:marLeft w:val="0"/>
      <w:marRight w:val="0"/>
      <w:marTop w:val="0"/>
      <w:marBottom w:val="0"/>
      <w:divBdr>
        <w:top w:val="none" w:sz="0" w:space="0" w:color="auto"/>
        <w:left w:val="none" w:sz="0" w:space="0" w:color="auto"/>
        <w:bottom w:val="none" w:sz="0" w:space="0" w:color="auto"/>
        <w:right w:val="none" w:sz="0" w:space="0" w:color="auto"/>
      </w:divBdr>
    </w:div>
    <w:div w:id="583879839">
      <w:bodyDiv w:val="1"/>
      <w:marLeft w:val="0"/>
      <w:marRight w:val="0"/>
      <w:marTop w:val="0"/>
      <w:marBottom w:val="0"/>
      <w:divBdr>
        <w:top w:val="none" w:sz="0" w:space="0" w:color="auto"/>
        <w:left w:val="none" w:sz="0" w:space="0" w:color="auto"/>
        <w:bottom w:val="none" w:sz="0" w:space="0" w:color="auto"/>
        <w:right w:val="none" w:sz="0" w:space="0" w:color="auto"/>
      </w:divBdr>
    </w:div>
    <w:div w:id="679695179">
      <w:bodyDiv w:val="1"/>
      <w:marLeft w:val="0"/>
      <w:marRight w:val="0"/>
      <w:marTop w:val="0"/>
      <w:marBottom w:val="0"/>
      <w:divBdr>
        <w:top w:val="none" w:sz="0" w:space="0" w:color="auto"/>
        <w:left w:val="none" w:sz="0" w:space="0" w:color="auto"/>
        <w:bottom w:val="none" w:sz="0" w:space="0" w:color="auto"/>
        <w:right w:val="none" w:sz="0" w:space="0" w:color="auto"/>
      </w:divBdr>
    </w:div>
    <w:div w:id="1170566104">
      <w:bodyDiv w:val="1"/>
      <w:marLeft w:val="0"/>
      <w:marRight w:val="0"/>
      <w:marTop w:val="0"/>
      <w:marBottom w:val="0"/>
      <w:divBdr>
        <w:top w:val="none" w:sz="0" w:space="0" w:color="auto"/>
        <w:left w:val="none" w:sz="0" w:space="0" w:color="auto"/>
        <w:bottom w:val="none" w:sz="0" w:space="0" w:color="auto"/>
        <w:right w:val="none" w:sz="0" w:space="0" w:color="auto"/>
      </w:divBdr>
    </w:div>
    <w:div w:id="1288705338">
      <w:bodyDiv w:val="1"/>
      <w:marLeft w:val="0"/>
      <w:marRight w:val="0"/>
      <w:marTop w:val="0"/>
      <w:marBottom w:val="0"/>
      <w:divBdr>
        <w:top w:val="none" w:sz="0" w:space="0" w:color="auto"/>
        <w:left w:val="none" w:sz="0" w:space="0" w:color="auto"/>
        <w:bottom w:val="none" w:sz="0" w:space="0" w:color="auto"/>
        <w:right w:val="none" w:sz="0" w:space="0" w:color="auto"/>
      </w:divBdr>
    </w:div>
    <w:div w:id="1344866488">
      <w:bodyDiv w:val="1"/>
      <w:marLeft w:val="0"/>
      <w:marRight w:val="0"/>
      <w:marTop w:val="0"/>
      <w:marBottom w:val="0"/>
      <w:divBdr>
        <w:top w:val="none" w:sz="0" w:space="0" w:color="auto"/>
        <w:left w:val="none" w:sz="0" w:space="0" w:color="auto"/>
        <w:bottom w:val="none" w:sz="0" w:space="0" w:color="auto"/>
        <w:right w:val="none" w:sz="0" w:space="0" w:color="auto"/>
      </w:divBdr>
    </w:div>
    <w:div w:id="1789857615">
      <w:bodyDiv w:val="1"/>
      <w:marLeft w:val="0"/>
      <w:marRight w:val="0"/>
      <w:marTop w:val="0"/>
      <w:marBottom w:val="0"/>
      <w:divBdr>
        <w:top w:val="none" w:sz="0" w:space="0" w:color="auto"/>
        <w:left w:val="none" w:sz="0" w:space="0" w:color="auto"/>
        <w:bottom w:val="none" w:sz="0" w:space="0" w:color="auto"/>
        <w:right w:val="none" w:sz="0" w:space="0" w:color="auto"/>
      </w:divBdr>
    </w:div>
    <w:div w:id="191011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2218</TotalTime>
  <Pages>13</Pages>
  <Words>1113</Words>
  <Characters>6346</Characters>
  <Application>Microsoft Office Word</Application>
  <DocSecurity>0</DocSecurity>
  <Lines>52</Lines>
  <Paragraphs>14</Paragraphs>
  <ScaleCrop>false</ScaleCrop>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奇缘 风雪</dc:creator>
  <cp:keywords/>
  <dc:description/>
  <cp:lastModifiedBy>奇缘 风雪</cp:lastModifiedBy>
  <cp:revision>31</cp:revision>
  <dcterms:created xsi:type="dcterms:W3CDTF">2018-09-13T06:54:00Z</dcterms:created>
  <dcterms:modified xsi:type="dcterms:W3CDTF">2018-09-17T10:40:00Z</dcterms:modified>
</cp:coreProperties>
</file>