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Title"/>
        <w:widowControl/>
      </w:pPr>
      <w:r>
        <w:rPr>
          <w:color w:val="000000"/>
          <w:u w:val="none"/>
        </w:rPr>
        <w:t>Avatar Attentional Contingency Pilot in VR</w:t>
      </w:r>
    </w:p>
    <w:p>
      <w:pPr>
        <w:widowControl/>
      </w:pPr>
      <w:r>
        <w:t>I propose a within-participant pilot to examine perceived evaluation and attention during a Stroop task. Following Richard's feedback, the plan adds a no-avatar baseline and retains combined head and eye movement. The immediate aim is to check the manipulation, measures and procedure before a larger study; timing, measures and progression criteria still need agreement.</w:t>
      </w:r>
    </w:p>
    <w:p>
      <w:pPr>
        <w:pStyle w:val="Heading1"/>
        <w:widowControl/>
      </w:pPr>
      <w:r>
        <w:rPr>
          <w:color w:val="000000"/>
          <w:u w:val="none"/>
        </w:rPr>
        <w:t>1 Research question and scope</w:t>
      </w:r>
    </w:p>
    <w:p>
      <w:pPr>
        <w:widowControl/>
      </w:pPr>
      <w:commentRangeStart w:id="1"/>
      <w:commentRangeStart w:id="0"/>
      <w:r>
        <w:t>Do perceived evaluation and attention or distraction differ across participant-directed, alternating and task-directed observer behaviour, and how do these conditions compare with having no avatar present?</w:t>
      </w:r>
      <w:commentRangeEnd w:id="0"/>
      <w:r>
        <w:rPr>
          <w:rStyle w:val="CommentReference"/>
        </w:rPr>
        <w:commentReference w:id="0"/>
      </w:r>
      <w:commentRangeEnd w:id="1"/>
      <w:r>
        <w:rPr>
          <w:rStyle w:val="CommentReference"/>
        </w:rPr>
        <w:commentReference w:id="1"/>
      </w:r>
    </w:p>
    <w:p>
      <w:pPr>
        <w:widowControl/>
      </w:pPr>
      <w:commentRangeStart w:id="3"/>
      <w:commentRangeStart w:id="2"/>
      <w:r>
        <w:t>The pilot remains a feasibility and manipulation study, not a confirmatory test of social facilitation or inhibition. Comparisons among A, B and C concern observer orientation patterns. Comparisons with D also change observer presence, so they cannot isolate orientation alone. Stroop provides the shared task context; congruency is recorded, but is not treated as a separately validated task-difficulty manipulation [1, 2].</w:t>
      </w:r>
      <w:commentRangeEnd w:id="2"/>
      <w:r>
        <w:rPr>
          <w:rStyle w:val="CommentReference"/>
        </w:rPr>
        <w:commentReference w:id="2"/>
      </w:r>
      <w:commentRangeEnd w:id="3"/>
      <w:r>
        <w:rPr>
          <w:rStyle w:val="CommentReference"/>
        </w:rPr>
        <w:commentReference w:id="3"/>
      </w:r>
    </w:p>
    <w:p>
      <w:pPr>
        <w:pStyle w:val="Heading1"/>
        <w:widowControl/>
      </w:pPr>
      <w:commentRangeStart w:id="4"/>
      <w:r>
        <w:rPr>
          <w:color w:val="000000"/>
          <w:u w:val="none"/>
        </w:rPr>
        <w:t>2 Attentional contingency conditions</w:t>
      </w:r>
      <w:commentRangeEnd w:id="4"/>
      <w:r>
        <w:rPr>
          <w:rStyle w:val="CommentReference"/>
          <w:color w:val="000000"/>
          <w:u w:val="none"/>
        </w:rPr>
        <w:commentReference w:id="4"/>
      </w:r>
    </w:p>
    <w:tbl>
      <w:tblPr>
        <w:tblW w:type="auto" w:w="0"/>
        <w:jc w:val="center"/>
        <w:tblLayout w:type="fixed"/>
        <w:tblLook w:firstColumn="1" w:firstRow="1" w:lastColumn="0" w:lastRow="0" w:noHBand="0" w:noVBand="1" w:val="04A0"/>
      </w:tblPr>
      <w:tblGrid>
        <w:gridCol w:w="2304"/>
        <w:gridCol w:w="7776"/>
      </w:tblGrid>
      <w:tr>
        <w:trPr>
          <w:cantSplit/>
          <w:tblHeader/>
        </w:trPr>
        <w:tc>
          <w:tcPr>
            <w:tcW w:type="dxa" w:w="2304"/>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shd w:fill="E8EDF2"/>
          </w:tcPr>
          <w:p>
            <w:pPr>
              <w:keepNext/>
              <w:spacing w:after="0" w:line="245" w:lineRule="auto"/>
            </w:pPr>
            <w:r>
              <w:rPr>
                <w:b/>
                <w:color w:val="000000"/>
                <w:sz w:val="21"/>
              </w:rPr>
              <w:t>Condition</w:t>
            </w:r>
          </w:p>
        </w:tc>
        <w:tc>
          <w:tcPr>
            <w:tcW w:type="dxa" w:w="7776"/>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shd w:fill="E8EDF2"/>
          </w:tcPr>
          <w:p>
            <w:pPr>
              <w:keepNext/>
              <w:spacing w:after="0" w:line="245" w:lineRule="auto"/>
            </w:pPr>
            <w:r>
              <w:rPr>
                <w:b/>
                <w:color w:val="000000"/>
                <w:sz w:val="21"/>
              </w:rPr>
              <w:t>Observer behaviour</w:t>
            </w:r>
          </w:p>
        </w:tc>
      </w:tr>
      <w:tr>
        <w:trPr>
          <w:cantSplit/>
        </w:trPr>
        <w:tc>
          <w:tcPr>
            <w:tcW w:type="dxa" w:w="2304"/>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21"/>
              </w:rPr>
              <w:t>A Participant directed</w:t>
            </w:r>
          </w:p>
        </w:tc>
        <w:tc>
          <w:tcPr>
            <w:tcW w:type="dxa" w:w="7776"/>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21"/>
              </w:rPr>
              <w:t>Head and eyes remain directed towards the participant's eye position.</w:t>
            </w:r>
          </w:p>
        </w:tc>
      </w:tr>
      <w:tr>
        <w:trPr>
          <w:cantSplit/>
        </w:trPr>
        <w:tc>
          <w:tcPr>
            <w:tcW w:type="dxa" w:w="2304"/>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21"/>
              </w:rPr>
              <w:t>B Alternating</w:t>
            </w:r>
          </w:p>
        </w:tc>
        <w:tc>
          <w:tcPr>
            <w:tcW w:type="dxa" w:w="7776"/>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commentRangeStart w:id="6"/>
            <w:commentRangeStart w:id="5"/>
            <w:r>
              <w:rPr>
                <w:b w:val="0"/>
                <w:color w:val="000000"/>
                <w:sz w:val="21"/>
              </w:rPr>
              <w:t>Head and eyes start at the task panel, then alternate between the panel and the participant. Dwell and transition durations remain to be selected.</w:t>
            </w:r>
            <w:commentRangeEnd w:id="5"/>
            <w:r>
              <w:rPr>
                <w:rStyle w:val="CommentReference"/>
              </w:rPr>
              <w:commentReference w:id="5"/>
            </w:r>
            <w:commentRangeEnd w:id="6"/>
            <w:r>
              <w:rPr>
                <w:rStyle w:val="CommentReference"/>
              </w:rPr>
              <w:commentReference w:id="6"/>
            </w:r>
          </w:p>
        </w:tc>
      </w:tr>
      <w:tr>
        <w:trPr>
          <w:cantSplit/>
        </w:trPr>
        <w:tc>
          <w:tcPr>
            <w:tcW w:type="dxa" w:w="2304"/>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21"/>
              </w:rPr>
              <w:t>C Task directed</w:t>
            </w:r>
          </w:p>
        </w:tc>
        <w:tc>
          <w:tcPr>
            <w:tcW w:type="dxa" w:w="7776"/>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21"/>
              </w:rPr>
              <w:t>Head and eyes remain directed towards the task panel, without turning towards the participant.</w:t>
            </w:r>
          </w:p>
        </w:tc>
      </w:tr>
      <w:tr>
        <w:trPr>
          <w:cantSplit/>
        </w:trPr>
        <w:tc>
          <w:tcPr>
            <w:tcW w:type="dxa" w:w="2304"/>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21"/>
              </w:rPr>
              <w:t>D No avatar</w:t>
            </w:r>
          </w:p>
        </w:tc>
        <w:tc>
          <w:tcPr>
            <w:tcW w:type="dxa" w:w="7776"/>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21"/>
              </w:rPr>
              <w:t>No observer avatar is visible. Keep the task, input, viewpoint and other scene features the same.</w:t>
            </w:r>
          </w:p>
        </w:tc>
      </w:tr>
    </w:tbl>
    <w:p>
      <w:pPr>
        <w:widowControl/>
      </w:pPr>
      <w:r/>
    </w:p>
    <w:p>
      <w:pPr>
        <w:widowControl/>
      </w:pPr>
      <w:commentRangeStart w:id="20"/>
      <w:commentRangeStart w:id="8"/>
      <w:commentRangeStart w:id="7"/>
      <w:r>
        <w:t>I use attentional contingency as Richard's proposed label for the combined head and eye manipulation. In scripted mode, it does not mean that the avatar responds to the participant. The preset schedule is independent of trial events, return gaze, responses and accuracy; its clock continues across trials without resetting.</w:t>
      </w:r>
      <w:commentRangeEnd w:id="7"/>
      <w:r>
        <w:rPr>
          <w:rStyle w:val="CommentReference"/>
        </w:rPr>
        <w:commentReference w:id="7"/>
      </w:r>
      <w:commentRangeEnd w:id="8"/>
      <w:r>
        <w:rPr>
          <w:rStyle w:val="CommentReference"/>
        </w:rPr>
        <w:commentReference w:id="8"/>
      </w:r>
      <w:commentRangeEnd w:id="20"/>
      <w:r>
        <w:rPr>
          <w:rStyle w:val="CommentReference"/>
        </w:rPr>
        <w:commentReference w:id="20"/>
      </w:r>
    </w:p>
    <w:p>
      <w:pPr>
        <w:widowControl/>
      </w:pPr>
      <w:r>
        <w:t>The participant and observer are seated, with the observer beside the task panel in A to C. Keep avatar appearance, body posture and other behaviour constant. There is no speech, gesture or performance-related reaction. Check distance, height, visibility and rotation limits in the headset.</w:t>
      </w:r>
    </w:p>
    <w:p>
      <w:pPr>
        <w:widowControl/>
      </w:pPr>
      <w:r>
        <w:t>The previous body text specified 1 second per target, while my comment asked about 3 seconds. Richard did not choose either interval. Do not treat either as approved. Review relevant human-gaze methods and test candidate timings for visibility, naturalness and distraction before fixing the pilot schedule. Define dwell from arrival at the target and record transition time separately.</w:t>
      </w:r>
    </w:p>
    <w:p>
      <w:pPr>
        <w:widowControl/>
      </w:pPr>
      <w:commentRangeStart w:id="21"/>
      <w:r>
        <w:t>Phase 1 will support two selectable control modes using the same avatar, head-and-eye animation, Stroop task, questionnaire and logging. Scripted mode follows a preset schedule. In Wizard of Oz mode, a hidden operator presses buttons to select the participant or task target; the same program executes the movement. Live capture of the operator’s head or eye movements is outside scope. This is an agreed development requirement, not implemented functionality or an additional experimental factor. Before the pilot, select the mode and fix operator rules, including whether participant-responsive commands are allowed. Do not switch modes ad hoc within a block. Agree any disclosure or debriefing through the ethics process.</w:t>
      </w:r>
      <w:commentRangeEnd w:id="21"/>
      <w:r>
        <w:rPr>
          <w:rStyle w:val="CommentReference"/>
        </w:rPr>
        <w:commentReference w:id="21"/>
      </w:r>
    </w:p>
    <w:p>
      <w:pPr>
        <w:pStyle w:val="Heading1"/>
        <w:pageBreakBefore/>
        <w:widowControl/>
      </w:pPr>
      <w:r>
        <w:rPr>
          <w:color w:val="000000"/>
          <w:u w:val="none"/>
        </w:rPr>
        <w:t>3 Task and eligibility</w:t>
      </w:r>
    </w:p>
    <w:p>
      <w:pPr>
        <w:widowControl/>
      </w:pPr>
      <w:r>
        <w:t>Present RED, GREEN, BLUE or YELLOW in a coloured font. The participant selects the font colour with controller buttons while ignoring word meaning. Each response advances immediately to the next stimulus. Held or repeated input must not answer multiple trials. Confirm the button mapping and keep it consistent. Main blocks provide no trial-level accuracy or score feedback.</w:t>
      </w:r>
    </w:p>
    <w:p>
      <w:pPr>
        <w:widowControl/>
      </w:pPr>
      <w:commentRangeStart w:id="9"/>
      <w:r>
        <w:t>Add an objective colour-vision screening procedure before the colour-based task; do not rely on self-report alone. The colour-based version is intended for participants who pass an objective colour-vision screen. Agree the tool, administration conditions and eligibility cutoff with Richard before recruitment. Also confirm that participants can distinguish the actual displayed task colours. Record the screening outcome without treating this research screen as a clinical diagnosis.</w:t>
      </w:r>
      <w:commentRangeEnd w:id="9"/>
      <w:r>
        <w:rPr>
          <w:rStyle w:val="CommentReference"/>
        </w:rPr>
        <w:commentReference w:id="9"/>
      </w:r>
    </w:p>
    <w:p>
      <w:pPr>
        <w:pStyle w:val="Heading1"/>
        <w:widowControl/>
      </w:pPr>
      <w:r>
        <w:rPr>
          <w:color w:val="000000"/>
          <w:u w:val="none"/>
        </w:rPr>
        <w:t>4 Proposed session flow</w:t>
      </w:r>
    </w:p>
    <w:p>
      <w:pPr>
        <w:widowControl/>
      </w:pPr>
      <w:r>
        <w:rPr>
          <w:b/>
        </w:rPr>
        <w:t>Setup.</w:t>
      </w:r>
      <w:r>
        <w:t xml:space="preserve"> Obtain consent under the approved protocol, complete screening, explain the task, check comfort and controller mapping, and calibrate and verify eye tracking before using gaze data.</w:t>
      </w:r>
    </w:p>
    <w:p>
      <w:pPr>
        <w:widowControl/>
      </w:pPr>
      <w:commentRangeStart w:id="11"/>
      <w:commentRangeStart w:id="10"/>
      <w:r>
        <w:rPr>
          <w:b/>
        </w:rPr>
        <w:t>Practice.</w:t>
      </w:r>
      <w:r>
        <w:t xml:space="preserve"> Retain 8 trials, with 4 congruent and 4 incongruent, without an avatar. On an error, show the correct colour and wait for a continue input. Add a predefined performance threshold before progression to the main task. The exact cutoff, permitted repeats and stopping rule remain to be agreed. Check that participants understand the font-colour rule, and record all practice attempts separately.</w:t>
      </w:r>
      <w:commentRangeEnd w:id="10"/>
      <w:r>
        <w:rPr>
          <w:rStyle w:val="CommentReference"/>
        </w:rPr>
        <w:commentReference w:id="10"/>
      </w:r>
      <w:commentRangeEnd w:id="11"/>
      <w:r>
        <w:rPr>
          <w:rStyle w:val="CommentReference"/>
        </w:rPr>
        <w:commentReference w:id="11"/>
      </w:r>
    </w:p>
    <w:p>
      <w:pPr>
        <w:widowControl/>
      </w:pPr>
      <w:commentRangeStart w:id="23"/>
      <w:commentRangeStart w:id="13"/>
      <w:commentRangeStart w:id="12"/>
      <w:r>
        <w:rPr>
          <w:b/>
        </w:rPr>
        <w:t>Main blocks.</w:t>
      </w:r>
      <w:r>
        <w:t xml:space="preserve"> The same participant experiences A, B, C and D. Retaining the provisional 20 trials per condition gives 80 main trials, with 10 congruent and 10 incongruent trials per block. This is an updated planning value, not a final decision about burden or sufficient exposure. Check completion time, fatigue and comfort in apparatus testing before fixing it.</w:t>
      </w:r>
      <w:commentRangeEnd w:id="12"/>
      <w:r>
        <w:rPr>
          <w:rStyle w:val="CommentReference"/>
        </w:rPr>
        <w:commentReference w:id="12"/>
      </w:r>
      <w:commentRangeEnd w:id="13"/>
      <w:r>
        <w:rPr>
          <w:rStyle w:val="CommentReference"/>
        </w:rPr>
        <w:commentReference w:id="13"/>
      </w:r>
      <w:commentRangeEnd w:id="23"/>
      <w:r>
        <w:rPr>
          <w:rStyle w:val="CommentReference"/>
        </w:rPr>
        <w:commentReference w:id="23"/>
      </w:r>
    </w:p>
    <w:p>
      <w:pPr>
        <w:widowControl/>
      </w:pPr>
      <w:r>
        <w:rPr>
          <w:b/>
        </w:rPr>
        <w:t>After each block.</w:t>
      </w:r>
      <w:r>
        <w:t xml:space="preserve"> Collect the agreed perceived-evaluation and attention or distraction measures using the same timing in all conditions. Standardise breaks and restart behaviour, and record pauses and discomfort. End with brief feedback about visibility, naturalness, distraction and task understanding.</w:t>
      </w:r>
    </w:p>
    <w:p>
      <w:pPr>
        <w:widowControl/>
      </w:pPr>
      <w:r>
        <w:t>Keep block order configurable and agree a feasible counterbalancing schedule for four conditions once pilot size is chosen. The old six-order plan applied only to three conditions; four conditions have 24 possible orders, not all of which must be used in a small pilot. Balance condition positions and carryover as far as feasible. Balance colour frequencies and use shuffled, comparable trial sets rather than the same sequence in every block.</w:t>
      </w:r>
    </w:p>
    <w:p>
      <w:pPr>
        <w:widowControl/>
      </w:pPr>
      <w:r>
        <w:t>Response-driven blocks will differ in duration and in exposure to each orientation. Record actual block duration and time in each displayed state; do not assume that equal trial counts produce equal exposure.</w:t>
      </w:r>
    </w:p>
    <w:p>
      <w:pPr>
        <w:pStyle w:val="Heading1"/>
        <w:pageBreakBefore/>
        <w:widowControl/>
      </w:pPr>
      <w:r>
        <w:rPr>
          <w:color w:val="000000"/>
          <w:u w:val="none"/>
        </w:rPr>
        <w:t>5 Measures and records</w:t>
      </w:r>
    </w:p>
    <w:p>
      <w:pPr>
        <w:pStyle w:val="Heading2"/>
        <w:widowControl/>
      </w:pPr>
      <w:r>
        <w:rPr>
          <w:color w:val="000000"/>
          <w:u w:val="none"/>
        </w:rPr>
        <w:t>Perceived evaluation</w:t>
      </w:r>
    </w:p>
    <w:p>
      <w:pPr>
        <w:widowControl/>
      </w:pPr>
      <w:commentRangeStart w:id="15"/>
      <w:commentRangeStart w:id="14"/>
      <w:r>
        <w:t>Retain a five-point response format: 1 strongly disagree, 2 disagree, 3 neither agree nor disagree, 4 agree and 5 strongly agree. Richard considered five points sufficient but asked for a reference. The existing item is self-authored, not a validated scale; retaining the format does not establish validity.</w:t>
      </w:r>
      <w:commentRangeEnd w:id="14"/>
      <w:r>
        <w:rPr>
          <w:rStyle w:val="CommentReference"/>
        </w:rPr>
        <w:commentReference w:id="14"/>
      </w:r>
      <w:commentRangeEnd w:id="15"/>
      <w:r>
        <w:rPr>
          <w:rStyle w:val="CommentReference"/>
        </w:rPr>
        <w:commentReference w:id="15"/>
      </w:r>
    </w:p>
    <w:p>
      <w:pPr>
        <w:widowControl/>
      </w:pPr>
      <w:r>
        <w:t>The original item, “During the task, I felt that the avatar was evaluating my performance,” only applies to A to C. For comparison across all four conditions, discuss a common, condition-neutral item such as “During the task, I felt that my performance was being evaluated.” This alternative is also provisional and unvalidated. If the avatar-specific item is retained as an additional manipulation check, mark D as not applicable, never automatically zero. Do not combine differently worded items as if they were one unchanged measure.</w:t>
      </w:r>
    </w:p>
    <w:p>
      <w:pPr>
        <w:widowControl/>
      </w:pPr>
      <w:commentRangeStart w:id="22"/>
      <w:r>
        <w:t>Review published operationalisations before choosing the final item set, wording, language and administration timing. Keep feeling observed, social presence, evaluation apprehension and perceived performance evaluation conceptually distinct. Repeated post-block questions can reveal the study focus and influence later blocks; agree how to manage this before piloting.</w:t>
      </w:r>
      <w:commentRangeEnd w:id="22"/>
      <w:r>
        <w:rPr>
          <w:rStyle w:val="CommentReference"/>
        </w:rPr>
        <w:commentReference w:id="22"/>
      </w:r>
    </w:p>
    <w:p>
      <w:pPr>
        <w:widowControl/>
      </w:pPr>
      <w:r>
        <w:t>Koban et al. [4] provide a relevant Stroop precedent with human, robot and no-observer conditions. They measured feeling observed, evaluation apprehension and task attention separately after the task, mainly using seven-point ratings. These are useful operational examples, not validation of our proposed performance-evaluation item or its five-point response format. Any selected items or response-scale adaptations need review before use.</w:t>
      </w:r>
    </w:p>
    <w:p>
      <w:pPr>
        <w:pStyle w:val="Heading2"/>
        <w:widowControl/>
      </w:pPr>
      <w:r>
        <w:rPr>
          <w:color w:val="000000"/>
          <w:u w:val="none"/>
        </w:rPr>
        <w:t>Attention and distraction</w:t>
      </w:r>
    </w:p>
    <w:p>
      <w:pPr>
        <w:widowControl/>
      </w:pPr>
      <w:r>
        <w:t>Add attention or distraction as an explicit outcome, separate from perceived evaluation. Proposed gaze summaries are the proportion of valid viewing time directed at the task panel, the avatar face in A to C, and other locations, together with gaze-data coverage. Fixation-based measures require a predefined detection method. Face-looking or time away from the task is an attention-allocation measure, not by itself proof of distraction. Avatar areas are not applicable in D.</w:t>
      </w:r>
    </w:p>
    <w:p>
      <w:pPr>
        <w:widowControl/>
      </w:pPr>
      <w:r>
        <w:t>Also consider a brief condition-neutral self-report of difficulty maintaining task attention, using the same response format across conditions. The item and its source remain to be selected. Do not claim that a proposed single item is a validated attention scale. Accuracy and correct-response latency are exploratory task outcomes, not substitutes for either subjective construct.</w:t>
      </w:r>
    </w:p>
    <w:p>
      <w:pPr>
        <w:pStyle w:val="Heading2"/>
        <w:widowControl/>
      </w:pPr>
      <w:r>
        <w:rPr>
          <w:color w:val="000000"/>
          <w:u w:val="none"/>
        </w:rPr>
        <w:t>Eye region feasibility</w:t>
      </w:r>
    </w:p>
    <w:p>
      <w:pPr>
        <w:widowControl/>
      </w:pPr>
      <w:commentRangeStart w:id="17"/>
      <w:commentRangeStart w:id="16"/>
      <w:r>
        <w:t>Separate eye-region from other-face gaze only if the actual headset can resolve these regions at the planned viewing distance. Compare the eye region's angular size and separation from neighbouring areas with measured calibration error and precision, then verify classification in the scene. If discrimination is unreliable, report face-level gaze instead; do not relabel it eye contact. Mutual gaze additionally needs a spatial and temporal definition and evidence that the avatar was directed at the participant at the same time.</w:t>
      </w:r>
      <w:commentRangeEnd w:id="16"/>
      <w:r>
        <w:rPr>
          <w:rStyle w:val="CommentReference"/>
        </w:rPr>
        <w:commentReference w:id="16"/>
      </w:r>
      <w:commentRangeEnd w:id="17"/>
      <w:r>
        <w:rPr>
          <w:rStyle w:val="CommentReference"/>
        </w:rPr>
        <w:commentReference w:id="17"/>
      </w:r>
    </w:p>
    <w:p>
      <w:pPr>
        <w:pStyle w:val="Heading2"/>
        <w:widowControl/>
      </w:pPr>
      <w:r>
        <w:rPr>
          <w:color w:val="000000"/>
          <w:u w:val="none"/>
        </w:rPr>
        <w:t>Recorded data</w:t>
      </w:r>
    </w:p>
    <w:p>
      <w:pPr>
        <w:widowControl/>
      </w:pPr>
      <w:r>
        <w:t>Record session ID, condition and order, word, font colour, congruency, response, correctness, stimulus onset, response time and block duration. Keep practice separate. Record timestamped gaze, validity and area assignment; invalid or missing samples are not “not looking.” On a common time base, log control mode, command source, target and command time, actual displayed target and state-onset time, head and eye orientations, transitions, configuration version and trial events. Record actual states as well as intended commands.</w:t>
      </w:r>
    </w:p>
    <w:p>
      <w:pPr>
        <w:pStyle w:val="Heading1"/>
        <w:pageBreakBefore/>
        <w:widowControl/>
      </w:pPr>
      <w:r>
        <w:rPr>
          <w:color w:val="000000"/>
          <w:u w:val="none"/>
        </w:rPr>
        <w:t>6 Technical preparation</w:t>
      </w:r>
    </w:p>
    <w:p>
      <w:pPr>
        <w:widowControl/>
      </w:pPr>
      <w:commentRangeStart w:id="24"/>
      <w:r>
        <w:t>A Windows PC is available: ASUS GA403U with an RTX 4060 Laptop GPU and 32 GB RAM. Windows and Unity remain the proposed implementation route. HTC VIVE Pro Eye is the working headset assumption, but the actual headset model, access and compatibility still need confirmation; the PC specifications alone do not establish compatibility.</w:t>
      </w:r>
      <w:commentRangeEnd w:id="24"/>
      <w:r>
        <w:rPr>
          <w:rStyle w:val="CommentReference"/>
        </w:rPr>
        <w:commentReference w:id="24"/>
      </w:r>
    </w:p>
    <w:p>
      <w:pPr>
        <w:widowControl/>
      </w:pPr>
      <w:commentRangeStart w:id="18"/>
      <w:r>
        <w:t>I plan to ask Yixin about the existing program mentioned in my comment. Access, suitability and permission to reuse it have not yet been established. Li et al. [3] is a relevant implementation and attention-measurement reference, not validation of the proposed perceived-evaluation item.</w:t>
      </w:r>
      <w:commentRangeEnd w:id="18"/>
      <w:r>
        <w:rPr>
          <w:rStyle w:val="CommentReference"/>
        </w:rPr>
        <w:commentReference w:id="18"/>
      </w:r>
    </w:p>
    <w:p>
      <w:pPr>
        <w:widowControl/>
      </w:pPr>
      <w:r>
        <w:t>Label simulated inputs and keep them separate from real eye-tracking data.</w:t>
      </w:r>
    </w:p>
    <w:p>
      <w:pPr>
        <w:pStyle w:val="Heading1"/>
        <w:widowControl/>
      </w:pPr>
      <w:r>
        <w:rPr>
          <w:color w:val="000000"/>
          <w:u w:val="none"/>
        </w:rPr>
        <w:t>7 Pilot evaluation and interpretation</w:t>
      </w:r>
    </w:p>
    <w:p>
      <w:pPr>
        <w:widowControl/>
      </w:pPr>
      <w:r>
        <w:t>Use apparatus testing to check distinguishable behaviours, comparable scenes, comfortable movement, input and logging accuracy, calibration, fatigue and the selected block and gaze timings before the participant pilot.</w:t>
      </w:r>
    </w:p>
    <w:p>
      <w:pPr>
        <w:widowControl/>
      </w:pPr>
      <w:r>
        <w:t>In the approved pilot, inspect individual condition ratings, attention summaries, gaze-data coverage, exposure, task completion and qualitative feedback. Plot within-person differences with uncertainty rather than treating a small pilot as confirmatory. Specify the pilot sample rationale, exclusions, missing-data handling and task aggregation rules before data collection. No sample size or directional ranking is fixed here.</w:t>
      </w:r>
    </w:p>
    <w:p>
      <w:pPr>
        <w:widowControl/>
      </w:pPr>
      <w:commentRangeStart w:id="19"/>
      <w:r>
        <w:t>If perceived evaluation does not differ, inspect the manipulation, exposure, visibility and measurement before concluding that virtual observers have no effect. Attention changes and perceived evaluation need not show the same pattern. The pilot should guide the next design decision, not establish a mechanism or a definitive null effect.</w:t>
      </w:r>
      <w:commentRangeEnd w:id="19"/>
      <w:r>
        <w:rPr>
          <w:rStyle w:val="CommentReference"/>
        </w:rPr>
        <w:commentReference w:id="19"/>
      </w:r>
    </w:p>
    <w:p>
      <w:pPr>
        <w:pStyle w:val="Heading1"/>
        <w:widowControl/>
      </w:pPr>
      <w:r>
        <w:rPr>
          <w:color w:val="000000"/>
          <w:u w:val="none"/>
        </w:rPr>
        <w:t>8 Ethics and study readiness</w:t>
      </w:r>
    </w:p>
    <w:p>
      <w:pPr>
        <w:widowControl/>
      </w:pPr>
      <w:commentRangeStart w:id="25"/>
      <w:r>
        <w:t>Obtain ethics approval before the participant pilot through the applicable PolyU process. Richard identified the HSEARS portal and indicated that lab members may help with informal apparatus checks before approval. Confirm this boundary with him; it is not a general exemption for participant research.</w:t>
      </w:r>
      <w:commentRangeEnd w:id="25"/>
      <w:r>
        <w:rPr>
          <w:rStyle w:val="CommentReference"/>
        </w:rPr>
        <w:commentReference w:id="25"/>
      </w:r>
    </w:p>
    <w:p>
      <w:pPr>
        <w:widowControl/>
      </w:pPr>
      <w:r>
        <w:t>Before recruitment, agree participant criteria, screening, consent, withdrawal, pause and stopping procedures, calibration-failure handling and any Wizard of Oz information or debriefing. Use coded session IDs rather than assuming gaze data are anonymous. Agree storage location, access, retention, deletion and separation of raw gaze data from summaries.</w:t>
      </w:r>
    </w:p>
    <w:p>
      <w:pPr>
        <w:pStyle w:val="Heading1"/>
        <w:widowControl/>
      </w:pPr>
      <w:r>
        <w:rPr>
          <w:color w:val="000000"/>
          <w:u w:val="none"/>
        </w:rPr>
        <w:t>9 Decisions to settle before the pilot</w:t>
      </w:r>
    </w:p>
    <w:p>
      <w:pPr>
        <w:pStyle w:val="ListBullet"/>
        <w:widowControl/>
      </w:pPr>
      <w:r>
        <w:t>Pilot control mode and, if used, Wizard of Oz operator rules; no ad hoc switching within a block.</w:t>
      </w:r>
    </w:p>
    <w:p>
      <w:pPr>
        <w:pStyle w:val="ListBullet"/>
        <w:widowControl/>
      </w:pPr>
      <w:r>
        <w:t>Alternating dwell and transition durations; final trials per block and break procedure after fatigue checks.</w:t>
      </w:r>
    </w:p>
    <w:p>
      <w:pPr>
        <w:pStyle w:val="ListBullet"/>
        <w:widowControl/>
      </w:pPr>
      <w:r>
        <w:t>Colour-vision screen, practice pass threshold, permitted repeats and stopping rule.</w:t>
      </w:r>
    </w:p>
    <w:p>
      <w:pPr>
        <w:pStyle w:val="ListBullet"/>
        <w:widowControl/>
      </w:pPr>
      <w:r>
        <w:t>Referenced evaluation and attention measures, common baseline wording, language and rating timing.</w:t>
      </w:r>
    </w:p>
    <w:p>
      <w:pPr>
        <w:pStyle w:val="ListBullet"/>
        <w:widowControl/>
      </w:pPr>
      <w:r>
        <w:t>Actual headset and eye-region feasibility; pilot sample, counterbalancing and analysis rules.</w:t>
      </w:r>
    </w:p>
    <w:p>
      <w:pPr>
        <w:pStyle w:val="ListBullet"/>
        <w:widowControl/>
      </w:pPr>
      <w:r>
        <w:t>Ethics approval and the agreed participant and data-management procedures.</w:t>
      </w:r>
    </w:p>
    <w:p>
      <w:pPr>
        <w:pStyle w:val="Heading1"/>
        <w:widowControl/>
      </w:pPr>
      <w:r>
        <w:rPr>
          <w:color w:val="000000"/>
          <w:u w:val="none"/>
        </w:rPr>
        <w:t>References</w:t>
      </w:r>
    </w:p>
    <w:p>
      <w:pPr>
        <w:widowControl/>
      </w:pPr>
      <w:r>
        <w:rPr>
          <w:sz w:val="19"/>
        </w:rPr>
        <w:t>1. Sterna, R., Strojny, P., &amp; Rębilas, K. (2019). Can Virtual Observers Affect Our Behavior? Social Facilitation in Virtual Environments: A Mini-Review. Social Psychological Bulletin, 14(3), e30091. https://doi.org/10.32872/spb.v14i3.30091</w:t>
      </w:r>
    </w:p>
    <w:p>
      <w:pPr>
        <w:widowControl/>
      </w:pPr>
      <w:r>
        <w:rPr>
          <w:sz w:val="19"/>
        </w:rPr>
        <w:t>2. Park, S., &amp; Catrambone, R. (2007). Social Facilitation Effects of Virtual Humans. Human Factors, 49(6), 1054–1060. https://doi.org/10.1518/001872007X249910</w:t>
      </w:r>
    </w:p>
    <w:p>
      <w:pPr>
        <w:widowControl/>
      </w:pPr>
      <w:r>
        <w:rPr>
          <w:sz w:val="19"/>
        </w:rPr>
        <w:t>3. Li, C., et al. (2025). Avatar-mediated communication in collaborative virtual environments: A study on users’ attention allocation and perception of social interactions. Computers in Human Behavior, 167, 108598. https://doi.org/10.1016/j.chb.2025.108598</w:t>
      </w:r>
    </w:p>
    <w:p>
      <w:pPr>
        <w:widowControl/>
      </w:pPr>
      <w:r>
        <w:rPr>
          <w:sz w:val="19"/>
        </w:rPr>
        <w:t>4. Koban, K., Haggadone, B. A., &amp; Banks, J. (2021). The Observant Android: Limited Social Facilitation and Inhibition From a Copresent Social Robot. Technology, Mind, and Behavior. https://doi.org/10.1037/tmb0000049</w:t>
      </w:r>
    </w:p>
    <w:p>
      <w:pPr>
        <w:widowControl/>
      </w:pPr>
      <w:r>
        <w:rPr>
          <w:sz w:val="19"/>
        </w:rPr>
        <w:t>Ethics portal identified by Richard: https://hsears.polyu.edu.hk/login</w:t>
      </w:r>
    </w:p>
    <w:p>
      <w:pPr>
        <w:pStyle w:val="Heading1"/>
        <w:pageBreakBefore/>
        <w:widowControl/>
      </w:pPr>
      <w:r>
        <w:rPr>
          <w:color w:val="000000"/>
          <w:u w:val="none"/>
        </w:rPr>
        <w:t>Feedback disposition</w:t>
      </w:r>
    </w:p>
    <w:p>
      <w:pPr>
        <w:widowControl/>
      </w:pPr>
      <w:r>
        <w:t>All 26 original Word comments are retained with their wording, authors, dates and reply threads unchanged, and attached to the corresponding revised passages. This register distinguishes incorporated changes from decisions still open. IDs identify comments in the source file. MZ means Mingyuan Zhu; R means LI, Richard Chen [APSS]. The uploaded original is preserved separately.</w:t>
      </w:r>
    </w:p>
    <w:tbl>
      <w:tblPr>
        <w:tblW w:type="auto" w:w="0"/>
        <w:jc w:val="center"/>
        <w:tblLayout w:type="fixed"/>
        <w:tblLook w:firstColumn="1" w:firstRow="1" w:lastColumn="0" w:lastRow="0" w:noHBand="0" w:noVBand="1" w:val="04A0"/>
      </w:tblPr>
      <w:tblGrid>
        <w:gridCol w:w="1368"/>
        <w:gridCol w:w="1944"/>
        <w:gridCol w:w="6768"/>
      </w:tblGrid>
      <w:tr>
        <w:trPr>
          <w:cantSplit/>
          <w:tblHeader/>
        </w:trPr>
        <w:tc>
          <w:tcPr>
            <w:tcW w:type="dxa" w:w="1368"/>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shd w:fill="E8EDF2"/>
          </w:tcPr>
          <w:p>
            <w:pPr>
              <w:keepNext/>
              <w:spacing w:after="0" w:line="245" w:lineRule="auto"/>
            </w:pPr>
            <w:r>
              <w:rPr>
                <w:b/>
                <w:color w:val="000000"/>
                <w:sz w:val="19"/>
              </w:rPr>
              <w:t>Comment IDs</w:t>
            </w:r>
          </w:p>
        </w:tc>
        <w:tc>
          <w:tcPr>
            <w:tcW w:type="dxa" w:w="1944"/>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shd w:fill="E8EDF2"/>
          </w:tcPr>
          <w:p>
            <w:pPr>
              <w:keepNext/>
              <w:spacing w:after="0" w:line="245" w:lineRule="auto"/>
            </w:pPr>
            <w:r>
              <w:rPr>
                <w:b/>
                <w:color w:val="000000"/>
                <w:sz w:val="19"/>
              </w:rPr>
              <w:t>Topic</w:t>
            </w:r>
          </w:p>
        </w:tc>
        <w:tc>
          <w:tcPr>
            <w:tcW w:type="dxa" w:w="6768"/>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shd w:fill="E8EDF2"/>
          </w:tcPr>
          <w:p>
            <w:pPr>
              <w:keepNext/>
              <w:spacing w:after="0" w:line="245" w:lineRule="auto"/>
            </w:pPr>
            <w:r>
              <w:rPr>
                <w:b/>
                <w:color w:val="000000"/>
                <w:sz w:val="19"/>
              </w:rPr>
              <w:t>Disposition and remaining decision</w:t>
            </w:r>
          </w:p>
        </w:tc>
      </w:tr>
      <w:tr>
        <w:trPr>
          <w:cantSplit/>
        </w:trPr>
        <w:tc>
          <w:tcPr>
            <w:tcW w:type="dxa" w:w="1368"/>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0 MZ and 1 R</w:t>
            </w:r>
          </w:p>
        </w:tc>
        <w:tc>
          <w:tcPr>
            <w:tcW w:type="dxa" w:w="1944"/>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Research focus</w:t>
            </w:r>
          </w:p>
        </w:tc>
        <w:tc>
          <w:tcPr>
            <w:tcW w:type="dxa" w:w="6768"/>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Section 1 adds attention or distraction alongside perceived evaluation. Section 5 separates the constructs and keeps operational measures provisional.</w:t>
            </w:r>
          </w:p>
        </w:tc>
      </w:tr>
      <w:tr>
        <w:trPr>
          <w:cantSplit/>
        </w:trPr>
        <w:tc>
          <w:tcPr>
            <w:tcW w:type="dxa" w:w="1368"/>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2 MZ and 3 R</w:t>
            </w:r>
          </w:p>
        </w:tc>
        <w:tc>
          <w:tcPr>
            <w:tcW w:type="dxa" w:w="1944"/>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No-avatar baseline</w:t>
            </w:r>
          </w:p>
        </w:tc>
        <w:tc>
          <w:tcPr>
            <w:tcW w:type="dxa" w:w="6768"/>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D is added in the revised draft. Sections 1 and 5 distinguish presence comparisons from orientation comparisons and prevent an automatic zero baseline rating.</w:t>
            </w:r>
          </w:p>
        </w:tc>
      </w:tr>
      <w:tr>
        <w:trPr>
          <w:cantSplit/>
        </w:trPr>
        <w:tc>
          <w:tcPr>
            <w:tcW w:type="dxa" w:w="1368"/>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4 R</w:t>
            </w:r>
          </w:p>
        </w:tc>
        <w:tc>
          <w:tcPr>
            <w:tcW w:type="dxa" w:w="1944"/>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Variable name</w:t>
            </w:r>
          </w:p>
        </w:tc>
        <w:tc>
          <w:tcPr>
            <w:tcW w:type="dxa" w:w="6768"/>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Section 2 uses attentional contingency. The scripted mode is explicitly nonreactive; any operator responsiveness needs an agreed protocol.</w:t>
            </w:r>
          </w:p>
        </w:tc>
      </w:tr>
      <w:tr>
        <w:trPr>
          <w:cantSplit/>
        </w:trPr>
        <w:tc>
          <w:tcPr>
            <w:tcW w:type="dxa" w:w="1368"/>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5 MZ and 6 R</w:t>
            </w:r>
          </w:p>
        </w:tc>
        <w:tc>
          <w:tcPr>
            <w:tcW w:type="dxa" w:w="1944"/>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Alternating timing</w:t>
            </w:r>
          </w:p>
        </w:tc>
        <w:tc>
          <w:tcPr>
            <w:tcW w:type="dxa" w:w="6768"/>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Section 2 records the 1-second versus 3-second inconsistency. Neither is approved; timing and any human-data-informed model remain open.</w:t>
            </w:r>
          </w:p>
        </w:tc>
      </w:tr>
      <w:tr>
        <w:trPr>
          <w:cantSplit/>
        </w:trPr>
        <w:tc>
          <w:tcPr>
            <w:tcW w:type="dxa" w:w="1368"/>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7 MZ and 8 R and 20 R</w:t>
            </w:r>
          </w:p>
        </w:tc>
        <w:tc>
          <w:tcPr>
            <w:tcW w:type="dxa" w:w="1944"/>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Head and eyes</w:t>
            </w:r>
          </w:p>
        </w:tc>
        <w:tc>
          <w:tcPr>
            <w:tcW w:type="dxa" w:w="6768"/>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Combined head and eye orientation is retained. The body and other behaviour stay fixed; this is not an eye-only manipulation.</w:t>
            </w:r>
          </w:p>
        </w:tc>
      </w:tr>
      <w:tr>
        <w:trPr>
          <w:cantSplit/>
        </w:trPr>
        <w:tc>
          <w:tcPr>
            <w:tcW w:type="dxa" w:w="1368"/>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9 R</w:t>
            </w:r>
          </w:p>
        </w:tc>
        <w:tc>
          <w:tcPr>
            <w:tcW w:type="dxa" w:w="1944"/>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Colour vision</w:t>
            </w:r>
          </w:p>
        </w:tc>
        <w:tc>
          <w:tcPr>
            <w:tcW w:type="dxa" w:w="6768"/>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Section 3 adds objective screening rather than self-report alone. Tool, procedure and eligibility cutoff require agreement.</w:t>
            </w:r>
          </w:p>
        </w:tc>
      </w:tr>
      <w:tr>
        <w:trPr>
          <w:cantSplit/>
        </w:trPr>
        <w:tc>
          <w:tcPr>
            <w:tcW w:type="dxa" w:w="1368"/>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10 MZ and 11 R</w:t>
            </w:r>
          </w:p>
        </w:tc>
        <w:tc>
          <w:tcPr>
            <w:tcW w:type="dxa" w:w="1944"/>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Practice progression</w:t>
            </w:r>
          </w:p>
        </w:tc>
        <w:tc>
          <w:tcPr>
            <w:tcW w:type="dxa" w:w="6768"/>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Section 4 retains 8 practice trials and adds a progression gate. Exact threshold, repeats and stopping rule remain open.</w:t>
            </w:r>
          </w:p>
        </w:tc>
      </w:tr>
      <w:tr>
        <w:trPr>
          <w:cantSplit/>
        </w:trPr>
        <w:tc>
          <w:tcPr>
            <w:tcW w:type="dxa" w:w="1368"/>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12 MZ and 13 R</w:t>
            </w:r>
          </w:p>
        </w:tc>
        <w:tc>
          <w:tcPr>
            <w:tcW w:type="dxa" w:w="1944"/>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Trial burden</w:t>
            </w:r>
          </w:p>
        </w:tc>
        <w:tc>
          <w:tcPr>
            <w:tcW w:type="dxa" w:w="6768"/>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Section 4 provisionally retains 20 trials per block, now 80 main trials. Apparatus fatigue checks will inform the final count.</w:t>
            </w:r>
          </w:p>
        </w:tc>
      </w:tr>
      <w:tr>
        <w:trPr>
          <w:cantSplit/>
        </w:trPr>
        <w:tc>
          <w:tcPr>
            <w:tcW w:type="dxa" w:w="1368"/>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14 MZ and 15 R</w:t>
            </w:r>
          </w:p>
        </w:tc>
        <w:tc>
          <w:tcPr>
            <w:tcW w:type="dxa" w:w="1944"/>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Rating scale</w:t>
            </w:r>
          </w:p>
        </w:tc>
        <w:tc>
          <w:tcPr>
            <w:tcW w:type="dxa" w:w="6768"/>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Section 5 retains five response points, but does not treat the self-authored item as validated. Source and common baseline wording remain to be settled.</w:t>
            </w:r>
          </w:p>
        </w:tc>
      </w:tr>
      <w:tr>
        <w:trPr>
          <w:cantSplit/>
        </w:trPr>
        <w:tc>
          <w:tcPr>
            <w:tcW w:type="dxa" w:w="1368"/>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16 MZ and 17 R</w:t>
            </w:r>
          </w:p>
        </w:tc>
        <w:tc>
          <w:tcPr>
            <w:tcW w:type="dxa" w:w="1944"/>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Face and eye regions</w:t>
            </w:r>
          </w:p>
        </w:tc>
        <w:tc>
          <w:tcPr>
            <w:tcW w:type="dxa" w:w="6768"/>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Section 5 requires geometric and empirical tracking checks before separate eye-region claims; face gaze is the fallback, not eye contact.</w:t>
            </w:r>
          </w:p>
        </w:tc>
      </w:tr>
      <w:tr>
        <w:trPr>
          <w:cantSplit/>
        </w:trPr>
        <w:tc>
          <w:tcPr>
            <w:tcW w:type="dxa" w:w="1368"/>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18 MZ</w:t>
            </w:r>
          </w:p>
        </w:tc>
        <w:tc>
          <w:tcPr>
            <w:tcW w:type="dxa" w:w="1944"/>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Existing lab program</w:t>
            </w:r>
          </w:p>
        </w:tc>
        <w:tc>
          <w:tcPr>
            <w:tcW w:type="dxa" w:w="6768"/>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Section 6 records asking Yixin as a planned action, not a completed request, obtained program or permission to reuse.</w:t>
            </w:r>
          </w:p>
        </w:tc>
      </w:tr>
      <w:tr>
        <w:trPr>
          <w:cantSplit/>
        </w:trPr>
        <w:tc>
          <w:tcPr>
            <w:tcW w:type="dxa" w:w="1368"/>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19 MZ</w:t>
            </w:r>
          </w:p>
        </w:tc>
        <w:tc>
          <w:tcPr>
            <w:tcW w:type="dxa" w:w="1944"/>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No rating difference</w:t>
            </w:r>
          </w:p>
        </w:tc>
        <w:tc>
          <w:tcPr>
            <w:tcW w:type="dxa" w:w="6768"/>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The emotive comment contains no specific design instruction. Section 7 retains the cautious interpretation of a null pilot pattern.</w:t>
            </w:r>
          </w:p>
        </w:tc>
      </w:tr>
      <w:tr>
        <w:trPr>
          <w:cantSplit/>
        </w:trPr>
        <w:tc>
          <w:tcPr>
            <w:tcW w:type="dxa" w:w="1368"/>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21 R</w:t>
            </w:r>
          </w:p>
        </w:tc>
        <w:tc>
          <w:tcPr>
            <w:tcW w:type="dxa" w:w="1944"/>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Wizard of Oz</w:t>
            </w:r>
          </w:p>
        </w:tc>
        <w:tc>
          <w:tcPr>
            <w:tcW w:type="dxa" w:w="6768"/>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Phase 1 will support scripted and operator-button modes with shared systems, not motion capture. Pilot mode, operator rules and ethics details remain open.</w:t>
            </w:r>
          </w:p>
        </w:tc>
      </w:tr>
      <w:tr>
        <w:trPr>
          <w:cantSplit/>
        </w:trPr>
        <w:tc>
          <w:tcPr>
            <w:tcW w:type="dxa" w:w="1368"/>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22 R</w:t>
            </w:r>
          </w:p>
        </w:tc>
        <w:tc>
          <w:tcPr>
            <w:tcW w:type="dxa" w:w="1944"/>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Published measures</w:t>
            </w:r>
          </w:p>
        </w:tc>
        <w:tc>
          <w:tcPr>
            <w:tcW w:type="dxa" w:w="6768"/>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Section 5 calls for reviewing prior operationalisations before final wording and timing. Related social-presence measures are not treated as equivalent.</w:t>
            </w:r>
          </w:p>
        </w:tc>
      </w:tr>
      <w:tr>
        <w:trPr>
          <w:cantSplit/>
        </w:trPr>
        <w:tc>
          <w:tcPr>
            <w:tcW w:type="dxa" w:w="1368"/>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23 R</w:t>
            </w:r>
          </w:p>
        </w:tc>
        <w:tc>
          <w:tcPr>
            <w:tcW w:type="dxa" w:w="1944"/>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Within-participant design</w:t>
            </w:r>
          </w:p>
        </w:tc>
        <w:tc>
          <w:tcPr>
            <w:tcW w:type="dxa" w:w="6768"/>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The within-participant pilot is retained and extended to four conditions to incorporate the baseline recommendation.</w:t>
            </w:r>
          </w:p>
        </w:tc>
      </w:tr>
      <w:tr>
        <w:trPr>
          <w:cantSplit/>
        </w:trPr>
        <w:tc>
          <w:tcPr>
            <w:tcW w:type="dxa" w:w="1368"/>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24 R</w:t>
            </w:r>
          </w:p>
        </w:tc>
        <w:tc>
          <w:tcPr>
            <w:tcW w:type="dxa" w:w="1944"/>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PC and platform</w:t>
            </w:r>
          </w:p>
        </w:tc>
        <w:tc>
          <w:tcPr>
            <w:tcW w:type="dxa" w:w="6768"/>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Section 6 records the available Windows PC and proposed Unity route. The headset and compatibility remain unconfirmed.</w:t>
            </w:r>
          </w:p>
        </w:tc>
      </w:tr>
      <w:tr>
        <w:trPr>
          <w:cantSplit/>
        </w:trPr>
        <w:tc>
          <w:tcPr>
            <w:tcW w:type="dxa" w:w="1368"/>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25 R</w:t>
            </w:r>
          </w:p>
        </w:tc>
        <w:tc>
          <w:tcPr>
            <w:tcW w:type="dxa" w:w="1944"/>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Ethics</w:t>
            </w:r>
          </w:p>
        </w:tc>
        <w:tc>
          <w:tcPr>
            <w:tcW w:type="dxa" w:w="6768"/>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Section 8 requires approval before the participant pilot. Informal lab apparatus checks are attributed to Richard's guidance, not a universal exemption.</w:t>
            </w:r>
          </w:p>
        </w:tc>
      </w:tr>
    </w:tbl>
    <w:p>
      <w:pPr>
        <w:widowControl/>
      </w:pPr>
      <w:r/>
    </w:p>
    <w:sectPr w:rsidR="003277A7" w:rsidSect="00034616">
      <w:footerReference w:type="default" r:id="rId15"/>
      <w:pgSz w:w="12240" w:h="15840"/>
      <w:pgMar w:top="936" w:right="1080" w:bottom="936" w:left="108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Mingyuan Zhu" w:date="2026-10-25T16:48:00Z" w:initials="MZ">
    <w:p w14:paraId="1968BA90" w14:textId="77777777" w:rsidR="00191AD7" w:rsidRDefault="00150086" w:rsidP="00191AD7">
      <w:r>
        <w:rPr>
          <w:rStyle w:val="CommentReference"/>
        </w:rPr>
        <w:annotationRef/>
      </w:r>
      <w:r w:rsidR="00191AD7">
        <w:rPr>
          <w:sz w:val="20"/>
          <w:szCs w:val="20"/>
        </w:rPr>
        <w:t>Please confirm this is what we want to evaluate in our pilot test.</w:t>
      </w:r>
    </w:p>
  </w:comment>
  <w:comment w:id="1" w:author="LI, Richard Chen [APSS]" w:date="2026-10-26T11:22:00Z" w:initials="LRC[">
    <w:p w14:paraId="77DD5232" w14:textId="77777777" w:rsidR="0017661E" w:rsidRDefault="0017661E" w:rsidP="0017661E">
      <w:r>
        <w:rPr>
          <w:rStyle w:val="CommentReference"/>
        </w:rPr>
        <w:annotationRef/>
      </w:r>
      <w:r>
        <w:rPr>
          <w:sz w:val="20"/>
          <w:szCs w:val="20"/>
        </w:rPr>
        <w:t>Perhaps attention / distraction should also be considered as a dependent variable here. So when we manipulate the independent variable (i.e., the avatar's attentional contingency), we expect both perceived evaluation (a latent social evaluative construct) and attention will vary across conditions.</w:t>
      </w:r>
    </w:p>
  </w:comment>
  <w:comment w:id="2" w:author="Mingyuan Zhu" w:date="2026-10-25T16:49:00Z" w:initials="MZ">
    <w:p w14:paraId="1CCF9EF7" w14:textId="2E61FC5D" w:rsidR="00150086" w:rsidRDefault="00150086" w:rsidP="00150086">
      <w:r>
        <w:rPr>
          <w:rStyle w:val="CommentReference"/>
        </w:rPr>
        <w:annotationRef/>
      </w:r>
      <w:r>
        <w:rPr>
          <w:sz w:val="20"/>
          <w:szCs w:val="20"/>
        </w:rPr>
        <w:t xml:space="preserve">Should we include a setting without any avatar in our pilot test? </w:t>
      </w:r>
    </w:p>
  </w:comment>
  <w:comment w:id="3" w:author="LI, Richard Chen [APSS]" w:date="2026-10-26T11:22:00Z" w:initials="LRC[">
    <w:p w14:paraId="7636D302" w14:textId="77777777" w:rsidR="0017661E" w:rsidRDefault="0017661E" w:rsidP="0017661E">
      <w:r>
        <w:rPr>
          <w:rStyle w:val="CommentReference"/>
        </w:rPr>
        <w:annotationRef/>
      </w:r>
      <w:r>
        <w:rPr>
          <w:sz w:val="20"/>
          <w:szCs w:val="20"/>
        </w:rPr>
        <w:t>This would be a baseline condition. I suggest to include it.</w:t>
      </w:r>
    </w:p>
  </w:comment>
  <w:comment w:id="4" w:author="LI, Richard Chen [APSS]" w:date="2026-10-26T11:25:00Z" w:initials="LRC[">
    <w:p w14:paraId="55736A1E" w14:textId="77777777" w:rsidR="0017661E" w:rsidRDefault="0017661E" w:rsidP="0017661E">
      <w:r>
        <w:rPr>
          <w:rStyle w:val="CommentReference"/>
        </w:rPr>
        <w:annotationRef/>
      </w:r>
      <w:r>
        <w:rPr>
          <w:sz w:val="20"/>
          <w:szCs w:val="20"/>
        </w:rPr>
        <w:t xml:space="preserve">I think attentional contingency would be a more precise name for the independent variable, because we manipulate both gaze and head orientation across the conditions. </w:t>
      </w:r>
    </w:p>
  </w:comment>
  <w:comment w:id="5" w:author="Mingyuan Zhu" w:date="2026-10-25T16:56:00Z" w:initials="MZ">
    <w:p w14:paraId="635838B8" w14:textId="77777777" w:rsidR="00150086" w:rsidRDefault="00150086" w:rsidP="00150086">
      <w:r>
        <w:rPr>
          <w:rStyle w:val="CommentReference"/>
        </w:rPr>
        <w:annotationRef/>
      </w:r>
      <w:r>
        <w:rPr>
          <w:sz w:val="20"/>
          <w:szCs w:val="20"/>
        </w:rPr>
        <w:t>Do you think shifting every 3 seconds is too frequent for our experiment? Does the avatar compete for too many resources in this case?</w:t>
      </w:r>
    </w:p>
  </w:comment>
  <w:comment w:id="6" w:author="LI, Richard Chen [APSS]" w:date="2026-10-26T11:26:00Z" w:initials="LRC[">
    <w:p w14:paraId="3CD2B565" w14:textId="77777777" w:rsidR="0017661E" w:rsidRDefault="0017661E" w:rsidP="0017661E">
      <w:r>
        <w:rPr>
          <w:rStyle w:val="CommentReference"/>
        </w:rPr>
        <w:annotationRef/>
      </w:r>
      <w:r>
        <w:rPr>
          <w:sz w:val="20"/>
          <w:szCs w:val="20"/>
        </w:rPr>
        <w:t xml:space="preserve">This is a very good question. To be honest, I don't know. I remember in some studies that replicated human behaviours algorithmically, real human data were first used to generate a mathematical model. </w:t>
      </w:r>
    </w:p>
  </w:comment>
  <w:comment w:id="7" w:author="Mingyuan Zhu" w:date="2026-10-25T16:58:00Z" w:initials="MZ">
    <w:p w14:paraId="7F1442BA" w14:textId="77777777" w:rsidR="00191AD7" w:rsidRDefault="00191AD7" w:rsidP="00191AD7">
      <w:r>
        <w:rPr>
          <w:rStyle w:val="CommentReference"/>
        </w:rPr>
        <w:annotationRef/>
      </w:r>
      <w:r>
        <w:rPr>
          <w:sz w:val="20"/>
          <w:szCs w:val="20"/>
        </w:rPr>
        <w:t>Do you think we should focus only on eye movements?</w:t>
      </w:r>
    </w:p>
  </w:comment>
  <w:comment w:id="8" w:author="LI, Richard Chen [APSS]" w:date="2026-10-26T11:27:00Z" w:initials="LRC[">
    <w:p w14:paraId="7792A74E" w14:textId="77777777" w:rsidR="0017661E" w:rsidRDefault="0017661E" w:rsidP="0017661E">
      <w:r>
        <w:rPr>
          <w:rStyle w:val="CommentReference"/>
        </w:rPr>
        <w:annotationRef/>
      </w:r>
      <w:r>
        <w:rPr>
          <w:sz w:val="20"/>
          <w:szCs w:val="20"/>
        </w:rPr>
        <w:t>As mentioned above, I think it's better to manipulate both gaze and head orientation. Manipulating gaze alone could be perceived as artificial.</w:t>
      </w:r>
    </w:p>
  </w:comment>
  <w:comment w:id="9" w:author="LI, Richard Chen [APSS]" w:date="2026-10-26T11:29:00Z" w:initials="LRC[">
    <w:p w14:paraId="40CEBF4B" w14:textId="77777777" w:rsidR="0017661E" w:rsidRDefault="0017661E" w:rsidP="0017661E">
      <w:r>
        <w:rPr>
          <w:rStyle w:val="CommentReference"/>
        </w:rPr>
        <w:annotationRef/>
      </w:r>
      <w:r>
        <w:rPr>
          <w:sz w:val="20"/>
          <w:szCs w:val="20"/>
        </w:rPr>
        <w:t>If you want to use this design based on colour, remember to have a simple colour vision deficiency test to exclude participants who have colour vision deficiency. Actually, most people who have colour vision deficiency do not know. So self-report is not reliable enough.</w:t>
      </w:r>
    </w:p>
  </w:comment>
  <w:comment w:id="10" w:author="Mingyuan Zhu" w:date="2026-10-25T17:03:00Z" w:initials="MZ">
    <w:p w14:paraId="67E48149" w14:textId="77777777" w:rsidR="00191AD7" w:rsidRDefault="00191AD7" w:rsidP="00191AD7">
      <w:r>
        <w:rPr>
          <w:rStyle w:val="CommentReference"/>
        </w:rPr>
        <w:annotationRef/>
      </w:r>
      <w:r>
        <w:rPr>
          <w:sz w:val="20"/>
          <w:szCs w:val="20"/>
        </w:rPr>
        <w:t>As you have mentioned, we need to make sure the participants understand how to do the Stroop test.</w:t>
      </w:r>
    </w:p>
  </w:comment>
  <w:comment w:id="11" w:author="LI, Richard Chen [APSS]" w:date="2026-10-26T11:30:00Z" w:initials="LRC[">
    <w:p w14:paraId="612446BA" w14:textId="77777777" w:rsidR="0017661E" w:rsidRDefault="0017661E" w:rsidP="0017661E">
      <w:r>
        <w:rPr>
          <w:rStyle w:val="CommentReference"/>
        </w:rPr>
        <w:annotationRef/>
      </w:r>
      <w:r>
        <w:rPr>
          <w:sz w:val="20"/>
          <w:szCs w:val="20"/>
        </w:rPr>
        <w:t>Yes, perhaps you can set a threshold to make sure that only participants who can pass this performance threshold can proceed to the main test.</w:t>
      </w:r>
    </w:p>
  </w:comment>
  <w:comment w:id="12" w:author="Mingyuan Zhu" w:date="2026-10-25T17:03:00Z" w:initials="MZ">
    <w:p w14:paraId="7CB70C18" w14:textId="77777777" w:rsidR="00191AD7" w:rsidRDefault="00191AD7" w:rsidP="00191AD7">
      <w:r>
        <w:rPr>
          <w:rStyle w:val="CommentReference"/>
        </w:rPr>
        <w:annotationRef/>
      </w:r>
      <w:r>
        <w:rPr>
          <w:sz w:val="20"/>
          <w:szCs w:val="20"/>
        </w:rPr>
        <w:t>Is it too much?</w:t>
      </w:r>
    </w:p>
  </w:comment>
  <w:comment w:id="13" w:author="LI, Richard Chen [APSS]" w:date="2026-10-26T11:31:00Z" w:initials="LRC[">
    <w:p w14:paraId="2639FD08" w14:textId="77777777" w:rsidR="0017661E" w:rsidRDefault="0017661E" w:rsidP="0017661E">
      <w:r>
        <w:rPr>
          <w:rStyle w:val="CommentReference"/>
        </w:rPr>
        <w:annotationRef/>
      </w:r>
      <w:r>
        <w:rPr>
          <w:sz w:val="20"/>
          <w:szCs w:val="20"/>
        </w:rPr>
        <w:t xml:space="preserve">I think after you have a prototype, we can test it to see if it will cause fatigue or not. You can also check how people do this in real life. </w:t>
      </w:r>
    </w:p>
  </w:comment>
  <w:comment w:id="14" w:author="Mingyuan Zhu" w:date="2026-10-25T17:06:00Z" w:initials="MZ">
    <w:p w14:paraId="108A9D8E" w14:textId="77777777" w:rsidR="005D2B46" w:rsidRDefault="00191AD7" w:rsidP="005D2B46">
      <w:r>
        <w:rPr>
          <w:rStyle w:val="CommentReference"/>
        </w:rPr>
        <w:annotationRef/>
      </w:r>
      <w:r w:rsidR="005D2B46">
        <w:rPr>
          <w:sz w:val="20"/>
          <w:szCs w:val="20"/>
        </w:rPr>
        <w:t>finer-grained scale?</w:t>
      </w:r>
    </w:p>
  </w:comment>
  <w:comment w:id="15" w:author="LI, Richard Chen [APSS]" w:date="2026-10-26T11:32:00Z" w:initials="LRC[">
    <w:p w14:paraId="7942EAE4" w14:textId="77777777" w:rsidR="00035C81" w:rsidRDefault="00035C81" w:rsidP="00035C81">
      <w:r>
        <w:rPr>
          <w:rStyle w:val="CommentReference"/>
        </w:rPr>
        <w:annotationRef/>
      </w:r>
      <w:r>
        <w:rPr>
          <w:sz w:val="20"/>
          <w:szCs w:val="20"/>
        </w:rPr>
        <w:t>5-point Likert scale is good enough. But any reference to this?</w:t>
      </w:r>
    </w:p>
  </w:comment>
  <w:comment w:id="16" w:author="Mingyuan Zhu" w:date="2026-10-25T17:07:00Z" w:initials="MZ">
    <w:p w14:paraId="288AF160" w14:textId="4357C849" w:rsidR="00BF24E9" w:rsidRDefault="00BF24E9" w:rsidP="00BF24E9">
      <w:r>
        <w:rPr>
          <w:rStyle w:val="CommentReference"/>
        </w:rPr>
        <w:annotationRef/>
      </w:r>
      <w:r>
        <w:rPr>
          <w:sz w:val="20"/>
          <w:szCs w:val="20"/>
        </w:rPr>
        <w:t>Do we treat looking at the face of our avatar the same as looking at the eyes?</w:t>
      </w:r>
    </w:p>
  </w:comment>
  <w:comment w:id="17" w:author="LI, Richard Chen [APSS]" w:date="2026-10-26T11:34:00Z" w:initials="LRC[">
    <w:p w14:paraId="1119DDC5" w14:textId="77777777" w:rsidR="00035C81" w:rsidRDefault="00035C81" w:rsidP="00035C81">
      <w:r>
        <w:rPr>
          <w:rStyle w:val="CommentReference"/>
        </w:rPr>
        <w:annotationRef/>
      </w:r>
      <w:r>
        <w:rPr>
          <w:sz w:val="20"/>
          <w:szCs w:val="20"/>
        </w:rPr>
        <w:t>I think this will depend on whether the eye tracker is precise enough to distinguish fixations in the eye areas from fixations in other areas of the avatar's face. I think this can be calculated, given the size of the eyes, accuracy of the eye tracker, and distance between avatar and participant.</w:t>
      </w:r>
    </w:p>
  </w:comment>
  <w:comment w:id="18" w:author="Mingyuan Zhu" w:date="2026-10-26T09:15:00Z" w:initials="MZ">
    <w:p w14:paraId="4FF298FD" w14:textId="77777777" w:rsidR="00A41AB0" w:rsidRDefault="00A41AB0" w:rsidP="00A41AB0">
      <w:r>
        <w:rPr>
          <w:rStyle w:val="CommentReference"/>
        </w:rPr>
        <w:annotationRef/>
      </w:r>
      <w:r>
        <w:rPr>
          <w:sz w:val="20"/>
          <w:szCs w:val="20"/>
        </w:rPr>
        <w:t>I'll ask Yixin for the program you guys designed.</w:t>
      </w:r>
    </w:p>
  </w:comment>
  <w:comment w:id="19" w:author="Mingyuan Zhu" w:date="2026-10-25T17:10:00Z" w:initials="MZ">
    <w:p w14:paraId="1B71DC4E" w14:textId="77777777" w:rsidR="00BF24E9" w:rsidRDefault="00BF24E9" w:rsidP="00BF24E9">
      <w:r>
        <w:rPr>
          <w:rStyle w:val="CommentReference"/>
        </w:rPr>
        <w:annotationRef/>
      </w:r>
      <w:r>
        <w:rPr>
          <w:sz w:val="20"/>
          <w:szCs w:val="20"/>
        </w:rPr>
        <w:t>:((((((</w:t>
      </w:r>
    </w:p>
  </w:comment>
  <w:comment w:id="20" w:author="LI, Richard Chen [APSS]" w:date="2026-10-26T11:35:00Z" w:initials="LRC[">
    <w:p w14:paraId="74CACB97" w14:textId="77777777" w:rsidR="002B54DD" w:rsidRDefault="002B54DD" w:rsidP="002B54DD">
      <w:r>
        <w:rPr>
          <w:rStyle w:val="CommentReference"/>
        </w:rPr>
        <w:annotationRef/>
      </w:r>
      <w:r>
        <w:rPr>
          <w:sz w:val="20"/>
          <w:szCs w:val="20"/>
        </w:rPr>
        <w:t>Head and eye movement is preferred.</w:t>
      </w:r>
    </w:p>
  </w:comment>
  <w:comment w:id="21" w:author="LI, Richard Chen [APSS]" w:date="2026-10-26T11:35:00Z" w:initials="LRC[">
    <w:p w14:paraId="6DD58F14" w14:textId="77777777" w:rsidR="002B54DD" w:rsidRDefault="002B54DD" w:rsidP="002B54DD">
      <w:r>
        <w:rPr>
          <w:rStyle w:val="CommentReference"/>
        </w:rPr>
        <w:annotationRef/>
      </w:r>
      <w:r>
        <w:rPr>
          <w:sz w:val="20"/>
          <w:szCs w:val="20"/>
        </w:rPr>
        <w:t>I'm thinking whether we shall use a Wizard of Oz design to kick off the study.</w:t>
      </w:r>
    </w:p>
  </w:comment>
  <w:comment w:id="22" w:author="LI, Richard Chen [APSS]" w:date="2026-10-26T11:36:00Z" w:initials="LRC[">
    <w:p w14:paraId="428ADC28" w14:textId="77777777" w:rsidR="002B54DD" w:rsidRDefault="002B54DD" w:rsidP="002B54DD">
      <w:r>
        <w:rPr>
          <w:rStyle w:val="CommentReference"/>
        </w:rPr>
        <w:annotationRef/>
      </w:r>
      <w:r>
        <w:rPr>
          <w:sz w:val="20"/>
          <w:szCs w:val="20"/>
        </w:rPr>
        <w:t>It's better to see how others did for their studies.</w:t>
      </w:r>
    </w:p>
  </w:comment>
  <w:comment w:id="23" w:author="LI, Richard Chen [APSS]" w:date="2026-10-26T11:37:00Z" w:initials="LRC[">
    <w:p w14:paraId="00D51C00" w14:textId="77777777" w:rsidR="002B54DD" w:rsidRDefault="002B54DD" w:rsidP="002B54DD">
      <w:r>
        <w:rPr>
          <w:rStyle w:val="CommentReference"/>
        </w:rPr>
        <w:annotationRef/>
      </w:r>
      <w:r>
        <w:rPr>
          <w:sz w:val="20"/>
          <w:szCs w:val="20"/>
        </w:rPr>
        <w:t>Yes, we need a pilot using a within design.</w:t>
      </w:r>
    </w:p>
  </w:comment>
  <w:comment w:id="24" w:author="LI, Richard Chen [APSS]" w:date="2026-10-26T11:38:00Z" w:initials="LRC[">
    <w:p w14:paraId="4E9507AD" w14:textId="77777777" w:rsidR="002B54DD" w:rsidRDefault="002B54DD" w:rsidP="002B54DD">
      <w:r>
        <w:rPr>
          <w:rStyle w:val="CommentReference"/>
        </w:rPr>
        <w:annotationRef/>
      </w:r>
      <w:r>
        <w:rPr>
          <w:sz w:val="20"/>
          <w:szCs w:val="20"/>
        </w:rPr>
        <w:t>Yes, do you have a PC for this purpose?</w:t>
      </w:r>
    </w:p>
  </w:comment>
  <w:comment w:id="25" w:author="LI, Richard Chen [APSS]" w:date="2026-10-26T11:40:00Z" w:initials="LRC[">
    <w:p w14:paraId="51AA2708" w14:textId="77777777" w:rsidR="002B54DD" w:rsidRDefault="002B54DD" w:rsidP="002B54DD">
      <w:r>
        <w:rPr>
          <w:rStyle w:val="CommentReference"/>
        </w:rPr>
        <w:annotationRef/>
      </w:r>
      <w:r>
        <w:rPr>
          <w:sz w:val="20"/>
          <w:szCs w:val="20"/>
        </w:rPr>
        <w:t xml:space="preserve">The study needs to go through ethics review. You can go to </w:t>
      </w:r>
      <w:hyperlink r:id="rId1" w:history="1">
        <w:r w:rsidRPr="001639E1">
          <w:rPr>
            <w:rStyle w:val="Hyperlink"/>
            <w:sz w:val="20"/>
            <w:szCs w:val="20"/>
          </w:rPr>
          <w:t>https://hsears.polyu.edu.hk/login</w:t>
        </w:r>
      </w:hyperlink>
      <w:r>
        <w:rPr>
          <w:sz w:val="20"/>
          <w:szCs w:val="20"/>
        </w:rPr>
        <w:t xml:space="preserve"> to have a look. If you want to ask anyone from our lab to test the apparatus, it's fine without an approval. However, when you start the pilot, you need to get the approval in advance.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1968BA90" w15:done="0"/>
  <w15:commentEx w15:paraId="77DD5232" w15:paraIdParent="1968BA90" w15:done="0"/>
  <w15:commentEx w15:paraId="1CCF9EF7" w15:done="0"/>
  <w15:commentEx w15:paraId="7636D302" w15:paraIdParent="1CCF9EF7" w15:done="0"/>
  <w15:commentEx w15:paraId="55736A1E" w15:done="0"/>
  <w15:commentEx w15:paraId="635838B8" w15:done="0"/>
  <w15:commentEx w15:paraId="3CD2B565" w15:paraIdParent="635838B8" w15:done="0"/>
  <w15:commentEx w15:paraId="7F1442BA" w15:done="0"/>
  <w15:commentEx w15:paraId="7792A74E" w15:paraIdParent="7F1442BA" w15:done="0"/>
  <w15:commentEx w15:paraId="40CEBF4B" w15:done="0"/>
  <w15:commentEx w15:paraId="67E48149" w15:done="0"/>
  <w15:commentEx w15:paraId="612446BA" w15:paraIdParent="67E48149" w15:done="0"/>
  <w15:commentEx w15:paraId="7CB70C18" w15:done="0"/>
  <w15:commentEx w15:paraId="2639FD08" w15:paraIdParent="7CB70C18" w15:done="0"/>
  <w15:commentEx w15:paraId="108A9D8E" w15:done="0"/>
  <w15:commentEx w15:paraId="7942EAE4" w15:paraIdParent="108A9D8E" w15:done="0"/>
  <w15:commentEx w15:paraId="288AF160" w15:done="0"/>
  <w15:commentEx w15:paraId="1119DDC5" w15:paraIdParent="288AF160" w15:done="0"/>
  <w15:commentEx w15:paraId="4FF298FD" w15:done="0"/>
  <w15:commentEx w15:paraId="1B71DC4E" w15:done="0"/>
  <w15:commentEx w15:paraId="74CACB97" w15:done="0"/>
  <w15:commentEx w15:paraId="6DD58F14" w15:done="0"/>
  <w15:commentEx w15:paraId="428ADC28" w15:done="0"/>
  <w15:commentEx w15:paraId="00D51C00" w15:done="0"/>
  <w15:commentEx w15:paraId="4E9507AD" w15:done="0"/>
  <w15:commentEx w15:paraId="51AA270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7A0B36F5" w16cex:dateUtc="2026-10-25T08:48:00Z"/>
  <w16cex:commentExtensible w16cex:durableId="44F69DBD" w16cex:dateUtc="2026-10-26T03:22:00Z"/>
  <w16cex:commentExtensible w16cex:durableId="26C6278F" w16cex:dateUtc="2026-10-25T08:49:00Z"/>
  <w16cex:commentExtensible w16cex:durableId="15224833" w16cex:dateUtc="2026-10-26T03:22:00Z"/>
  <w16cex:commentExtensible w16cex:durableId="451BF5BC" w16cex:dateUtc="2026-10-26T03:25:00Z"/>
  <w16cex:commentExtensible w16cex:durableId="5D0DE641" w16cex:dateUtc="2026-10-25T08:56:00Z"/>
  <w16cex:commentExtensible w16cex:durableId="285E43E9" w16cex:dateUtc="2026-10-26T03:26:00Z"/>
  <w16cex:commentExtensible w16cex:durableId="4B3559B2" w16cex:dateUtc="2026-10-25T08:58:00Z"/>
  <w16cex:commentExtensible w16cex:durableId="0616D428" w16cex:dateUtc="2026-10-26T03:27:00Z"/>
  <w16cex:commentExtensible w16cex:durableId="421A6955" w16cex:dateUtc="2026-10-26T03:29:00Z"/>
  <w16cex:commentExtensible w16cex:durableId="5AF29272" w16cex:dateUtc="2026-10-25T09:03:00Z"/>
  <w16cex:commentExtensible w16cex:durableId="4ED1E4E6" w16cex:dateUtc="2026-10-26T03:30:00Z"/>
  <w16cex:commentExtensible w16cex:durableId="6E15A023" w16cex:dateUtc="2026-10-25T09:03:00Z"/>
  <w16cex:commentExtensible w16cex:durableId="4E7AB2DF" w16cex:dateUtc="2026-10-26T03:31:00Z"/>
  <w16cex:commentExtensible w16cex:durableId="10B7E067" w16cex:dateUtc="2026-10-25T09:06:00Z"/>
  <w16cex:commentExtensible w16cex:durableId="3A37CE5E" w16cex:dateUtc="2026-10-26T03:32:00Z"/>
  <w16cex:commentExtensible w16cex:durableId="0329C9D1" w16cex:dateUtc="2026-10-25T09:07:00Z"/>
  <w16cex:commentExtensible w16cex:durableId="3385F8B5" w16cex:dateUtc="2026-10-26T03:34:00Z"/>
  <w16cex:commentExtensible w16cex:durableId="1BA65691" w16cex:dateUtc="2026-10-26T01:15:00Z"/>
  <w16cex:commentExtensible w16cex:durableId="69328383" w16cex:dateUtc="2026-10-25T09:10:00Z"/>
  <w16cex:commentExtensible w16cex:durableId="05161FDC" w16cex:dateUtc="2026-10-26T03:35:00Z"/>
  <w16cex:commentExtensible w16cex:durableId="190F4A85" w16cex:dateUtc="2026-10-26T03:35:00Z"/>
  <w16cex:commentExtensible w16cex:durableId="33EDF1BB" w16cex:dateUtc="2026-10-26T03:36:00Z"/>
  <w16cex:commentExtensible w16cex:durableId="5FFB0737" w16cex:dateUtc="2026-10-26T03:37:00Z"/>
  <w16cex:commentExtensible w16cex:durableId="662C0181" w16cex:dateUtc="2026-10-26T03:38:00Z"/>
  <w16cex:commentExtensible w16cex:durableId="69B42C7C" w16cex:dateUtc="2026-10-26T03:4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1968BA90" w16cid:durableId="7A0B36F5"/>
  <w16cid:commentId w16cid:paraId="77DD5232" w16cid:durableId="44F69DBD"/>
  <w16cid:commentId w16cid:paraId="1CCF9EF7" w16cid:durableId="26C6278F"/>
  <w16cid:commentId w16cid:paraId="7636D302" w16cid:durableId="15224833"/>
  <w16cid:commentId w16cid:paraId="55736A1E" w16cid:durableId="451BF5BC"/>
  <w16cid:commentId w16cid:paraId="635838B8" w16cid:durableId="5D0DE641"/>
  <w16cid:commentId w16cid:paraId="3CD2B565" w16cid:durableId="285E43E9"/>
  <w16cid:commentId w16cid:paraId="7F1442BA" w16cid:durableId="4B3559B2"/>
  <w16cid:commentId w16cid:paraId="7792A74E" w16cid:durableId="0616D428"/>
  <w16cid:commentId w16cid:paraId="40CEBF4B" w16cid:durableId="421A6955"/>
  <w16cid:commentId w16cid:paraId="67E48149" w16cid:durableId="5AF29272"/>
  <w16cid:commentId w16cid:paraId="612446BA" w16cid:durableId="4ED1E4E6"/>
  <w16cid:commentId w16cid:paraId="7CB70C18" w16cid:durableId="6E15A023"/>
  <w16cid:commentId w16cid:paraId="2639FD08" w16cid:durableId="4E7AB2DF"/>
  <w16cid:commentId w16cid:paraId="108A9D8E" w16cid:durableId="10B7E067"/>
  <w16cid:commentId w16cid:paraId="7942EAE4" w16cid:durableId="3A37CE5E"/>
  <w16cid:commentId w16cid:paraId="288AF160" w16cid:durableId="0329C9D1"/>
  <w16cid:commentId w16cid:paraId="1119DDC5" w16cid:durableId="3385F8B5"/>
  <w16cid:commentId w16cid:paraId="4FF298FD" w16cid:durableId="1BA65691"/>
  <w16cid:commentId w16cid:paraId="1B71DC4E" w16cid:durableId="69328383"/>
  <w16cid:commentId w16cid:paraId="74CACB97" w16cid:durableId="05161FDC"/>
  <w16cid:commentId w16cid:paraId="6DD58F14" w16cid:durableId="190F4A85"/>
  <w16cid:commentId w16cid:paraId="428ADC28" w16cid:durableId="33EDF1BB"/>
  <w16cid:commentId w16cid:paraId="00D51C00" w16cid:durableId="5FFB0737"/>
  <w16cid:commentId w16cid:paraId="4E9507AD" w16cid:durableId="662C0181"/>
  <w16cid:commentId w16cid:paraId="51AA2708" w16cid:durableId="69B42C7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94EFB67" w14:textId="77777777" w:rsidR="000F0AA6" w:rsidRDefault="000F0AA6">
      <w:pPr>
        <w:spacing w:after="0" w:line="240" w:lineRule="auto"/>
      </w:pPr>
      <w:r>
        <w:separator/>
      </w:r>
    </w:p>
  </w:endnote>
  <w:endnote w:type="continuationSeparator" w:id="0">
    <w:p w14:paraId="7FC970FE" w14:textId="77777777" w:rsidR="000F0AA6" w:rsidRDefault="000F0A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194102" w14:textId="77777777" w:rsidR="003277A7" w:rsidRDefault="00000000">
    <w:pPr>
      <w:pStyle w:val="Footer"/>
      <w:jc w:val="right"/>
    </w:pPr>
    <w:r>
      <w:fldChar w:fldCharType="begin"/>
    </w:r>
    <w:r>
      <w:instrText>PAGE</w:instrText>
    </w:r>
    <w:r>
      <w:fldChar w:fldCharType="separate"/>
    </w:r>
    <w:r w:rsidR="00150086">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3073F29" w14:textId="77777777" w:rsidR="000F0AA6" w:rsidRDefault="000F0AA6">
      <w:pPr>
        <w:spacing w:after="0" w:line="240" w:lineRule="auto"/>
      </w:pPr>
      <w:r>
        <w:separator/>
      </w:r>
    </w:p>
  </w:footnote>
  <w:footnote w:type="continuationSeparator" w:id="0">
    <w:p w14:paraId="40218202" w14:textId="77777777" w:rsidR="000F0AA6" w:rsidRDefault="000F0AA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63830330">
    <w:abstractNumId w:val="8"/>
  </w:num>
  <w:num w:numId="2" w16cid:durableId="37630343">
    <w:abstractNumId w:val="6"/>
  </w:num>
  <w:num w:numId="3" w16cid:durableId="1340767475">
    <w:abstractNumId w:val="5"/>
  </w:num>
  <w:num w:numId="4" w16cid:durableId="1216238864">
    <w:abstractNumId w:val="4"/>
  </w:num>
  <w:num w:numId="5" w16cid:durableId="686562138">
    <w:abstractNumId w:val="7"/>
  </w:num>
  <w:num w:numId="6" w16cid:durableId="781799350">
    <w:abstractNumId w:val="3"/>
  </w:num>
  <w:num w:numId="7" w16cid:durableId="904727975">
    <w:abstractNumId w:val="2"/>
  </w:num>
  <w:num w:numId="8" w16cid:durableId="860437576">
    <w:abstractNumId w:val="1"/>
  </w:num>
  <w:num w:numId="9" w16cid:durableId="110731613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Mingyuan Zhu">
    <w15:presenceInfo w15:providerId="Windows Live" w15:userId="f2ba579e8579e4d1"/>
  </w15:person>
  <w15:person w15:author="LI, Richard Chen [APSS]">
    <w15:presenceInfo w15:providerId="AD" w15:userId="S::chen1li@polyu.edu.hk::c5d04489-317b-42e5-a211-2080f817a8c3"/>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3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5C81"/>
    <w:rsid w:val="0006063C"/>
    <w:rsid w:val="000F0AA6"/>
    <w:rsid w:val="00150086"/>
    <w:rsid w:val="0015074B"/>
    <w:rsid w:val="0017661E"/>
    <w:rsid w:val="00191AD7"/>
    <w:rsid w:val="0029639D"/>
    <w:rsid w:val="002B54DD"/>
    <w:rsid w:val="002C2968"/>
    <w:rsid w:val="00326F90"/>
    <w:rsid w:val="003277A7"/>
    <w:rsid w:val="00401792"/>
    <w:rsid w:val="00427446"/>
    <w:rsid w:val="005D2B46"/>
    <w:rsid w:val="00646A61"/>
    <w:rsid w:val="0093300E"/>
    <w:rsid w:val="00A41AB0"/>
    <w:rsid w:val="00AA1D8D"/>
    <w:rsid w:val="00B47730"/>
    <w:rsid w:val="00BF24E9"/>
    <w:rsid w:val="00CB0664"/>
    <w:rsid w:val="00D603B9"/>
    <w:rsid w:val="00E3363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3477577"/>
  <w14:defaultImageDpi w14:val="300"/>
  <w15:docId w15:val="{B28459C2-968C-4341-BCE3-23A85B56AD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2" w:lineRule="auto"/>
    </w:pPr>
    <w:rPr>
      <w:rFonts w:ascii="Calibri" w:hAnsi="Calibri"/>
      <w:color w:val="000000"/>
      <w:sz w:val="21"/>
      <w:u w:val="none"/>
    </w:rPr>
  </w:style>
  <w:style w:type="paragraph" w:styleId="Heading1">
    <w:name w:val="heading 1"/>
    <w:basedOn w:val="Normal"/>
    <w:next w:val="Normal"/>
    <w:link w:val="Heading1Char"/>
    <w:uiPriority w:val="9"/>
    <w:qFormat/>
    <w:rsid w:val="00FC693F"/>
    <w:pPr>
      <w:keepNext/>
      <w:keepLines/>
      <w:spacing w:before="180" w:after="100"/>
      <w:outlineLvl w:val="0"/>
    </w:pPr>
    <w:rPr>
      <w:rFonts w:asciiTheme="majorHAnsi" w:eastAsiaTheme="majorEastAsia" w:hAnsiTheme="majorHAnsi" w:cstheme="majorBidi" w:ascii="Calibri" w:hAnsi="Calibri"/>
      <w:b/>
      <w:bCs/>
      <w:color w:val="000000"/>
      <w:sz w:val="26"/>
      <w:szCs w:val="28"/>
      <w:u w:val="none"/>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Calibri" w:hAnsi="Calibri"/>
      <w:b/>
      <w:bCs/>
      <w:color w:val="000000"/>
      <w:sz w:val="22"/>
      <w:szCs w:val="26"/>
      <w:u w:val="none"/>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u w:val="non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line="240" w:lineRule="auto" w:after="200"/>
      <w:contextualSpacing/>
    </w:pPr>
    <w:rPr>
      <w:rFonts w:asciiTheme="majorHAnsi" w:eastAsiaTheme="majorEastAsia" w:hAnsiTheme="majorHAnsi" w:cstheme="majorBidi" w:ascii="Calibri" w:hAnsi="Calibri"/>
      <w:color w:val="000000"/>
      <w:spacing w:val="5"/>
      <w:kern w:val="28"/>
      <w:sz w:val="44"/>
      <w:szCs w:val="52"/>
      <w:u w:val="non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u w:val="none"/>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color w:val="000000"/>
      <w:u w:val="none"/>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Calibri" w:hAnsi="Calibri"/>
      <w:color w:val="000000"/>
      <w:u w:val="none"/>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150086"/>
    <w:rPr>
      <w:sz w:val="16"/>
      <w:szCs w:val="16"/>
    </w:rPr>
  </w:style>
  <w:style w:type="paragraph" w:styleId="CommentText">
    <w:name w:val="annotation text"/>
    <w:basedOn w:val="Normal"/>
    <w:link w:val="CommentTextChar"/>
    <w:uiPriority w:val="99"/>
    <w:semiHidden/>
    <w:unhideWhenUsed/>
    <w:rsid w:val="00150086"/>
    <w:pPr>
      <w:spacing w:line="240" w:lineRule="auto"/>
    </w:pPr>
    <w:rPr>
      <w:sz w:val="20"/>
      <w:szCs w:val="20"/>
    </w:rPr>
  </w:style>
  <w:style w:type="character" w:customStyle="1" w:styleId="CommentTextChar">
    <w:name w:val="Comment Text Char"/>
    <w:basedOn w:val="DefaultParagraphFont"/>
    <w:link w:val="CommentText"/>
    <w:uiPriority w:val="99"/>
    <w:semiHidden/>
    <w:rsid w:val="00150086"/>
    <w:rPr>
      <w:rFonts w:ascii="Calibri" w:hAnsi="Calibri"/>
      <w:color w:val="000000"/>
      <w:sz w:val="20"/>
      <w:szCs w:val="20"/>
    </w:rPr>
  </w:style>
  <w:style w:type="paragraph" w:styleId="CommentSubject">
    <w:name w:val="annotation subject"/>
    <w:basedOn w:val="CommentText"/>
    <w:next w:val="CommentText"/>
    <w:link w:val="CommentSubjectChar"/>
    <w:uiPriority w:val="99"/>
    <w:semiHidden/>
    <w:unhideWhenUsed/>
    <w:rsid w:val="00150086"/>
    <w:rPr>
      <w:b/>
      <w:bCs/>
    </w:rPr>
  </w:style>
  <w:style w:type="character" w:customStyle="1" w:styleId="CommentSubjectChar">
    <w:name w:val="Comment Subject Char"/>
    <w:basedOn w:val="CommentTextChar"/>
    <w:link w:val="CommentSubject"/>
    <w:uiPriority w:val="99"/>
    <w:semiHidden/>
    <w:rsid w:val="00150086"/>
    <w:rPr>
      <w:rFonts w:ascii="Calibri" w:hAnsi="Calibri"/>
      <w:b/>
      <w:bCs/>
      <w:color w:val="000000"/>
      <w:sz w:val="20"/>
      <w:szCs w:val="20"/>
    </w:rPr>
  </w:style>
  <w:style w:type="character" w:styleId="Hyperlink">
    <w:name w:val="Hyperlink"/>
    <w:basedOn w:val="DefaultParagraphFont"/>
    <w:uiPriority w:val="99"/>
    <w:unhideWhenUsed/>
    <w:rsid w:val="002B54DD"/>
    <w:rPr>
      <w:color w:val="0000FF" w:themeColor="hyperlink"/>
      <w:u w:val="single"/>
    </w:rPr>
  </w:style>
  <w:style w:type="character" w:styleId="UnresolvedMention">
    <w:name w:val="Unresolved Mention"/>
    <w:basedOn w:val="DefaultParagraphFont"/>
    <w:uiPriority w:val="99"/>
    <w:semiHidden/>
    <w:unhideWhenUsed/>
    <w:rsid w:val="002B54D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comments.xml.rels><?xml version='1.0' encoding='UTF-8' standalone='yes'?>
<Relationships xmlns="http://schemas.openxmlformats.org/package/2006/relationships"><Relationship Id="rId1" Type="http://schemas.openxmlformats.org/officeDocument/2006/relationships/hyperlink" Target="https://hsears.polyu.edu.hk/login"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doi.org/10.1518/001872007X249910"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i.org/10.32872/spb.v14i3.30091" TargetMode="External"/><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oter" Target="footer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doi.org/10.1016/j.chb.2025.10859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TotalTime>
  <Pages>3</Pages>
  <Words>1304</Words>
  <Characters>7433</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Avatar Gaze and Perceived Evaluation in VR</vt:lpstr>
    </vt:vector>
  </TitlesOfParts>
  <Manager/>
  <Company/>
  <LinksUpToDate>false</LinksUpToDate>
  <CharactersWithSpaces>8720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Avatar Attentional Contingency Pilot in VR</dc:title>
  <dc:subject>Revised pilot plan responding to Richard's comments</dc:subject>
  <dc:creator>Mingyuan Zhu</dc:creator>
  <cp:keywords/>
  <dc:description>Original feedback retained; disposition register included.</dc:description>
  <cp:lastModifiedBy>LI, Richard Chen [APSS]</cp:lastModifiedBy>
  <cp:revision>8</cp:revision>
  <dcterms:created xsi:type="dcterms:W3CDTF">2013-12-23T23:15:00Z</dcterms:created>
  <dcterms:modified xsi:type="dcterms:W3CDTF">2026-10-26T03:40:00Z</dcterms:modified>
  <cp:category/>
</cp:coreProperties>
</file>