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Avatar Gaze and Perceived Evaluation in VR</w:t>
      </w:r>
    </w:p>
    <w:p>
      <w:pPr>
        <w:pStyle w:val="Subtitle"/>
      </w:pPr>
      <w:r>
        <w:t>Proposed demo and pilot plan for Richard Li</w:t>
      </w:r>
    </w:p>
    <w:p>
      <w:r>
        <w:t>Mingyuan Zhu  |  25 October 2026  |  Version 0.1</w:t>
      </w:r>
    </w:p>
    <w:p>
      <w:r>
        <w:t>I propose a small VR demo to examine whether different observer gaze patterns change the feeling of being evaluated during a Stroop task. This plan sets out the initial implementation and the questions I would like to resolve before a participant study. The trial counts, timing and questionnaire below are prototype settings, not a validated or powered protocol.</w:t>
      </w:r>
    </w:p>
    <w:p>
      <w:pPr>
        <w:pStyle w:val="Heading1"/>
      </w:pPr>
      <w:r>
        <w:t>1  Research question and scope</w:t>
      </w:r>
    </w:p>
    <w:p>
      <w:r>
        <w:t>Does perceived evaluation differ when a virtual observer looks continuously at the participant, alternates between the participant and the task, or looks continuously at the task? The main comparison is the subjective response across these three conditions; task performance and eye movements provide supporting, exploratory measures.</w:t>
      </w:r>
    </w:p>
    <w:p>
      <w:r>
        <w:t>The demo does not include an observer-absent baseline, so it cannot establish social facilitation or inhibition relative to being alone. Stroop is used as a shared task context, not assumed to be a “simple task”. A later study of task difficulty would need a separate, piloted manipulation [1, 2].</w:t>
      </w:r>
    </w:p>
    <w:p>
      <w:pPr>
        <w:pStyle w:val="Heading1"/>
      </w:pPr>
      <w:r>
        <w:t>2  Gaze conditions</w:t>
      </w:r>
    </w:p>
    <w:tbl>
      <w:tblPr>
        <w:tblW w:type="auto" w:w="0"/>
        <w:jc w:val="center"/>
        <w:tblLayout w:type="fixed"/>
        <w:tblLook w:firstColumn="1" w:firstRow="1" w:lastColumn="0" w:lastRow="0" w:noHBand="0" w:noVBand="1" w:val="04A0"/>
      </w:tblPr>
      <w:tblGrid>
        <w:gridCol w:w="2232"/>
        <w:gridCol w:w="7848"/>
      </w:tblGrid>
      <w:tr>
        <w:trPr>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40" w:line="240" w:lineRule="auto"/>
            </w:pPr>
            <w:r>
              <w:rPr>
                <w:b/>
              </w:rPr>
              <w:t>Condition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40" w:line="240" w:lineRule="auto"/>
            </w:pPr>
            <w:r>
              <w:rPr>
                <w:b/>
              </w:rPr>
              <w:t>Observer behaviour</w:t>
            </w:r>
          </w:p>
        </w:tc>
      </w:tr>
      <w:t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A  Participant gaze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Looks continuously towards the participant’s eye position.</w:t>
            </w:r>
          </w:p>
        </w:tc>
      </w:tr>
      <w:t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B  Alternating gaze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Starts at the task, then alternates between 1 second at the task and 1 second at the participant. Timing remains adjustable.</w:t>
            </w:r>
          </w:p>
        </w:tc>
      </w:tr>
      <w:t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C  Task gaze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Looks continuously towards the task panel, without looking at the participant.</w:t>
            </w:r>
          </w:p>
        </w:tc>
      </w:tr>
    </w:tbl>
    <w:p>
      <w:pPr>
        <w:spacing w:before="100"/>
      </w:pPr>
      <w:r>
        <w:t>The observer is computer-controlled (an agent), although ‘avatar’ is retained in the draft rating. It follows a preset schedule, not the participant’s return gaze, responses or accuracy. Its clock continues across trials without resetting. In this draft, the head turns with the eyes. This broadens the earlier eye-focused idea: any effect would concern combined head and eye orientation, not eye movement alone.</w:t>
      </w:r>
    </w:p>
    <w:p>
      <w:r>
        <w:t>The participant and observer are seated, with the observer beside the task panel. Use the same appearance and scene in all conditions. I propose keeping body posture and other expressive behaviour constant, with no speech, gestures or performance-related reactions. Distance, height and rotation limits require in-headset checks.</w:t>
      </w:r>
    </w:p>
    <w:p>
      <w:pPr>
        <w:pStyle w:val="Heading1"/>
      </w:pPr>
      <w:r>
        <w:t>3  Task and input</w:t>
      </w:r>
    </w:p>
    <w:p>
      <w:r>
        <w:t>Present one of RED, GREEN, BLUE and YELLOW in a coloured font. The participant selects the font colour using controller buttons, ignoring the word meaning. Each response advances immediately to the next trial; a held or repeated input must not answer multiple trials. Controller mapping is still to be confirmed. Main blocks show no trial-level accuracy or score feedback.</w:t>
      </w:r>
    </w:p>
    <w:p>
      <w:r>
        <w:br w:type="page"/>
      </w:r>
    </w:p>
    <w:p>
      <w:pPr>
        <w:pStyle w:val="Heading1"/>
      </w:pPr>
      <w:r>
        <w:t>4  Proposed session flow</w:t>
      </w:r>
    </w:p>
    <w:tbl>
      <w:tblPr>
        <w:tblW w:type="auto" w:w="0"/>
        <w:jc w:val="center"/>
        <w:tblLayout w:type="fixed"/>
        <w:tblLook w:firstColumn="1" w:firstRow="1" w:lastColumn="0" w:lastRow="0" w:noHBand="0" w:noVBand="1" w:val="04A0"/>
      </w:tblPr>
      <w:tblGrid>
        <w:gridCol w:w="1944"/>
        <w:gridCol w:w="8136"/>
      </w:tblGrid>
      <w:tr>
        <w:trPr>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40" w:line="240" w:lineRule="auto"/>
            </w:pPr>
            <w:r>
              <w:rPr>
                <w:b/>
              </w:rPr>
              <w:t>Stage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40" w:line="240" w:lineRule="auto"/>
            </w:pPr>
            <w:r>
              <w:rPr>
                <w:b/>
              </w:rPr>
              <w:t>Procedure</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Setup</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Explain the task, check comfort and input mapping, and calibrate and verify eye tracking before recording usable gaze data.</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Practice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8 trials: 4 congruent and 4 incongruent, with no observer visible. On an error, show the correct colour and wait for a continue input. Allow practice to repeat; log it separately.</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Three main blocks</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The same participant experiences A, B and C. Each block has 20 trials: 10 congruent and 10 incongruent in shuffled order, for 60 main trials. Block order is configurable.</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After each block</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Collect the five-point perceived-evaluation rating below. Any break and restart procedure should be standardised before piloting.</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End</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t>Check comfort and invite brief feedback on whether the observer’s gaze was visible and understandable.</w:t>
            </w:r>
          </w:p>
        </w:tc>
      </w:tr>
    </w:tbl>
    <w:p>
      <w:pPr>
        <w:spacing w:before="100"/>
      </w:pPr>
      <w:r>
        <w:t>For a participant pilot, I propose distributing the six possible block orders as evenly as feasible rather than using one order for everyone. Fixed trial counts produce unequal block durations and gaze exposure across people; record actual time in each gaze state. Balance colour frequencies and avoid repeating one identical trial sequence across blocks where feasible.</w:t>
      </w:r>
    </w:p>
    <w:p>
      <w:pPr>
        <w:pStyle w:val="Heading1"/>
      </w:pPr>
      <w:r>
        <w:t>5  Measures and records</w:t>
      </w:r>
    </w:p>
    <w:p>
      <w:r>
        <w:t>Primary prototype measure: after each block, rate “During the task, I felt that the avatar was evaluating my performance.” Use 1 = strongly disagree, 2 = disagree, 3 = neither agree nor disagree, 4 = agree and 5 = strongly agree. This is a provisional, self-authored item, not a validated scale. Wording, language and measurement validity need review; repeating the question may reveal the study focus and influence later blocks.</w:t>
      </w:r>
    </w:p>
    <w:p>
      <w:pPr>
        <w:pStyle w:val="ListBullet"/>
        <w:spacing w:after="80"/>
      </w:pPr>
      <w:r>
        <w:t>Task data: block condition and order, word, font colour, congruency, selected response, correctness, stimulus onset, response time and block duration. Practice and main data remain separate.</w:t>
      </w:r>
    </w:p>
    <w:p>
      <w:pPr>
        <w:pStyle w:val="ListBullet"/>
        <w:spacing w:after="80"/>
      </w:pPr>
      <w:r>
        <w:t>Eye data: timestamped gaze direction, validity status and assigned area of interest. Distinguish the eye region, the rest of the face, task panel and other locations where tracking accuracy allows. Treat invalid or missing samples separately, never as “not looking”.</w:t>
      </w:r>
    </w:p>
    <w:p>
      <w:pPr>
        <w:pStyle w:val="ListBullet"/>
        <w:spacing w:after="80"/>
      </w:pPr>
      <w:r>
        <w:t>Observer and system data: target, head and eye orientation, transitions, configuration version and trial events on a common time base. Record the actual displayed state, not only the intended schedule.</w:t>
      </w:r>
    </w:p>
    <w:p>
      <w:r>
        <w:t>Looking at a face is not equivalent to looking at the eyes, mutual gaze or perceived evaluation. Any mutual-gaze measure needs an explicit spatial and temporal definition and successful calibration. No physiological or psychological conclusion will be inferred from gaze alone.</w:t>
      </w:r>
    </w:p>
    <w:p>
      <w:pPr>
        <w:pStyle w:val="Heading1"/>
      </w:pPr>
      <w:r>
        <w:t>6  Technical approach</w:t>
      </w:r>
    </w:p>
    <w:p>
      <w:r>
        <w:t>Plan around a Windows PC and HTC VIVE Pro Eye, subject to confirming the actual headset, controller, software compatibility and video connection. Desktop tests can check trial flow, animation and logging first; simulated inputs must be labelled and kept separate from real eye-tracking data. Hardware calibration and timing validation remain necessary. Li et al. [3] provides a relevant Pro Eye implementation precedent, not confirmation of the current equipment or software stack.</w:t>
      </w:r>
    </w:p>
    <w:p>
      <w:r>
        <w:br w:type="page"/>
      </w:r>
    </w:p>
    <w:p>
      <w:pPr>
        <w:pStyle w:val="Heading1"/>
      </w:pPr>
      <w:r>
        <w:t>7  Pilot evaluation and interpretation</w:t>
      </w:r>
    </w:p>
    <w:p>
      <w:r>
        <w:t>First, check that the three behaviours are visually distinguishable, the observer’s eyes are readable, the head movement is comfortable, button mapping is usable and logged events match the display. The 1-second dwell settings need testing: transitions may consume a substantial part of each cycle. Define whether dwell time starts after arrival at the target and log transition time separately.</w:t>
      </w:r>
    </w:p>
    <w:p>
      <w:r>
        <w:t>After supervisor review, a small usability and manipulation pilot could include participants outside the immediate project team. Inspect individual condition ratings, gaze-data coverage, condition exposure and task completion, alongside feedback about the scene. Plot within-person rating differences and report uncertainty rather than treating a small pilot as a confirmatory test. Accuracy and correct-response latency can be explored by congruency, with exclusions and aggregation rules specified beforehand.</w:t>
      </w:r>
    </w:p>
    <w:p>
      <w:r>
        <w:t>If perceived evaluation does not differ, inspect the manipulation, visibility and measurement before concluding that virtual observers have no effect. A full study would require a justified sample size, recruitment criteria, order-control plan and prespecified analysis. No sample size or directional ranking of the three conditions is fixed in this draft.</w:t>
      </w:r>
    </w:p>
    <w:p>
      <w:pPr>
        <w:pStyle w:val="Heading1"/>
      </w:pPr>
      <w:r>
        <w:t>8  Points for discussion with Richard</w:t>
      </w:r>
    </w:p>
    <w:p>
      <w:pPr>
        <w:pStyle w:val="ListBullet"/>
        <w:spacing w:after="80"/>
      </w:pPr>
      <w:r>
        <w:t>Should the first version use combined head and eye movements, or return to an eye-only manipulation closer to the initial discussion?</w:t>
      </w:r>
    </w:p>
    <w:p>
      <w:pPr>
        <w:pStyle w:val="ListBullet"/>
        <w:spacing w:after="80"/>
      </w:pPr>
      <w:r>
        <w:t>Is the 1-second alternating schedule a reasonable starting point to pilot, and are 20 trials per condition sufficient to experience it? These values can change before formal data collection.</w:t>
      </w:r>
    </w:p>
    <w:p>
      <w:pPr>
        <w:pStyle w:val="ListBullet"/>
        <w:spacing w:after="80"/>
      </w:pPr>
      <w:r>
        <w:t>Which measure best captures perceived evaluation? Should ratings follow each block, or should the procedure change to reduce demand and carryover effects?</w:t>
      </w:r>
    </w:p>
    <w:p>
      <w:pPr>
        <w:pStyle w:val="ListBullet"/>
        <w:spacing w:after="80"/>
      </w:pPr>
      <w:r>
        <w:t>Is a three-condition within-participant pilot appropriate before a broader between-group or mixed design? The task-focused observer is not a no-observer control.</w:t>
      </w:r>
    </w:p>
    <w:p>
      <w:pPr>
        <w:pStyle w:val="ListBullet"/>
        <w:spacing w:after="80"/>
      </w:pPr>
      <w:r>
        <w:t>Which headset, controllers and software stack are available, and what approvals, participant criteria and data-management requirements apply before recruitment?</w:t>
      </w:r>
    </w:p>
    <w:p>
      <w:pPr>
        <w:pStyle w:val="Heading1"/>
      </w:pPr>
      <w:r>
        <w:t>9  Data handling and study readiness</w:t>
      </w:r>
    </w:p>
    <w:p>
      <w:r>
        <w:t>I propose anonymous session IDs and local structured exports, with raw gaze and event data separated from summaries. Storage location, access, retention and deletion rules still need agreement. Define pause, withdrawal, calibration failure and interrupted-trial handling before participant testing. Obtain informed consent and follow the applicable ethics process before collecting research data; this document does not assume approval or recruitment has occurred.</w:t>
      </w:r>
    </w:p>
    <w:p>
      <w:pPr>
        <w:pStyle w:val="Heading1"/>
      </w:pPr>
      <w:r>
        <w:t>References</w:t>
      </w:r>
    </w:p>
    <w:p>
      <w:pPr>
        <w:spacing w:after="80"/>
      </w:pPr>
      <w:r>
        <w:rPr>
          <w:sz w:val="18"/>
        </w:rPr>
        <w:t>1. Sterna, R., Strojny, P., &amp; Rębilas, K. (2019). Can Virtual Observers Affect Our Behavior? Social Facilitation in Virtual Environments: A Mini-Review. Social Psychological Bulletin, 14(3), e30091.</w:t>
      </w:r>
      <w:hyperlink r:id="rId9">
        <w:r>
          <w:rPr>
            <w:color w:val="0563C1"/>
            <w:sz w:val="18"/>
          </w:rPr>
          <w:t xml:space="preserve"> DOI</w:t>
        </w:r>
      </w:hyperlink>
    </w:p>
    <w:p>
      <w:pPr>
        <w:spacing w:after="80"/>
      </w:pPr>
      <w:r>
        <w:rPr>
          <w:sz w:val="18"/>
        </w:rPr>
        <w:t>2. Park, S., &amp; Catrambone, R. (2007). Social Facilitation Effects of Virtual Humans. Human Factors, 49(6), 1054–1060.</w:t>
      </w:r>
      <w:hyperlink r:id="rId10">
        <w:r>
          <w:rPr>
            <w:color w:val="0563C1"/>
            <w:sz w:val="18"/>
          </w:rPr>
          <w:t xml:space="preserve"> DOI</w:t>
        </w:r>
      </w:hyperlink>
    </w:p>
    <w:p>
      <w:pPr>
        <w:spacing w:after="80"/>
      </w:pPr>
      <w:r>
        <w:rPr>
          <w:sz w:val="18"/>
        </w:rPr>
        <w:t>3. Li, C., et al. (2025). Avatar-mediated communication in collaborative virtual environments: A study on users’ attention allocation and perception of social interactions. Computers in Human Behavior, 167, 108598.</w:t>
      </w:r>
      <w:hyperlink r:id="rId11">
        <w:r>
          <w:rPr>
            <w:color w:val="0563C1"/>
            <w:sz w:val="18"/>
          </w:rPr>
          <w:t xml:space="preserve"> DOI</w:t>
        </w:r>
      </w:hyperlink>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2872/spb.v14i3.30091" TargetMode="External"/><Relationship Id="rId10" Type="http://schemas.openxmlformats.org/officeDocument/2006/relationships/hyperlink" Target="https://doi.org/10.1518/001872007X249910" TargetMode="External"/><Relationship Id="rId11" Type="http://schemas.openxmlformats.org/officeDocument/2006/relationships/hyperlink" Target="https://doi.org/10.1016/j.chb.2025.108598"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Gaze and Perceived Evaluation in VR</dc:title>
  <dc:subject>Proposed demo and pilot plan for supervisor review</dc:subject>
  <dc:creator>Mingyuan Zhu</dc:creator>
  <cp:keywords/>
  <dc:description>generated by python-docx</dc:description>
  <cp:lastModifiedBy/>
  <cp:revision>1</cp:revision>
  <dcterms:created xsi:type="dcterms:W3CDTF">2013-12-23T23:15:00Z</dcterms:created>
  <dcterms:modified xsi:type="dcterms:W3CDTF">2013-12-23T23:15:00Z</dcterms:modified>
  <cp:category/>
</cp:coreProperties>
</file>