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2481257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4"/>
        </w:rPr>
      </w:sdtEndPr>
      <w:sdtContent>
        <w:p w14:paraId="25A4F936" w14:textId="7880F7E8" w:rsidR="0034334D" w:rsidRDefault="0034334D" w:rsidP="00EA22A2">
          <w:pPr>
            <w:pStyle w:val="NoSpacing"/>
            <w:jc w:val="both"/>
            <w:rPr>
              <w:sz w:val="2"/>
            </w:rPr>
          </w:pPr>
        </w:p>
        <w:p w14:paraId="44F94E2E" w14:textId="77777777" w:rsidR="0034334D" w:rsidRDefault="0034334D" w:rsidP="00EA22A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391214" wp14:editId="47775B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5730BE4" w14:textId="71E9DB9A" w:rsidR="0034334D" w:rsidRDefault="00AD7D5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2 – SARS-Mice</w:t>
                                    </w:r>
                                  </w:p>
                                </w:sdtContent>
                              </w:sdt>
                              <w:p w14:paraId="0C96FA9C" w14:textId="6573EA2B" w:rsidR="00417555" w:rsidRDefault="0034334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490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Discussion part</w:t>
                                    </w:r>
                                  </w:sdtContent>
                                </w:sdt>
                                <w:r w:rsidR="0041755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52B6FCEC" w14:textId="77777777" w:rsidR="00417555" w:rsidRDefault="0041755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E266CBE" w14:textId="6D42CEB5" w:rsidR="0034334D" w:rsidRPr="00417555" w:rsidRDefault="00417555" w:rsidP="0041755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1755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HUYNH Minh-Anh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B3912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5730BE4" w14:textId="71E9DB9A" w:rsidR="0034334D" w:rsidRDefault="00AD7D5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2 – SARS-Mice</w:t>
                              </w:r>
                            </w:p>
                          </w:sdtContent>
                        </w:sdt>
                        <w:p w14:paraId="0C96FA9C" w14:textId="6573EA2B" w:rsidR="00417555" w:rsidRDefault="0034334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7490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Discussion part</w:t>
                              </w:r>
                            </w:sdtContent>
                          </w:sdt>
                          <w:r w:rsidR="0041755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52B6FCEC" w14:textId="77777777" w:rsidR="00417555" w:rsidRDefault="0041755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7E266CBE" w14:textId="6D42CEB5" w:rsidR="0034334D" w:rsidRPr="00417555" w:rsidRDefault="00417555" w:rsidP="0041755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1755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HUYNH Minh-Anh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8F12230" wp14:editId="65B973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CBB92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970DA3" wp14:editId="3BF2E7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28CDA6" w14:textId="11AB08A1" w:rsidR="0034334D" w:rsidRDefault="0034334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5FB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Sorbonne Université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E661998" w14:textId="5FB7D2C0" w:rsidR="0034334D" w:rsidRDefault="0041755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1755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UE 5BM578 “Workshop in immunological data analysis”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970DA3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28CDA6" w14:textId="11AB08A1" w:rsidR="0034334D" w:rsidRDefault="0034334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5FB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Sorbonne Université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E661998" w14:textId="5FB7D2C0" w:rsidR="0034334D" w:rsidRDefault="0041755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1755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UE 5BM578 “Workshop in immunological data analysis”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99F856E" w14:textId="261C2B10" w:rsidR="0034334D" w:rsidRDefault="00876814" w:rsidP="00EA22A2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25037D0" wp14:editId="7F2736F5">
                <wp:simplePos x="0" y="0"/>
                <wp:positionH relativeFrom="column">
                  <wp:posOffset>3187700</wp:posOffset>
                </wp:positionH>
                <wp:positionV relativeFrom="paragraph">
                  <wp:posOffset>6699250</wp:posOffset>
                </wp:positionV>
                <wp:extent cx="2644140" cy="1078230"/>
                <wp:effectExtent l="0" t="0" r="0" b="7620"/>
                <wp:wrapTight wrapText="bothSides">
                  <wp:wrapPolygon edited="0">
                    <wp:start x="2334" y="0"/>
                    <wp:lineTo x="1401" y="1908"/>
                    <wp:lineTo x="622" y="4580"/>
                    <wp:lineTo x="622" y="8777"/>
                    <wp:lineTo x="1089" y="11449"/>
                    <wp:lineTo x="2490" y="12975"/>
                    <wp:lineTo x="934" y="16410"/>
                    <wp:lineTo x="622" y="17555"/>
                    <wp:lineTo x="934" y="19081"/>
                    <wp:lineTo x="2023" y="20608"/>
                    <wp:lineTo x="2179" y="21371"/>
                    <wp:lineTo x="4202" y="21371"/>
                    <wp:lineTo x="4357" y="20608"/>
                    <wp:lineTo x="5291" y="19081"/>
                    <wp:lineTo x="11827" y="19081"/>
                    <wp:lineTo x="21009" y="15647"/>
                    <wp:lineTo x="21009" y="11449"/>
                    <wp:lineTo x="20697" y="7633"/>
                    <wp:lineTo x="21320" y="6488"/>
                    <wp:lineTo x="20542" y="5724"/>
                    <wp:lineTo x="4046" y="0"/>
                    <wp:lineTo x="2334" y="0"/>
                  </wp:wrapPolygon>
                </wp:wrapTight>
                <wp:docPr id="5" name="Picture 5" descr="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414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334D">
            <w:br w:type="page"/>
          </w:r>
        </w:p>
      </w:sdtContent>
    </w:sdt>
    <w:p w14:paraId="0994C116" w14:textId="4105F40B" w:rsidR="002D13AF" w:rsidRDefault="0034334D" w:rsidP="00EA22A2">
      <w:pPr>
        <w:pStyle w:val="Heading1"/>
        <w:jc w:val="both"/>
      </w:pPr>
      <w:r>
        <w:lastRenderedPageBreak/>
        <w:t>Discussion</w:t>
      </w:r>
    </w:p>
    <w:p w14:paraId="1C700E7C" w14:textId="11E85F46" w:rsidR="0034334D" w:rsidRDefault="0034334D" w:rsidP="00EA22A2">
      <w:pPr>
        <w:jc w:val="both"/>
      </w:pPr>
    </w:p>
    <w:p w14:paraId="6013CD68" w14:textId="301113D4" w:rsidR="009F1BCB" w:rsidRDefault="009F1BCB" w:rsidP="00EA22A2">
      <w:pPr>
        <w:jc w:val="both"/>
      </w:pPr>
      <w:r w:rsidRPr="0034334D">
        <w:t>Overall,</w:t>
      </w:r>
      <w:r w:rsidR="0034334D" w:rsidRPr="0034334D">
        <w:t xml:space="preserve"> the analyses can be split into two themes, an analysis from the perspective of all strains and an analysis from the perspective of time points</w:t>
      </w:r>
      <w:r w:rsidR="00F152B8">
        <w:t xml:space="preserve">. </w:t>
      </w:r>
      <w:r>
        <w:t>Analysis of all strains reveals that only the SARS-WT strains have a similar gene expression phenotype, and that the other four conditions (SARS-icSARS, SARS-WT, SARS-BatSRBD, mock) possess a similar expression phenotype, through the analysis obtained from the heatmap and the MDS representation.</w:t>
      </w:r>
    </w:p>
    <w:p w14:paraId="62A37844" w14:textId="2E6B01FA" w:rsidR="00C21A9E" w:rsidRDefault="00C21A9E" w:rsidP="00EA22A2">
      <w:pPr>
        <w:jc w:val="both"/>
      </w:pPr>
      <w:r>
        <w:t xml:space="preserve">These results seem surprising since one </w:t>
      </w:r>
      <w:r w:rsidR="00F7490A">
        <w:t xml:space="preserve">could possibly </w:t>
      </w:r>
      <w:r>
        <w:t>expect the icSARS-CoV and Bat-SRBD strains to have a similar phenotype to</w:t>
      </w:r>
      <w:r w:rsidR="00DE6758">
        <w:t xml:space="preserve"> SARS-WT</w:t>
      </w:r>
      <w:r>
        <w:t xml:space="preserve">. The </w:t>
      </w:r>
      <w:r w:rsidR="00F7490A">
        <w:t xml:space="preserve">current </w:t>
      </w:r>
      <w:r>
        <w:t xml:space="preserve">Bat-SRBD strain could be explained by the fact that the researchers wanted to modify the spike protein of interest to </w:t>
      </w:r>
      <w:r w:rsidR="00D62F36">
        <w:t xml:space="preserve">perhaps </w:t>
      </w:r>
      <w:r>
        <w:t>make the strain non-pathogenic (approaching a mock phenotype).</w:t>
      </w:r>
      <w:r w:rsidR="00F7490A">
        <w:t xml:space="preserve"> </w:t>
      </w:r>
      <w:r>
        <w:t>The icSARS-CoV strain is, by definition, a modified clone of the SARS-WT strain, which would also have lost its pathogenicity</w:t>
      </w:r>
      <w:r w:rsidR="00D34315">
        <w:t>, even though we do not know why</w:t>
      </w:r>
      <w:r w:rsidR="00447601">
        <w:t xml:space="preserve"> due to a lack of context</w:t>
      </w:r>
      <w:r w:rsidR="00D34315">
        <w:t xml:space="preserve">, </w:t>
      </w:r>
      <w:r>
        <w:t>since it approaches the mock phenotype.</w:t>
      </w:r>
      <w:r w:rsidR="00EF0663">
        <w:t xml:space="preserve"> </w:t>
      </w:r>
      <w:r>
        <w:t xml:space="preserve">The analyses should therefore not only identify the differences between the major </w:t>
      </w:r>
      <w:r w:rsidR="00E84824">
        <w:t>groups but</w:t>
      </w:r>
      <w:r>
        <w:t xml:space="preserve"> </w:t>
      </w:r>
      <w:r w:rsidR="00470AF2">
        <w:t xml:space="preserve">could </w:t>
      </w:r>
      <w:r>
        <w:t>also potentially identify the reasons why both the SARS-BatSRBD and SARS-icSARS strains were able to achieve a mock phenotype.</w:t>
      </w:r>
    </w:p>
    <w:p w14:paraId="309982EB" w14:textId="16ED5FE9" w:rsidR="00CF2C58" w:rsidRDefault="00A9257F" w:rsidP="00EA22A2">
      <w:pPr>
        <w:jc w:val="both"/>
      </w:pPr>
      <w:r>
        <w:t>A limitation of the large-scale transcriptomic analyses we performed is the lack of possibility to see in detail the differences associated with each of these strains</w:t>
      </w:r>
      <w:r w:rsidR="00773353">
        <w:t>.</w:t>
      </w:r>
      <w:r w:rsidR="00CF2C58">
        <w:t xml:space="preserve"> Indeed,</w:t>
      </w:r>
      <w:r w:rsidR="004407B2">
        <w:t xml:space="preserve"> </w:t>
      </w:r>
      <w:r w:rsidR="00EF0663">
        <w:t xml:space="preserve">subtle gene expression relating to specific pathways would be lost when compared to </w:t>
      </w:r>
      <w:r w:rsidR="000A0AEE">
        <w:t>huge pathways having more data and thus being more easily identifiable as more genes are co-expressed</w:t>
      </w:r>
      <w:r w:rsidR="00EF0663">
        <w:t xml:space="preserve">. Moreover, </w:t>
      </w:r>
      <w:r w:rsidR="00B41880">
        <w:t xml:space="preserve">gene co-expression does not </w:t>
      </w:r>
      <w:r w:rsidR="004C555C">
        <w:t>necessarily correlate with</w:t>
      </w:r>
      <w:r w:rsidR="00D5649F">
        <w:t xml:space="preserve"> </w:t>
      </w:r>
      <w:r w:rsidR="00D5649F" w:rsidRPr="00D5649F">
        <w:t xml:space="preserve">significant </w:t>
      </w:r>
      <w:r w:rsidR="00B41880">
        <w:t>functional associations</w:t>
      </w:r>
      <w:r w:rsidR="00D5649F" w:rsidRPr="00D5649F">
        <w:t xml:space="preserve">, </w:t>
      </w:r>
      <w:r w:rsidR="00B41880">
        <w:t xml:space="preserve">as </w:t>
      </w:r>
      <w:r w:rsidR="00D5649F" w:rsidRPr="00D5649F">
        <w:t>many genes in the same pathway do not have similar transcript profiles</w:t>
      </w:r>
      <w:r w:rsidR="00B41880">
        <w:t xml:space="preserve">. Novel functional associations are thus harder to </w:t>
      </w:r>
      <w:r w:rsidR="00714EC8">
        <w:t>discover</w:t>
      </w:r>
      <w:r w:rsidR="00D22702" w:rsidRPr="00D22702">
        <w:t xml:space="preserve"> </w:t>
      </w:r>
      <w:sdt>
        <w:sdtPr>
          <w:alias w:val="SmartCite Citation"/>
          <w:tag w:val="a1b05278-13a0-4535-8793-f1e6678f30ec:92fc7ee1-7518-4265-aa03-1391b8f1ff3d+"/>
          <w:id w:val="736829525"/>
          <w:placeholder>
            <w:docPart w:val="15700AE0EFD84C23927AA8CAB116C940"/>
          </w:placeholder>
        </w:sdtPr>
        <w:sdtContent>
          <w:r w:rsidR="002655D2" w:rsidRPr="002655D2">
            <w:rPr>
              <w:rFonts w:eastAsia="Times New Roman" w:cs="Times New Roman"/>
              <w:color w:val="000000"/>
            </w:rPr>
            <w:t>(Uygun et al., 2016)</w:t>
          </w:r>
        </w:sdtContent>
      </w:sdt>
      <w:r w:rsidR="00D22702">
        <w:t>.</w:t>
      </w:r>
      <w:r w:rsidR="00714EC8">
        <w:t xml:space="preserve"> </w:t>
      </w:r>
      <w:r w:rsidR="004407B2">
        <w:t xml:space="preserve">Therefore, </w:t>
      </w:r>
      <w:r w:rsidR="004407B2" w:rsidRPr="004407B2">
        <w:t>it is important to explore rather exhaustively multiple dataset combinations, similarity measures, clustering algorithms and parameters</w:t>
      </w:r>
      <w:r w:rsidR="00714EC8">
        <w:t>, and thus validate our own results with additional analysis.</w:t>
      </w:r>
    </w:p>
    <w:p w14:paraId="2949939B" w14:textId="0C287808" w:rsidR="002326F6" w:rsidRDefault="00E56EE2" w:rsidP="00EA22A2">
      <w:pPr>
        <w:jc w:val="both"/>
      </w:pPr>
      <w:r>
        <w:t xml:space="preserve">Notably, the over-expressed genes highlighted in the volcano plot </w:t>
      </w:r>
      <w:r w:rsidRPr="007142D1">
        <w:rPr>
          <w:b/>
          <w:bCs/>
        </w:rPr>
        <w:t>(Figure 2)</w:t>
      </w:r>
      <w:r>
        <w:t xml:space="preserve"> could signal over-expressed metabolic pathways that could be identified on Reactome in further precise analysis, and thus be able to </w:t>
      </w:r>
      <w:r w:rsidR="00D92B9E">
        <w:t>have another observation perspective in</w:t>
      </w:r>
      <w:r>
        <w:t xml:space="preserve"> which metabolic pathways were </w:t>
      </w:r>
      <w:r w:rsidR="00722935">
        <w:t>left untouched</w:t>
      </w:r>
      <w:r>
        <w:t xml:space="preserve"> for the non SARS-WT condition and see in which way they differ. Indeed, we can see that even though both SARS-BatSRBD and SARS-icSARS are similar to mock in gene expression, hierarchical clustering by the dendrogram of the heatmap </w:t>
      </w:r>
      <w:r w:rsidRPr="00C828C8">
        <w:rPr>
          <w:b/>
          <w:bCs/>
        </w:rPr>
        <w:t>(Figure 4)</w:t>
      </w:r>
      <w:r>
        <w:t xml:space="preserve"> could still group SARS-icSARS together, suggesting that this group </w:t>
      </w:r>
      <w:r w:rsidR="00D92B9E">
        <w:t xml:space="preserve">slightly </w:t>
      </w:r>
      <w:r>
        <w:t xml:space="preserve">differs from SARS-BatSRBD even in a minor way. </w:t>
      </w:r>
      <w:r w:rsidR="00D92B9E">
        <w:t>The present analysis has identified that only</w:t>
      </w:r>
      <w:r w:rsidR="00D92B9E">
        <w:t xml:space="preserve"> CXCL</w:t>
      </w:r>
      <w:r w:rsidR="00165BFC">
        <w:t>9 and CXCL10 were differentially expressed</w:t>
      </w:r>
      <w:r w:rsidR="0041218F">
        <w:t xml:space="preserve"> </w:t>
      </w:r>
      <w:r w:rsidR="00165BFC">
        <w:t>SARS-icSARS mice</w:t>
      </w:r>
      <w:r w:rsidR="0041218F">
        <w:t xml:space="preserve"> </w:t>
      </w:r>
      <w:r w:rsidR="0041218F">
        <w:rPr>
          <w:i/>
          <w:iCs/>
        </w:rPr>
        <w:t>versus</w:t>
      </w:r>
      <w:r w:rsidR="0041218F">
        <w:t xml:space="preserve"> mock condition</w:t>
      </w:r>
      <w:r w:rsidR="00165BFC">
        <w:t>.</w:t>
      </w:r>
      <w:r w:rsidR="002326F6">
        <w:t xml:space="preserve"> Those cytokines form the </w:t>
      </w:r>
      <w:r w:rsidR="0091335B" w:rsidRPr="0091335B">
        <w:t>CXCL9, -10, -11/CXCR3</w:t>
      </w:r>
      <w:r w:rsidR="0091335B">
        <w:t xml:space="preserve"> axis</w:t>
      </w:r>
      <w:r w:rsidR="002655D2">
        <w:t xml:space="preserve"> </w:t>
      </w:r>
      <w:sdt>
        <w:sdtPr>
          <w:alias w:val="SmartCite Citation"/>
          <w:tag w:val="a1b05278-13a0-4535-8793-f1e6678f30ec:d2d238c6-936c-4ca2-b58f-2615efed95b0+"/>
          <w:id w:val="-97801900"/>
          <w:placeholder>
            <w:docPart w:val="DefaultPlaceholder_-1854013440"/>
          </w:placeholder>
        </w:sdtPr>
        <w:sdtContent>
          <w:r w:rsidR="002655D2" w:rsidRPr="002655D2">
            <w:rPr>
              <w:rFonts w:eastAsia="Times New Roman" w:cs="Times New Roman"/>
              <w:color w:val="000000"/>
            </w:rPr>
            <w:t>(Tokunaga et al., 2018)</w:t>
          </w:r>
        </w:sdtContent>
      </w:sdt>
      <w:r w:rsidR="002655D2">
        <w:t xml:space="preserve"> which is known </w:t>
      </w:r>
      <w:r w:rsidR="00AE63E3">
        <w:t xml:space="preserve">to </w:t>
      </w:r>
      <w:r w:rsidR="00AE63E3" w:rsidRPr="00AE63E3">
        <w:t>regulate immune cell migration, differentiation, and activation</w:t>
      </w:r>
      <w:r w:rsidR="00AE63E3">
        <w:t xml:space="preserve">. </w:t>
      </w:r>
      <w:r w:rsidR="008C08F5">
        <w:t xml:space="preserve">Particularly, they induce Th1 polarization and </w:t>
      </w:r>
      <w:r w:rsidR="00320B8B">
        <w:t>activates the immune cells in response to IFN-</w:t>
      </w:r>
      <w:r w:rsidR="00E535C7" w:rsidRPr="00E535C7">
        <w:t>γ</w:t>
      </w:r>
      <w:r w:rsidR="00E535C7">
        <w:t>.</w:t>
      </w:r>
    </w:p>
    <w:p w14:paraId="5BC0ADA3" w14:textId="00A35C0B" w:rsidR="00E56EE2" w:rsidRDefault="00E56EE2" w:rsidP="00EA22A2">
      <w:pPr>
        <w:jc w:val="both"/>
      </w:pPr>
      <w:r>
        <w:t>Interestingly, SARS-BatSRBD and the mock group are not perfectly orderly clusterized, and thus we could hypothesize that SARS-BatSRBD is a strain most similar to the mock condition, and not having a significatively different impact from mock phenotype</w:t>
      </w:r>
      <w:r w:rsidR="0041218F">
        <w:t>, which is evidenced by the fact that no differential gene expression were found significant, compared to mock</w:t>
      </w:r>
      <w:r>
        <w:t>.</w:t>
      </w:r>
    </w:p>
    <w:p w14:paraId="2AF193D0" w14:textId="4DC21D83" w:rsidR="007142D1" w:rsidRDefault="00A9257F" w:rsidP="00EA22A2">
      <w:pPr>
        <w:jc w:val="both"/>
      </w:pPr>
      <w:r>
        <w:t xml:space="preserve">It would therefore be relevant to propose an additional analysis between </w:t>
      </w:r>
      <w:r w:rsidR="000506BB">
        <w:t>BatSRBD</w:t>
      </w:r>
      <w:r>
        <w:t>, icSARS, and mock in order to confirm or refute the similarity of expression phenotypes, starting with an MDS for example.</w:t>
      </w:r>
      <w:r w:rsidR="00E84824">
        <w:t xml:space="preserve"> </w:t>
      </w:r>
      <w:r>
        <w:t>Similarly, since the changes between strains may not be identical, the interactions between proteins may differ, and an analysis using a Strin</w:t>
      </w:r>
      <w:r w:rsidR="009C294C">
        <w:t>g</w:t>
      </w:r>
      <w:r>
        <w:t>DB approach could clarify the differences.</w:t>
      </w:r>
    </w:p>
    <w:p w14:paraId="12AD1D7A" w14:textId="1665BBBE" w:rsidR="00773353" w:rsidRDefault="006C1254" w:rsidP="00EA22A2">
      <w:pPr>
        <w:jc w:val="both"/>
        <w:divId w:val="1724330298"/>
      </w:pPr>
      <w:r>
        <w:t>Additionally</w:t>
      </w:r>
      <w:r w:rsidR="00E70543">
        <w:t>,</w:t>
      </w:r>
      <w:r w:rsidR="00B75F15">
        <w:t xml:space="preserve"> </w:t>
      </w:r>
      <w:r w:rsidR="00E70543">
        <w:t>the o</w:t>
      </w:r>
      <w:r w:rsidR="00F9007D">
        <w:t xml:space="preserve">utliers </w:t>
      </w:r>
      <w:r w:rsidR="00E70543">
        <w:t xml:space="preserve">identified </w:t>
      </w:r>
      <w:r w:rsidR="00F9007D">
        <w:t>are strangely identical to the cluster they relate to, suggesting that they are not a biological outlier but an experimental one, which possibly had a mislabeled group.</w:t>
      </w:r>
    </w:p>
    <w:p w14:paraId="7776031A" w14:textId="77777777" w:rsidR="00E70543" w:rsidRDefault="00E70543" w:rsidP="00EA22A2">
      <w:pPr>
        <w:jc w:val="both"/>
        <w:divId w:val="1724330298"/>
      </w:pPr>
    </w:p>
    <w:p w14:paraId="4BCB0C54" w14:textId="2283F7BF" w:rsidR="00EA22A2" w:rsidRDefault="006C1254" w:rsidP="00EA22A2">
      <w:pPr>
        <w:jc w:val="both"/>
        <w:divId w:val="1724330298"/>
      </w:pPr>
      <w:r>
        <w:t>Conc</w:t>
      </w:r>
      <w:r w:rsidR="005431CE">
        <w:t>erning the c</w:t>
      </w:r>
      <w:r w:rsidR="005431CE" w:rsidRPr="005431CE">
        <w:t>omparison of the response to SARS-WT strain at various time points</w:t>
      </w:r>
      <w:r w:rsidR="0000630C">
        <w:t xml:space="preserve">, data analysis suggests that overall, the </w:t>
      </w:r>
      <w:r w:rsidR="00295CEB">
        <w:t xml:space="preserve">response to SARS-WT infection is </w:t>
      </w:r>
      <w:r w:rsidR="008D49D9">
        <w:t xml:space="preserve">of </w:t>
      </w:r>
      <w:r w:rsidR="00295CEB">
        <w:t xml:space="preserve">a classic immune response consisting of NK cell </w:t>
      </w:r>
      <w:r w:rsidR="00EA22A2">
        <w:t xml:space="preserve">and T cell lymphocyte infiltration </w:t>
      </w:r>
      <w:r w:rsidR="00295CEB">
        <w:t>with chemotaxis markers</w:t>
      </w:r>
      <w:r w:rsidR="00C1119B">
        <w:t>, along with various pro-inflammatory cytokines</w:t>
      </w:r>
      <w:r w:rsidR="00326054">
        <w:t>, especially in early</w:t>
      </w:r>
      <w:r w:rsidR="000B69CC">
        <w:t xml:space="preserve"> (D1 and D2) condition</w:t>
      </w:r>
      <w:r w:rsidR="0072173E">
        <w:t xml:space="preserve"> involving Th1 cell</w:t>
      </w:r>
      <w:r w:rsidR="003A266A">
        <w:t xml:space="preserve"> and Th17 </w:t>
      </w:r>
      <w:r w:rsidR="00903E92">
        <w:t>polarization</w:t>
      </w:r>
      <w:r w:rsidR="003A266A">
        <w:t xml:space="preserve">, along with </w:t>
      </w:r>
      <w:r w:rsidR="00F64A96">
        <w:t>some Th2 polarization-associated cytokines</w:t>
      </w:r>
      <w:r w:rsidR="003F40A3">
        <w:t>. Those genes start to become less activated the longer the infection gone which seems to make sense.</w:t>
      </w:r>
    </w:p>
    <w:p w14:paraId="4F96B3C0" w14:textId="140D7D3A" w:rsidR="00670C9E" w:rsidRDefault="00670C9E" w:rsidP="00EA22A2">
      <w:pPr>
        <w:jc w:val="both"/>
        <w:divId w:val="1724330298"/>
      </w:pPr>
      <w:r>
        <w:t xml:space="preserve">Possible limitations of our current analysis involve the fact that </w:t>
      </w:r>
      <w:r w:rsidR="00D1331E">
        <w:t>we did not explore the obtained gene lists furthermore into specific pathway analysis which would have given additional perspective, and that we did not use StringDB</w:t>
      </w:r>
      <w:r w:rsidR="006056E9">
        <w:t>, thus some supplementary research still remain possible, given additional perspective.</w:t>
      </w:r>
    </w:p>
    <w:p w14:paraId="6879EA0D" w14:textId="77777777" w:rsidR="00EA22A2" w:rsidRDefault="00EA22A2">
      <w:r>
        <w:br w:type="page"/>
      </w:r>
    </w:p>
    <w:p w14:paraId="4191A557" w14:textId="77777777" w:rsidR="006C1254" w:rsidRDefault="006C1254" w:rsidP="00EA22A2">
      <w:pPr>
        <w:jc w:val="both"/>
        <w:divId w:val="1724330298"/>
      </w:pPr>
    </w:p>
    <w:p w14:paraId="22356FCE" w14:textId="17C09387" w:rsidR="00E70543" w:rsidRDefault="00E70543" w:rsidP="00EA22A2">
      <w:pPr>
        <w:pStyle w:val="Heading1"/>
        <w:jc w:val="both"/>
        <w:divId w:val="1724330298"/>
      </w:pPr>
      <w:r>
        <w:t>References</w:t>
      </w:r>
    </w:p>
    <w:sdt>
      <w:sdtPr>
        <w:alias w:val="SmartCite Bibliography"/>
        <w:tag w:val="Cell"/>
        <w:id w:val="971184882"/>
        <w:placeholder>
          <w:docPart w:val="DefaultPlaceholder_-1854013440"/>
        </w:placeholder>
      </w:sdtPr>
      <w:sdtContent>
        <w:p w14:paraId="1F7DAD19" w14:textId="77777777" w:rsidR="002655D2" w:rsidRPr="002655D2" w:rsidRDefault="002655D2" w:rsidP="00EA22A2">
          <w:pPr>
            <w:jc w:val="both"/>
            <w:divId w:val="1544249747"/>
            <w:rPr>
              <w:rFonts w:eastAsia="Times New Roman" w:cs="Times New Roman"/>
              <w:color w:val="000000"/>
              <w:szCs w:val="24"/>
            </w:rPr>
          </w:pPr>
        </w:p>
        <w:p w14:paraId="3366481D" w14:textId="77777777" w:rsidR="002655D2" w:rsidRPr="002655D2" w:rsidRDefault="002655D2" w:rsidP="00EA22A2">
          <w:pPr>
            <w:pStyle w:val="csl-entry"/>
            <w:jc w:val="both"/>
            <w:divId w:val="1544249747"/>
            <w:rPr>
              <w:color w:val="000000"/>
            </w:rPr>
          </w:pPr>
          <w:r w:rsidRPr="002655D2">
            <w:rPr>
              <w:color w:val="000000"/>
            </w:rPr>
            <w:t xml:space="preserve">Tokunaga, R., Zhang, W., Naseem, M., Puccini, A., Berger, M.D., Soni, S., McSkane, M., Baba, H., and Lenz, H.-J. (2018). CXCL9, CXCL10, CXCL11/CXCR3 axis for immune activation – A target for novel cancer therapy. Cancer Treat Rev </w:t>
          </w:r>
          <w:r w:rsidRPr="002655D2">
            <w:rPr>
              <w:i/>
              <w:iCs/>
              <w:color w:val="000000"/>
            </w:rPr>
            <w:t>63</w:t>
          </w:r>
          <w:r w:rsidRPr="002655D2">
            <w:rPr>
              <w:color w:val="000000"/>
            </w:rPr>
            <w:t>, 40–47.</w:t>
          </w:r>
        </w:p>
        <w:p w14:paraId="75E94491" w14:textId="77777777" w:rsidR="002655D2" w:rsidRPr="002655D2" w:rsidRDefault="002655D2" w:rsidP="00EA22A2">
          <w:pPr>
            <w:pStyle w:val="csl-entry"/>
            <w:jc w:val="both"/>
            <w:divId w:val="1544249747"/>
            <w:rPr>
              <w:color w:val="000000"/>
            </w:rPr>
          </w:pPr>
          <w:r w:rsidRPr="002655D2">
            <w:rPr>
              <w:color w:val="000000"/>
            </w:rPr>
            <w:t xml:space="preserve">Uygun, S., Peng, C., Lehti-Shiu, M.D., Last, R.L., and Shiu, S.-H. (2016). Utility and Limitations of Using Gene Expression Data to Identify Functional Associations. Plos Comput Biol </w:t>
          </w:r>
          <w:r w:rsidRPr="002655D2">
            <w:rPr>
              <w:i/>
              <w:iCs/>
              <w:color w:val="000000"/>
            </w:rPr>
            <w:t>12</w:t>
          </w:r>
          <w:r w:rsidRPr="002655D2">
            <w:rPr>
              <w:color w:val="000000"/>
            </w:rPr>
            <w:t>, e1005244.</w:t>
          </w:r>
        </w:p>
        <w:p w14:paraId="65649908" w14:textId="10F86C2F" w:rsidR="00F9007D" w:rsidRPr="0034334D" w:rsidRDefault="002655D2" w:rsidP="00EA22A2">
          <w:pPr>
            <w:jc w:val="both"/>
          </w:pPr>
          <w:r w:rsidRPr="002655D2">
            <w:rPr>
              <w:rFonts w:eastAsia="Times New Roman" w:cs="Times New Roman"/>
              <w:color w:val="000000"/>
            </w:rPr>
            <w:t> </w:t>
          </w:r>
        </w:p>
      </w:sdtContent>
    </w:sdt>
    <w:sectPr w:rsidR="00F9007D" w:rsidRPr="0034334D" w:rsidSect="003433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0D3"/>
    <w:multiLevelType w:val="multilevel"/>
    <w:tmpl w:val="040C001F"/>
    <w:styleLink w:val="MmoireRecherche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4D"/>
    <w:rsid w:val="0000630C"/>
    <w:rsid w:val="00044FDB"/>
    <w:rsid w:val="000506BB"/>
    <w:rsid w:val="000A0AEE"/>
    <w:rsid w:val="000B69CC"/>
    <w:rsid w:val="000C5B84"/>
    <w:rsid w:val="00165BFC"/>
    <w:rsid w:val="002326F6"/>
    <w:rsid w:val="002655D2"/>
    <w:rsid w:val="002666A4"/>
    <w:rsid w:val="00295CEB"/>
    <w:rsid w:val="002C00AF"/>
    <w:rsid w:val="002D13AF"/>
    <w:rsid w:val="00320B8B"/>
    <w:rsid w:val="00326054"/>
    <w:rsid w:val="00334C1C"/>
    <w:rsid w:val="0034334D"/>
    <w:rsid w:val="003823F7"/>
    <w:rsid w:val="003A266A"/>
    <w:rsid w:val="003E4693"/>
    <w:rsid w:val="003F40A3"/>
    <w:rsid w:val="0041218F"/>
    <w:rsid w:val="0041624E"/>
    <w:rsid w:val="00417555"/>
    <w:rsid w:val="004407B2"/>
    <w:rsid w:val="00447601"/>
    <w:rsid w:val="00470AF2"/>
    <w:rsid w:val="004C555C"/>
    <w:rsid w:val="005431CE"/>
    <w:rsid w:val="00565E42"/>
    <w:rsid w:val="005801EC"/>
    <w:rsid w:val="0058500C"/>
    <w:rsid w:val="006006F1"/>
    <w:rsid w:val="006056E9"/>
    <w:rsid w:val="00670C9E"/>
    <w:rsid w:val="006C1254"/>
    <w:rsid w:val="006F1C2D"/>
    <w:rsid w:val="007142D1"/>
    <w:rsid w:val="00714EC8"/>
    <w:rsid w:val="0072173E"/>
    <w:rsid w:val="00722935"/>
    <w:rsid w:val="00764066"/>
    <w:rsid w:val="00773353"/>
    <w:rsid w:val="007E0966"/>
    <w:rsid w:val="00835E4D"/>
    <w:rsid w:val="00876814"/>
    <w:rsid w:val="008C08F5"/>
    <w:rsid w:val="008D49D9"/>
    <w:rsid w:val="00903E92"/>
    <w:rsid w:val="0091335B"/>
    <w:rsid w:val="00944237"/>
    <w:rsid w:val="009B1B26"/>
    <w:rsid w:val="009C294C"/>
    <w:rsid w:val="009E1F48"/>
    <w:rsid w:val="009F1BCB"/>
    <w:rsid w:val="00A25FBC"/>
    <w:rsid w:val="00A9257F"/>
    <w:rsid w:val="00AD7D58"/>
    <w:rsid w:val="00AE63E3"/>
    <w:rsid w:val="00B41880"/>
    <w:rsid w:val="00B7186B"/>
    <w:rsid w:val="00B75F15"/>
    <w:rsid w:val="00B82640"/>
    <w:rsid w:val="00BD085C"/>
    <w:rsid w:val="00C1119B"/>
    <w:rsid w:val="00C21A9E"/>
    <w:rsid w:val="00C66EEE"/>
    <w:rsid w:val="00C828C8"/>
    <w:rsid w:val="00CF2C58"/>
    <w:rsid w:val="00D1331E"/>
    <w:rsid w:val="00D22702"/>
    <w:rsid w:val="00D22D98"/>
    <w:rsid w:val="00D34315"/>
    <w:rsid w:val="00D5649F"/>
    <w:rsid w:val="00D62F36"/>
    <w:rsid w:val="00D92B9E"/>
    <w:rsid w:val="00DD1233"/>
    <w:rsid w:val="00DE6758"/>
    <w:rsid w:val="00E535C7"/>
    <w:rsid w:val="00E56EE2"/>
    <w:rsid w:val="00E70125"/>
    <w:rsid w:val="00E70543"/>
    <w:rsid w:val="00E84824"/>
    <w:rsid w:val="00E95A9A"/>
    <w:rsid w:val="00EA22A2"/>
    <w:rsid w:val="00EF0663"/>
    <w:rsid w:val="00F152B8"/>
    <w:rsid w:val="00F64A96"/>
    <w:rsid w:val="00F7490A"/>
    <w:rsid w:val="00F9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9190"/>
  <w15:chartTrackingRefBased/>
  <w15:docId w15:val="{F601AD50-ED4F-4797-BB94-A637055F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0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966"/>
    <w:pPr>
      <w:keepNext/>
      <w:keepLines/>
      <w:spacing w:before="240" w:after="0"/>
      <w:outlineLvl w:val="0"/>
    </w:pPr>
    <w:rPr>
      <w:rFonts w:eastAsia="Times New Roman" w:cstheme="majorBidi"/>
      <w:b/>
      <w:bCs/>
      <w:sz w:val="28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moireRecherche">
    <w:name w:val="Mémoire Recherche"/>
    <w:uiPriority w:val="99"/>
    <w:rsid w:val="0041624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0966"/>
    <w:rPr>
      <w:rFonts w:ascii="Times New Roman" w:eastAsia="Times New Roman" w:hAnsi="Times New Roman" w:cstheme="majorBidi"/>
      <w:b/>
      <w:bCs/>
      <w:sz w:val="28"/>
      <w:szCs w:val="32"/>
      <w:u w:val="single"/>
    </w:rPr>
  </w:style>
  <w:style w:type="paragraph" w:styleId="NoSpacing">
    <w:name w:val="No Spacing"/>
    <w:link w:val="NoSpacingChar"/>
    <w:uiPriority w:val="1"/>
    <w:qFormat/>
    <w:rsid w:val="003433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334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6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EE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73353"/>
    <w:rPr>
      <w:color w:val="808080"/>
    </w:rPr>
  </w:style>
  <w:style w:type="paragraph" w:customStyle="1" w:styleId="csl-entry">
    <w:name w:val="csl-entry"/>
    <w:basedOn w:val="Normal"/>
    <w:rsid w:val="00773353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1B1D9-EF72-4EA8-A9CB-30242074B438}"/>
      </w:docPartPr>
      <w:docPartBody>
        <w:p w:rsidR="00000000" w:rsidRDefault="00C8513D">
          <w:r w:rsidRPr="000D53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700AE0EFD84C23927AA8CAB116C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5469F-886C-40E5-B295-7663C6355027}"/>
      </w:docPartPr>
      <w:docPartBody>
        <w:p w:rsidR="00000000" w:rsidRDefault="00C8513D" w:rsidP="00C8513D">
          <w:pPr>
            <w:pStyle w:val="15700AE0EFD84C23927AA8CAB116C940"/>
          </w:pPr>
          <w:r w:rsidRPr="000D53B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D"/>
    <w:rsid w:val="00C8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13D"/>
    <w:rPr>
      <w:color w:val="808080"/>
    </w:rPr>
  </w:style>
  <w:style w:type="paragraph" w:customStyle="1" w:styleId="15700AE0EFD84C23927AA8CAB116C940">
    <w:name w:val="15700AE0EFD84C23927AA8CAB116C940"/>
    <w:rsid w:val="00C8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06B2C6-D256-4FD1-A109-5D7BA4F46FD3}">
  <we:reference id="wa104380917" version="1.0.1.0" store="en-001" storeType="OMEX"/>
  <we:alternateReferences>
    <we:reference id="WA104380917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97E4AC2-938F-444E-8EDF-DA2EF3EC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Sorbonne Université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– SARS-Mice</dc:title>
  <dc:subject>Discussion part</dc:subject>
  <dc:creator>Minh Anh HUYNH</dc:creator>
  <cp:keywords/>
  <dc:description/>
  <cp:lastModifiedBy>Minh Anh HUYNH</cp:lastModifiedBy>
  <cp:revision>80</cp:revision>
  <dcterms:created xsi:type="dcterms:W3CDTF">2021-12-22T19:09:00Z</dcterms:created>
  <dcterms:modified xsi:type="dcterms:W3CDTF">2021-12-22T22:47:00Z</dcterms:modified>
  <cp:category>UE 5BM578 “Workshop in immunological data analysis”</cp:category>
</cp:coreProperties>
</file>