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9303C" w14:textId="77777777" w:rsidR="00C13919" w:rsidRPr="00C75EDC" w:rsidRDefault="00000000">
      <w:pPr>
        <w:spacing w:after="113" w:line="265" w:lineRule="auto"/>
        <w:jc w:val="center"/>
        <w:rPr>
          <w:lang w:val="fr-FR"/>
        </w:rPr>
      </w:pPr>
      <w:r w:rsidRPr="00C75EDC">
        <w:rPr>
          <w:sz w:val="24"/>
          <w:lang w:val="fr-FR"/>
        </w:rPr>
        <w:t>UNIVERSITE PARIS CITE</w:t>
      </w:r>
    </w:p>
    <w:p w14:paraId="1DEC4A43" w14:textId="77777777" w:rsidR="00C13919" w:rsidRPr="00C75EDC" w:rsidRDefault="00000000">
      <w:pPr>
        <w:spacing w:after="710" w:line="265" w:lineRule="auto"/>
        <w:ind w:right="1"/>
        <w:jc w:val="center"/>
        <w:rPr>
          <w:lang w:val="fr-FR"/>
        </w:rPr>
      </w:pPr>
      <w:r w:rsidRPr="00C75EDC">
        <w:rPr>
          <w:sz w:val="24"/>
          <w:lang w:val="fr-FR"/>
        </w:rPr>
        <w:t>FACULTE DES SCIENCES PHARMACEUTIQUES ET BIOLOGIQUES</w:t>
      </w:r>
    </w:p>
    <w:p w14:paraId="0CE9A55D" w14:textId="77777777" w:rsidR="00C13919" w:rsidRPr="00C75EDC" w:rsidRDefault="00000000">
      <w:pPr>
        <w:tabs>
          <w:tab w:val="right" w:pos="8987"/>
        </w:tabs>
        <w:spacing w:after="1259" w:line="259" w:lineRule="auto"/>
        <w:ind w:left="0" w:firstLine="0"/>
        <w:jc w:val="left"/>
        <w:rPr>
          <w:lang w:val="fr-FR"/>
        </w:rPr>
      </w:pPr>
      <w:r w:rsidRPr="00C75EDC">
        <w:rPr>
          <w:sz w:val="24"/>
          <w:lang w:val="fr-FR"/>
        </w:rPr>
        <w:t>Année 2022</w:t>
      </w:r>
      <w:r w:rsidRPr="00C75EDC">
        <w:rPr>
          <w:sz w:val="24"/>
          <w:lang w:val="fr-FR"/>
        </w:rPr>
        <w:tab/>
        <w:t>N°</w:t>
      </w:r>
    </w:p>
    <w:p w14:paraId="7A799D06" w14:textId="77777777" w:rsidR="00C13919" w:rsidRPr="00C75EDC" w:rsidRDefault="00000000">
      <w:pPr>
        <w:spacing w:after="800" w:line="265" w:lineRule="auto"/>
        <w:jc w:val="center"/>
        <w:rPr>
          <w:lang w:val="fr-FR"/>
        </w:rPr>
      </w:pPr>
      <w:r w:rsidRPr="00C75EDC">
        <w:rPr>
          <w:sz w:val="24"/>
          <w:lang w:val="fr-FR"/>
        </w:rPr>
        <w:t>THESE</w:t>
      </w:r>
    </w:p>
    <w:p w14:paraId="2689F0E2" w14:textId="77777777" w:rsidR="00C13919" w:rsidRPr="00C75EDC" w:rsidRDefault="00000000">
      <w:pPr>
        <w:spacing w:after="179" w:line="259" w:lineRule="auto"/>
        <w:ind w:left="229" w:firstLine="0"/>
        <w:jc w:val="left"/>
        <w:rPr>
          <w:lang w:val="fr-FR"/>
        </w:rPr>
      </w:pPr>
      <w:r w:rsidRPr="00C75EDC">
        <w:rPr>
          <w:b/>
          <w:sz w:val="29"/>
          <w:lang w:val="fr-FR"/>
        </w:rPr>
        <w:t>Pour l’obtention du diplôme d’Etat de DOCTEUR EN PHARMACIE</w:t>
      </w:r>
    </w:p>
    <w:p w14:paraId="14EAD1C4" w14:textId="77777777" w:rsidR="00C13919" w:rsidRPr="00C75EDC" w:rsidRDefault="00000000">
      <w:pPr>
        <w:spacing w:after="172" w:line="265" w:lineRule="auto"/>
        <w:jc w:val="center"/>
        <w:rPr>
          <w:lang w:val="fr-FR"/>
        </w:rPr>
      </w:pPr>
      <w:r w:rsidRPr="00C75EDC">
        <w:rPr>
          <w:b/>
          <w:sz w:val="29"/>
          <w:lang w:val="fr-FR"/>
        </w:rPr>
        <w:t>Presenté et soutenue publiquement</w:t>
      </w:r>
    </w:p>
    <w:p w14:paraId="0F7E0082" w14:textId="77777777" w:rsidR="00C13919" w:rsidRPr="00C75EDC" w:rsidRDefault="00000000">
      <w:pPr>
        <w:spacing w:after="1186" w:line="265" w:lineRule="auto"/>
        <w:ind w:right="72"/>
        <w:jc w:val="center"/>
        <w:rPr>
          <w:lang w:val="fr-FR"/>
        </w:rPr>
      </w:pPr>
      <w:r w:rsidRPr="00C75EDC">
        <w:rPr>
          <w:b/>
          <w:sz w:val="29"/>
          <w:lang w:val="fr-FR"/>
        </w:rPr>
        <w:t>Intérêt de la Vitamine D et COVID-19</w:t>
      </w:r>
    </w:p>
    <w:p w14:paraId="6FE62675" w14:textId="77777777" w:rsidR="00C13919" w:rsidRPr="00C75EDC" w:rsidRDefault="00000000">
      <w:pPr>
        <w:spacing w:after="516" w:line="265" w:lineRule="auto"/>
        <w:ind w:right="60"/>
        <w:jc w:val="center"/>
        <w:rPr>
          <w:lang w:val="fr-FR"/>
        </w:rPr>
      </w:pPr>
      <w:r w:rsidRPr="00C75EDC">
        <w:rPr>
          <w:sz w:val="24"/>
          <w:lang w:val="fr-FR"/>
        </w:rPr>
        <w:t>Par</w:t>
      </w:r>
    </w:p>
    <w:p w14:paraId="6B5E4F49" w14:textId="77777777" w:rsidR="00C13919" w:rsidRPr="00C75EDC" w:rsidRDefault="00000000">
      <w:pPr>
        <w:spacing w:after="619" w:line="265" w:lineRule="auto"/>
        <w:ind w:right="72"/>
        <w:jc w:val="center"/>
        <w:rPr>
          <w:lang w:val="fr-FR"/>
        </w:rPr>
      </w:pPr>
      <w:r w:rsidRPr="00C75EDC">
        <w:rPr>
          <w:b/>
          <w:sz w:val="29"/>
          <w:lang w:val="fr-FR"/>
        </w:rPr>
        <w:t>HUYNH Minh-Anh</w:t>
      </w:r>
    </w:p>
    <w:p w14:paraId="1C149C3B" w14:textId="77777777" w:rsidR="00C13919" w:rsidRDefault="00000000">
      <w:pPr>
        <w:spacing w:after="113" w:line="265" w:lineRule="auto"/>
        <w:jc w:val="center"/>
      </w:pPr>
      <w:r w:rsidRPr="00C75EDC">
        <w:rPr>
          <w:sz w:val="24"/>
          <w:lang w:val="fr-FR"/>
        </w:rPr>
        <w:t xml:space="preserve">Sous la direction du Pr. </w:t>
      </w:r>
      <w:r>
        <w:rPr>
          <w:sz w:val="24"/>
        </w:rPr>
        <w:t>Jean-Pascal De Bandt</w:t>
      </w:r>
    </w:p>
    <w:p w14:paraId="5DBA4EE3" w14:textId="77777777" w:rsidR="00C13919" w:rsidRPr="00C75EDC" w:rsidRDefault="00000000">
      <w:pPr>
        <w:spacing w:after="113" w:line="265" w:lineRule="auto"/>
        <w:jc w:val="center"/>
        <w:rPr>
          <w:lang w:val="fr-FR"/>
        </w:rPr>
      </w:pPr>
      <w:r w:rsidRPr="00C75EDC">
        <w:rPr>
          <w:sz w:val="24"/>
          <w:lang w:val="fr-FR"/>
        </w:rPr>
        <w:t>September 2022</w:t>
      </w:r>
    </w:p>
    <w:p w14:paraId="4F7130EE" w14:textId="77777777" w:rsidR="00C13919" w:rsidRPr="00C75EDC" w:rsidRDefault="00000000">
      <w:pPr>
        <w:spacing w:after="0" w:line="259" w:lineRule="auto"/>
        <w:ind w:left="-5"/>
        <w:jc w:val="left"/>
        <w:rPr>
          <w:lang w:val="fr-FR"/>
        </w:rPr>
      </w:pPr>
      <w:r w:rsidRPr="00C75EDC">
        <w:rPr>
          <w:b/>
          <w:sz w:val="29"/>
          <w:lang w:val="fr-FR"/>
        </w:rPr>
        <w:t>Remerciements</w:t>
      </w:r>
      <w:r w:rsidRPr="00C75EDC">
        <w:rPr>
          <w:lang w:val="fr-FR"/>
        </w:rPr>
        <w:br w:type="page"/>
      </w:r>
    </w:p>
    <w:sdt>
      <w:sdtPr>
        <w:id w:val="-896513321"/>
        <w:docPartObj>
          <w:docPartGallery w:val="Table of Contents"/>
        </w:docPartObj>
      </w:sdtPr>
      <w:sdtContent>
        <w:p w14:paraId="446F0BD4" w14:textId="77777777" w:rsidR="00C13919" w:rsidRPr="00C75EDC" w:rsidRDefault="00000000">
          <w:pPr>
            <w:spacing w:after="272" w:line="259" w:lineRule="auto"/>
            <w:ind w:left="-5"/>
            <w:jc w:val="left"/>
            <w:rPr>
              <w:lang w:val="fr-FR"/>
            </w:rPr>
          </w:pPr>
          <w:r w:rsidRPr="00C75EDC">
            <w:rPr>
              <w:b/>
              <w:sz w:val="29"/>
              <w:lang w:val="fr-FR"/>
            </w:rPr>
            <w:t>Table of contents</w:t>
          </w:r>
        </w:p>
        <w:p w14:paraId="73259709" w14:textId="77777777" w:rsidR="00C13919" w:rsidRPr="00C75EDC" w:rsidRDefault="00000000">
          <w:pPr>
            <w:spacing w:after="346" w:line="265" w:lineRule="auto"/>
            <w:ind w:left="-5"/>
            <w:jc w:val="left"/>
            <w:rPr>
              <w:lang w:val="fr-FR"/>
            </w:rPr>
          </w:pPr>
          <w:r w:rsidRPr="00C75EDC">
            <w:rPr>
              <w:b/>
              <w:lang w:val="fr-FR"/>
            </w:rPr>
            <w:t>Remerciements</w:t>
          </w:r>
        </w:p>
        <w:p w14:paraId="04201801" w14:textId="77777777" w:rsidR="00C13919" w:rsidRPr="00C75EDC" w:rsidRDefault="00000000">
          <w:pPr>
            <w:spacing w:after="128" w:line="265" w:lineRule="auto"/>
            <w:ind w:left="-5"/>
            <w:jc w:val="left"/>
            <w:rPr>
              <w:lang w:val="fr-FR"/>
            </w:rPr>
          </w:pPr>
          <w:r w:rsidRPr="00C75EDC">
            <w:rPr>
              <w:b/>
              <w:lang w:val="fr-FR"/>
            </w:rPr>
            <w:t>Liste des abbréviations</w:t>
          </w:r>
        </w:p>
        <w:p w14:paraId="5E4588D9" w14:textId="77777777" w:rsidR="00C13919" w:rsidRDefault="00000000">
          <w:pPr>
            <w:pStyle w:val="TOC1"/>
            <w:tabs>
              <w:tab w:val="right" w:leader="dot" w:pos="8987"/>
            </w:tabs>
          </w:pPr>
          <w:r>
            <w:fldChar w:fldCharType="begin"/>
          </w:r>
          <w:r>
            <w:instrText xml:space="preserve"> TOC \o "1-3" \h \z \u </w:instrText>
          </w:r>
          <w:r>
            <w:fldChar w:fldCharType="separate"/>
          </w:r>
          <w:hyperlink w:anchor="_Toc8705">
            <w:r>
              <w:rPr>
                <w:rFonts w:ascii="Times New Roman" w:eastAsia="Times New Roman" w:hAnsi="Times New Roman" w:cs="Times New Roman"/>
                <w:b/>
              </w:rPr>
              <w:t>1 Introduction</w:t>
            </w:r>
            <w:r>
              <w:tab/>
            </w:r>
            <w:r>
              <w:fldChar w:fldCharType="begin"/>
            </w:r>
            <w:r>
              <w:instrText>PAGEREF _Toc8705 \h</w:instrText>
            </w:r>
            <w:r>
              <w:fldChar w:fldCharType="separate"/>
            </w:r>
            <w:r>
              <w:rPr>
                <w:rFonts w:ascii="Times New Roman" w:eastAsia="Times New Roman" w:hAnsi="Times New Roman" w:cs="Times New Roman"/>
                <w:b/>
              </w:rPr>
              <w:t>1</w:t>
            </w:r>
            <w:r>
              <w:fldChar w:fldCharType="end"/>
            </w:r>
          </w:hyperlink>
        </w:p>
        <w:p w14:paraId="2C9FC64C" w14:textId="77777777" w:rsidR="00C13919" w:rsidRDefault="00000000">
          <w:pPr>
            <w:pStyle w:val="TOC1"/>
            <w:tabs>
              <w:tab w:val="right" w:leader="dot" w:pos="8987"/>
            </w:tabs>
          </w:pPr>
          <w:hyperlink w:anchor="_Toc8706">
            <w:r>
              <w:rPr>
                <w:rFonts w:ascii="Times New Roman" w:eastAsia="Times New Roman" w:hAnsi="Times New Roman" w:cs="Times New Roman"/>
                <w:b/>
              </w:rPr>
              <w:t>2 Généralités sur la vitamine D</w:t>
            </w:r>
            <w:r>
              <w:tab/>
            </w:r>
            <w:r>
              <w:fldChar w:fldCharType="begin"/>
            </w:r>
            <w:r>
              <w:instrText>PAGEREF _Toc8706 \h</w:instrText>
            </w:r>
            <w:r>
              <w:fldChar w:fldCharType="separate"/>
            </w:r>
            <w:r>
              <w:rPr>
                <w:rFonts w:ascii="Times New Roman" w:eastAsia="Times New Roman" w:hAnsi="Times New Roman" w:cs="Times New Roman"/>
                <w:b/>
              </w:rPr>
              <w:t>2</w:t>
            </w:r>
            <w:r>
              <w:fldChar w:fldCharType="end"/>
            </w:r>
          </w:hyperlink>
        </w:p>
        <w:p w14:paraId="088726CE" w14:textId="77777777" w:rsidR="00C13919" w:rsidRDefault="00000000">
          <w:pPr>
            <w:pStyle w:val="TOC2"/>
            <w:tabs>
              <w:tab w:val="right" w:leader="dot" w:pos="8987"/>
            </w:tabs>
          </w:pPr>
          <w:hyperlink w:anchor="_Toc8707">
            <w:r>
              <w:rPr>
                <w:rFonts w:ascii="Times New Roman" w:eastAsia="Times New Roman" w:hAnsi="Times New Roman" w:cs="Times New Roman"/>
              </w:rPr>
              <w:t>2.1 Structure</w:t>
            </w:r>
            <w:r>
              <w:tab/>
            </w:r>
            <w:r>
              <w:fldChar w:fldCharType="begin"/>
            </w:r>
            <w:r>
              <w:instrText>PAGEREF _Toc8707 \h</w:instrText>
            </w:r>
            <w:r>
              <w:fldChar w:fldCharType="separate"/>
            </w:r>
            <w:r>
              <w:rPr>
                <w:rFonts w:ascii="Times New Roman" w:eastAsia="Times New Roman" w:hAnsi="Times New Roman" w:cs="Times New Roman"/>
              </w:rPr>
              <w:t>2</w:t>
            </w:r>
            <w:r>
              <w:fldChar w:fldCharType="end"/>
            </w:r>
          </w:hyperlink>
        </w:p>
        <w:p w14:paraId="43E87478" w14:textId="77777777" w:rsidR="00C13919" w:rsidRDefault="00000000">
          <w:pPr>
            <w:pStyle w:val="TOC2"/>
            <w:tabs>
              <w:tab w:val="right" w:leader="dot" w:pos="8987"/>
            </w:tabs>
          </w:pPr>
          <w:hyperlink w:anchor="_Toc8708">
            <w:r>
              <w:rPr>
                <w:rFonts w:ascii="Times New Roman" w:eastAsia="Times New Roman" w:hAnsi="Times New Roman" w:cs="Times New Roman"/>
              </w:rPr>
              <w:t>2.2 Métabolisme</w:t>
            </w:r>
            <w:r>
              <w:tab/>
            </w:r>
            <w:r>
              <w:fldChar w:fldCharType="begin"/>
            </w:r>
            <w:r>
              <w:instrText>PAGEREF _Toc8708 \h</w:instrText>
            </w:r>
            <w:r>
              <w:fldChar w:fldCharType="separate"/>
            </w:r>
            <w:r>
              <w:rPr>
                <w:rFonts w:ascii="Times New Roman" w:eastAsia="Times New Roman" w:hAnsi="Times New Roman" w:cs="Times New Roman"/>
              </w:rPr>
              <w:t>2</w:t>
            </w:r>
            <w:r>
              <w:fldChar w:fldCharType="end"/>
            </w:r>
          </w:hyperlink>
        </w:p>
        <w:p w14:paraId="47C8EBF2" w14:textId="77777777" w:rsidR="00C13919" w:rsidRDefault="00000000">
          <w:pPr>
            <w:pStyle w:val="TOC2"/>
            <w:tabs>
              <w:tab w:val="right" w:leader="dot" w:pos="8987"/>
            </w:tabs>
          </w:pPr>
          <w:hyperlink w:anchor="_Toc8709">
            <w:r>
              <w:rPr>
                <w:rFonts w:ascii="Times New Roman" w:eastAsia="Times New Roman" w:hAnsi="Times New Roman" w:cs="Times New Roman"/>
              </w:rPr>
              <w:t>2.3 Propriétés</w:t>
            </w:r>
            <w:r>
              <w:tab/>
            </w:r>
            <w:r>
              <w:fldChar w:fldCharType="begin"/>
            </w:r>
            <w:r>
              <w:instrText>PAGEREF _Toc8709 \h</w:instrText>
            </w:r>
            <w:r>
              <w:fldChar w:fldCharType="separate"/>
            </w:r>
            <w:r>
              <w:rPr>
                <w:rFonts w:ascii="Times New Roman" w:eastAsia="Times New Roman" w:hAnsi="Times New Roman" w:cs="Times New Roman"/>
              </w:rPr>
              <w:t>4</w:t>
            </w:r>
            <w:r>
              <w:fldChar w:fldCharType="end"/>
            </w:r>
          </w:hyperlink>
        </w:p>
        <w:p w14:paraId="02108047" w14:textId="77777777" w:rsidR="00C13919" w:rsidRDefault="00000000">
          <w:pPr>
            <w:pStyle w:val="TOC3"/>
            <w:tabs>
              <w:tab w:val="right" w:leader="dot" w:pos="8987"/>
            </w:tabs>
          </w:pPr>
          <w:hyperlink w:anchor="_Toc8710">
            <w:r>
              <w:rPr>
                <w:rFonts w:ascii="Times New Roman" w:eastAsia="Times New Roman" w:hAnsi="Times New Roman" w:cs="Times New Roman"/>
              </w:rPr>
              <w:t>2.3.1 Propriétés classiques osseuses</w:t>
            </w:r>
            <w:r>
              <w:tab/>
            </w:r>
            <w:r>
              <w:fldChar w:fldCharType="begin"/>
            </w:r>
            <w:r>
              <w:instrText>PAGEREF _Toc8710 \h</w:instrText>
            </w:r>
            <w:r>
              <w:fldChar w:fldCharType="separate"/>
            </w:r>
            <w:r>
              <w:rPr>
                <w:rFonts w:ascii="Times New Roman" w:eastAsia="Times New Roman" w:hAnsi="Times New Roman" w:cs="Times New Roman"/>
              </w:rPr>
              <w:t>4</w:t>
            </w:r>
            <w:r>
              <w:fldChar w:fldCharType="end"/>
            </w:r>
          </w:hyperlink>
        </w:p>
        <w:p w14:paraId="4E15E3B5" w14:textId="77777777" w:rsidR="00C13919" w:rsidRDefault="00000000">
          <w:pPr>
            <w:pStyle w:val="TOC3"/>
            <w:tabs>
              <w:tab w:val="right" w:leader="dot" w:pos="8987"/>
            </w:tabs>
          </w:pPr>
          <w:hyperlink w:anchor="_Toc8711">
            <w:r>
              <w:rPr>
                <w:rFonts w:ascii="Times New Roman" w:eastAsia="Times New Roman" w:hAnsi="Times New Roman" w:cs="Times New Roman"/>
              </w:rPr>
              <w:t>2.3.2 Propriétés extra-osseuses</w:t>
            </w:r>
            <w:r>
              <w:tab/>
            </w:r>
            <w:r>
              <w:fldChar w:fldCharType="begin"/>
            </w:r>
            <w:r>
              <w:instrText>PAGEREF _Toc8711 \h</w:instrText>
            </w:r>
            <w:r>
              <w:fldChar w:fldCharType="separate"/>
            </w:r>
            <w:r>
              <w:rPr>
                <w:rFonts w:ascii="Times New Roman" w:eastAsia="Times New Roman" w:hAnsi="Times New Roman" w:cs="Times New Roman"/>
              </w:rPr>
              <w:t>6</w:t>
            </w:r>
            <w:r>
              <w:fldChar w:fldCharType="end"/>
            </w:r>
          </w:hyperlink>
        </w:p>
        <w:p w14:paraId="38CD6E46" w14:textId="77777777" w:rsidR="00C13919" w:rsidRDefault="00000000">
          <w:pPr>
            <w:pStyle w:val="TOC2"/>
            <w:tabs>
              <w:tab w:val="right" w:leader="dot" w:pos="8987"/>
            </w:tabs>
          </w:pPr>
          <w:hyperlink w:anchor="_Toc8712">
            <w:r>
              <w:rPr>
                <w:rFonts w:ascii="Times New Roman" w:eastAsia="Times New Roman" w:hAnsi="Times New Roman" w:cs="Times New Roman"/>
              </w:rPr>
              <w:t>2.4 Dose</w:t>
            </w:r>
            <w:r>
              <w:tab/>
            </w:r>
            <w:r>
              <w:fldChar w:fldCharType="begin"/>
            </w:r>
            <w:r>
              <w:instrText>PAGEREF _Toc8712 \h</w:instrText>
            </w:r>
            <w:r>
              <w:fldChar w:fldCharType="separate"/>
            </w:r>
            <w:r>
              <w:rPr>
                <w:rFonts w:ascii="Times New Roman" w:eastAsia="Times New Roman" w:hAnsi="Times New Roman" w:cs="Times New Roman"/>
              </w:rPr>
              <w:t>6</w:t>
            </w:r>
            <w:r>
              <w:fldChar w:fldCharType="end"/>
            </w:r>
          </w:hyperlink>
        </w:p>
        <w:p w14:paraId="3C0C43E7" w14:textId="77777777" w:rsidR="00C13919" w:rsidRDefault="00000000">
          <w:pPr>
            <w:pStyle w:val="TOC2"/>
            <w:tabs>
              <w:tab w:val="right" w:leader="dot" w:pos="8987"/>
            </w:tabs>
          </w:pPr>
          <w:hyperlink w:anchor="_Toc8713">
            <w:r>
              <w:rPr>
                <w:rFonts w:ascii="Times New Roman" w:eastAsia="Times New Roman" w:hAnsi="Times New Roman" w:cs="Times New Roman"/>
              </w:rPr>
              <w:t>2.5 Utilisation thérapeutique</w:t>
            </w:r>
            <w:r>
              <w:tab/>
            </w:r>
            <w:r>
              <w:fldChar w:fldCharType="begin"/>
            </w:r>
            <w:r>
              <w:instrText>PAGEREF _Toc8713 \h</w:instrText>
            </w:r>
            <w:r>
              <w:fldChar w:fldCharType="separate"/>
            </w:r>
            <w:r>
              <w:rPr>
                <w:rFonts w:ascii="Times New Roman" w:eastAsia="Times New Roman" w:hAnsi="Times New Roman" w:cs="Times New Roman"/>
              </w:rPr>
              <w:t>8</w:t>
            </w:r>
            <w:r>
              <w:fldChar w:fldCharType="end"/>
            </w:r>
          </w:hyperlink>
        </w:p>
        <w:p w14:paraId="3D95D1E8" w14:textId="77777777" w:rsidR="00C13919" w:rsidRDefault="00000000">
          <w:pPr>
            <w:pStyle w:val="TOC2"/>
            <w:tabs>
              <w:tab w:val="right" w:leader="dot" w:pos="8987"/>
            </w:tabs>
          </w:pPr>
          <w:hyperlink w:anchor="_Toc8714">
            <w:r>
              <w:rPr>
                <w:rFonts w:ascii="Times New Roman" w:eastAsia="Times New Roman" w:hAnsi="Times New Roman" w:cs="Times New Roman"/>
              </w:rPr>
              <w:t>2.6 Toxicité</w:t>
            </w:r>
            <w:r>
              <w:tab/>
            </w:r>
            <w:r>
              <w:fldChar w:fldCharType="begin"/>
            </w:r>
            <w:r>
              <w:instrText>PAGEREF _Toc8714 \h</w:instrText>
            </w:r>
            <w:r>
              <w:fldChar w:fldCharType="separate"/>
            </w:r>
            <w:r>
              <w:rPr>
                <w:rFonts w:ascii="Times New Roman" w:eastAsia="Times New Roman" w:hAnsi="Times New Roman" w:cs="Times New Roman"/>
              </w:rPr>
              <w:t>8</w:t>
            </w:r>
            <w:r>
              <w:fldChar w:fldCharType="end"/>
            </w:r>
          </w:hyperlink>
        </w:p>
        <w:p w14:paraId="37A274B8" w14:textId="77777777" w:rsidR="00C13919" w:rsidRDefault="00000000">
          <w:pPr>
            <w:pStyle w:val="TOC1"/>
            <w:tabs>
              <w:tab w:val="right" w:leader="dot" w:pos="8987"/>
            </w:tabs>
          </w:pPr>
          <w:hyperlink w:anchor="_Toc8715">
            <w:r>
              <w:rPr>
                <w:rFonts w:ascii="Times New Roman" w:eastAsia="Times New Roman" w:hAnsi="Times New Roman" w:cs="Times New Roman"/>
                <w:b/>
              </w:rPr>
              <w:t>3 Vitamine D et système immunitaire</w:t>
            </w:r>
            <w:r>
              <w:tab/>
            </w:r>
            <w:r>
              <w:fldChar w:fldCharType="begin"/>
            </w:r>
            <w:r>
              <w:instrText>PAGEREF _Toc8715 \h</w:instrText>
            </w:r>
            <w:r>
              <w:fldChar w:fldCharType="separate"/>
            </w:r>
            <w:r>
              <w:rPr>
                <w:rFonts w:ascii="Times New Roman" w:eastAsia="Times New Roman" w:hAnsi="Times New Roman" w:cs="Times New Roman"/>
                <w:b/>
              </w:rPr>
              <w:t>9</w:t>
            </w:r>
            <w:r>
              <w:fldChar w:fldCharType="end"/>
            </w:r>
          </w:hyperlink>
        </w:p>
        <w:p w14:paraId="6E647C99" w14:textId="77777777" w:rsidR="00C13919" w:rsidRDefault="00000000">
          <w:pPr>
            <w:pStyle w:val="TOC1"/>
            <w:tabs>
              <w:tab w:val="right" w:leader="dot" w:pos="8987"/>
            </w:tabs>
          </w:pPr>
          <w:hyperlink w:anchor="_Toc8716">
            <w:r>
              <w:rPr>
                <w:rFonts w:ascii="Times New Roman" w:eastAsia="Times New Roman" w:hAnsi="Times New Roman" w:cs="Times New Roman"/>
                <w:b/>
              </w:rPr>
              <w:t>4 Vitamine D et COVID-19</w:t>
            </w:r>
            <w:r>
              <w:tab/>
            </w:r>
            <w:r>
              <w:fldChar w:fldCharType="begin"/>
            </w:r>
            <w:r>
              <w:instrText>PAGEREF _Toc8716 \h</w:instrText>
            </w:r>
            <w:r>
              <w:fldChar w:fldCharType="separate"/>
            </w:r>
            <w:r>
              <w:rPr>
                <w:rFonts w:ascii="Times New Roman" w:eastAsia="Times New Roman" w:hAnsi="Times New Roman" w:cs="Times New Roman"/>
                <w:b/>
              </w:rPr>
              <w:t>9</w:t>
            </w:r>
            <w:r>
              <w:fldChar w:fldCharType="end"/>
            </w:r>
          </w:hyperlink>
        </w:p>
        <w:p w14:paraId="200CFDE8" w14:textId="77777777" w:rsidR="00C13919" w:rsidRDefault="00000000">
          <w:pPr>
            <w:pStyle w:val="TOC2"/>
            <w:tabs>
              <w:tab w:val="right" w:leader="dot" w:pos="8987"/>
            </w:tabs>
          </w:pPr>
          <w:hyperlink w:anchor="_Toc8717">
            <w:r>
              <w:rPr>
                <w:rFonts w:ascii="Times New Roman" w:eastAsia="Times New Roman" w:hAnsi="Times New Roman" w:cs="Times New Roman"/>
              </w:rPr>
              <w:t>4.1 Etudes pré-cliniques</w:t>
            </w:r>
            <w:r>
              <w:tab/>
            </w:r>
            <w:r>
              <w:fldChar w:fldCharType="begin"/>
            </w:r>
            <w:r>
              <w:instrText>PAGEREF _Toc8717 \h</w:instrText>
            </w:r>
            <w:r>
              <w:fldChar w:fldCharType="separate"/>
            </w:r>
            <w:r>
              <w:rPr>
                <w:rFonts w:ascii="Times New Roman" w:eastAsia="Times New Roman" w:hAnsi="Times New Roman" w:cs="Times New Roman"/>
              </w:rPr>
              <w:t>9</w:t>
            </w:r>
            <w:r>
              <w:fldChar w:fldCharType="end"/>
            </w:r>
          </w:hyperlink>
        </w:p>
        <w:p w14:paraId="2D757EBB" w14:textId="77777777" w:rsidR="00C13919" w:rsidRDefault="00000000">
          <w:pPr>
            <w:pStyle w:val="TOC2"/>
            <w:tabs>
              <w:tab w:val="right" w:leader="dot" w:pos="8987"/>
            </w:tabs>
          </w:pPr>
          <w:hyperlink w:anchor="_Toc8718">
            <w:r>
              <w:rPr>
                <w:rFonts w:ascii="Times New Roman" w:eastAsia="Times New Roman" w:hAnsi="Times New Roman" w:cs="Times New Roman"/>
              </w:rPr>
              <w:t>4.2 Etudes cliniques</w:t>
            </w:r>
            <w:r>
              <w:tab/>
            </w:r>
            <w:r>
              <w:fldChar w:fldCharType="begin"/>
            </w:r>
            <w:r>
              <w:instrText>PAGEREF _Toc8718 \h</w:instrText>
            </w:r>
            <w:r>
              <w:fldChar w:fldCharType="separate"/>
            </w:r>
            <w:r>
              <w:rPr>
                <w:rFonts w:ascii="Times New Roman" w:eastAsia="Times New Roman" w:hAnsi="Times New Roman" w:cs="Times New Roman"/>
              </w:rPr>
              <w:t>9</w:t>
            </w:r>
            <w:r>
              <w:fldChar w:fldCharType="end"/>
            </w:r>
          </w:hyperlink>
        </w:p>
        <w:p w14:paraId="0F8B906C" w14:textId="77777777" w:rsidR="00C13919" w:rsidRDefault="00000000">
          <w:pPr>
            <w:pStyle w:val="TOC3"/>
            <w:tabs>
              <w:tab w:val="right" w:leader="dot" w:pos="8987"/>
            </w:tabs>
          </w:pPr>
          <w:hyperlink w:anchor="_Toc8719">
            <w:r>
              <w:rPr>
                <w:rFonts w:ascii="Times New Roman" w:eastAsia="Times New Roman" w:hAnsi="Times New Roman" w:cs="Times New Roman"/>
              </w:rPr>
              <w:t>4.2.1 Etude en phase de prévention</w:t>
            </w:r>
            <w:r>
              <w:tab/>
            </w:r>
            <w:r>
              <w:fldChar w:fldCharType="begin"/>
            </w:r>
            <w:r>
              <w:instrText>PAGEREF _Toc8719 \h</w:instrText>
            </w:r>
            <w:r>
              <w:fldChar w:fldCharType="separate"/>
            </w:r>
            <w:r>
              <w:rPr>
                <w:rFonts w:ascii="Times New Roman" w:eastAsia="Times New Roman" w:hAnsi="Times New Roman" w:cs="Times New Roman"/>
              </w:rPr>
              <w:t>9</w:t>
            </w:r>
            <w:r>
              <w:fldChar w:fldCharType="end"/>
            </w:r>
          </w:hyperlink>
        </w:p>
        <w:p w14:paraId="78303375" w14:textId="77777777" w:rsidR="00C13919" w:rsidRDefault="00000000">
          <w:pPr>
            <w:pStyle w:val="TOC3"/>
            <w:tabs>
              <w:tab w:val="right" w:leader="dot" w:pos="8987"/>
            </w:tabs>
          </w:pPr>
          <w:hyperlink w:anchor="_Toc8720">
            <w:r>
              <w:rPr>
                <w:rFonts w:ascii="Times New Roman" w:eastAsia="Times New Roman" w:hAnsi="Times New Roman" w:cs="Times New Roman"/>
              </w:rPr>
              <w:t>4.2.2 Etudes en phase curative</w:t>
            </w:r>
            <w:r>
              <w:tab/>
            </w:r>
            <w:r>
              <w:fldChar w:fldCharType="begin"/>
            </w:r>
            <w:r>
              <w:instrText>PAGEREF _Toc8720 \h</w:instrText>
            </w:r>
            <w:r>
              <w:fldChar w:fldCharType="separate"/>
            </w:r>
            <w:r>
              <w:rPr>
                <w:rFonts w:ascii="Times New Roman" w:eastAsia="Times New Roman" w:hAnsi="Times New Roman" w:cs="Times New Roman"/>
              </w:rPr>
              <w:t>9</w:t>
            </w:r>
            <w:r>
              <w:fldChar w:fldCharType="end"/>
            </w:r>
          </w:hyperlink>
        </w:p>
        <w:p w14:paraId="6C33007E" w14:textId="77777777" w:rsidR="00C13919" w:rsidRDefault="00000000">
          <w:pPr>
            <w:pStyle w:val="TOC3"/>
            <w:tabs>
              <w:tab w:val="right" w:leader="dot" w:pos="8987"/>
            </w:tabs>
          </w:pPr>
          <w:hyperlink w:anchor="_Toc8721">
            <w:r>
              <w:rPr>
                <w:rFonts w:ascii="Times New Roman" w:eastAsia="Times New Roman" w:hAnsi="Times New Roman" w:cs="Times New Roman"/>
              </w:rPr>
              <w:t>4.2.3 Etudes en phase réanimation</w:t>
            </w:r>
            <w:r>
              <w:tab/>
            </w:r>
            <w:r>
              <w:fldChar w:fldCharType="begin"/>
            </w:r>
            <w:r>
              <w:instrText>PAGEREF _Toc8721 \h</w:instrText>
            </w:r>
            <w:r>
              <w:fldChar w:fldCharType="separate"/>
            </w:r>
            <w:r>
              <w:rPr>
                <w:rFonts w:ascii="Times New Roman" w:eastAsia="Times New Roman" w:hAnsi="Times New Roman" w:cs="Times New Roman"/>
              </w:rPr>
              <w:t>9</w:t>
            </w:r>
            <w:r>
              <w:fldChar w:fldCharType="end"/>
            </w:r>
          </w:hyperlink>
        </w:p>
        <w:p w14:paraId="7BA6DEAD" w14:textId="77777777" w:rsidR="00C13919" w:rsidRDefault="00000000">
          <w:pPr>
            <w:pStyle w:val="TOC1"/>
            <w:tabs>
              <w:tab w:val="right" w:leader="dot" w:pos="8987"/>
            </w:tabs>
          </w:pPr>
          <w:hyperlink w:anchor="_Toc8722">
            <w:r>
              <w:rPr>
                <w:rFonts w:ascii="Times New Roman" w:eastAsia="Times New Roman" w:hAnsi="Times New Roman" w:cs="Times New Roman"/>
                <w:b/>
              </w:rPr>
              <w:t>5 Conclusion</w:t>
            </w:r>
            <w:r>
              <w:tab/>
            </w:r>
            <w:r>
              <w:fldChar w:fldCharType="begin"/>
            </w:r>
            <w:r>
              <w:instrText>PAGEREF _Toc8722 \h</w:instrText>
            </w:r>
            <w:r>
              <w:fldChar w:fldCharType="separate"/>
            </w:r>
            <w:r>
              <w:rPr>
                <w:rFonts w:ascii="Times New Roman" w:eastAsia="Times New Roman" w:hAnsi="Times New Roman" w:cs="Times New Roman"/>
                <w:b/>
              </w:rPr>
              <w:t>10</w:t>
            </w:r>
            <w:r>
              <w:fldChar w:fldCharType="end"/>
            </w:r>
          </w:hyperlink>
        </w:p>
        <w:p w14:paraId="4BB98B42" w14:textId="77777777" w:rsidR="00C13919" w:rsidRDefault="00000000">
          <w:r>
            <w:fldChar w:fldCharType="end"/>
          </w:r>
        </w:p>
      </w:sdtContent>
    </w:sdt>
    <w:p w14:paraId="282038EC" w14:textId="77777777" w:rsidR="00C13919" w:rsidRDefault="00000000">
      <w:pPr>
        <w:spacing w:after="299" w:line="259" w:lineRule="auto"/>
        <w:ind w:left="-5"/>
        <w:jc w:val="left"/>
      </w:pPr>
      <w:r>
        <w:rPr>
          <w:b/>
          <w:sz w:val="29"/>
        </w:rPr>
        <w:lastRenderedPageBreak/>
        <w:t>List of Figures</w:t>
      </w:r>
    </w:p>
    <w:p w14:paraId="77347652" w14:textId="77777777" w:rsidR="00C13919" w:rsidRDefault="00000000">
      <w:pPr>
        <w:numPr>
          <w:ilvl w:val="0"/>
          <w:numId w:val="1"/>
        </w:numPr>
        <w:spacing w:after="167" w:line="259" w:lineRule="auto"/>
        <w:ind w:right="-13" w:hanging="502"/>
        <w:jc w:val="right"/>
      </w:pPr>
      <w:r w:rsidRPr="00C75EDC">
        <w:rPr>
          <w:lang w:val="fr-FR"/>
        </w:rPr>
        <w:t>Structure chimique de la vitamine D3 ou cholécalciférol</w:t>
      </w:r>
      <w:r w:rsidRPr="00C75EDC">
        <w:rPr>
          <w:lang w:val="fr-FR"/>
        </w:rPr>
        <w:tab/>
        <w:t>. . . . . . . . . . . . . . . .</w:t>
      </w:r>
      <w:r w:rsidRPr="00C75EDC">
        <w:rPr>
          <w:lang w:val="fr-FR"/>
        </w:rPr>
        <w:tab/>
      </w:r>
      <w:r>
        <w:t>3</w:t>
      </w:r>
    </w:p>
    <w:p w14:paraId="32AC17A8" w14:textId="77777777" w:rsidR="00C13919" w:rsidRDefault="00000000">
      <w:pPr>
        <w:numPr>
          <w:ilvl w:val="0"/>
          <w:numId w:val="1"/>
        </w:numPr>
        <w:spacing w:after="167" w:line="259" w:lineRule="auto"/>
        <w:ind w:right="-13" w:hanging="502"/>
        <w:jc w:val="right"/>
      </w:pPr>
      <w:r w:rsidRPr="00C75EDC">
        <w:rPr>
          <w:lang w:val="fr-FR"/>
        </w:rPr>
        <w:t>Métabolisme de la vitamine D. Source : Norman (2008)</w:t>
      </w:r>
      <w:r w:rsidRPr="00C75EDC">
        <w:rPr>
          <w:lang w:val="fr-FR"/>
        </w:rPr>
        <w:tab/>
        <w:t>. . . . . . . . . . . . . . . .</w:t>
      </w:r>
      <w:r w:rsidRPr="00C75EDC">
        <w:rPr>
          <w:lang w:val="fr-FR"/>
        </w:rPr>
        <w:tab/>
      </w:r>
      <w:r>
        <w:t>4</w:t>
      </w:r>
    </w:p>
    <w:p w14:paraId="0F146937" w14:textId="77777777" w:rsidR="00C13919" w:rsidRDefault="00000000">
      <w:pPr>
        <w:numPr>
          <w:ilvl w:val="0"/>
          <w:numId w:val="1"/>
        </w:numPr>
        <w:spacing w:after="167" w:line="259" w:lineRule="auto"/>
        <w:ind w:right="-13" w:hanging="502"/>
        <w:jc w:val="right"/>
      </w:pPr>
      <w:r w:rsidRPr="00C75EDC">
        <w:rPr>
          <w:lang w:val="fr-FR"/>
        </w:rPr>
        <w:t xml:space="preserve">Métabolisme et Régulation de la vitamine D. Source : Dankers et al. </w:t>
      </w:r>
      <w:r>
        <w:t>(2017)</w:t>
      </w:r>
      <w:r>
        <w:tab/>
        <w:t>. . . . . .</w:t>
      </w:r>
      <w:r>
        <w:tab/>
        <w:t>5</w:t>
      </w:r>
    </w:p>
    <w:p w14:paraId="1D152D03" w14:textId="77777777" w:rsidR="00C13919" w:rsidRDefault="00000000">
      <w:pPr>
        <w:numPr>
          <w:ilvl w:val="0"/>
          <w:numId w:val="1"/>
        </w:numPr>
        <w:spacing w:after="0" w:line="259" w:lineRule="auto"/>
        <w:ind w:right="-13" w:hanging="502"/>
        <w:jc w:val="right"/>
      </w:pPr>
      <w:r w:rsidRPr="00C75EDC">
        <w:rPr>
          <w:b/>
          <w:lang w:val="fr-FR"/>
        </w:rPr>
        <w:t xml:space="preserve">Effets classiques et extra-squelettiques de la vitamine D. </w:t>
      </w:r>
      <w:r w:rsidRPr="00C75EDC">
        <w:rPr>
          <w:lang w:val="fr-FR"/>
        </w:rPr>
        <w:t xml:space="preserve">Source : Caprio et al. </w:t>
      </w:r>
      <w:r>
        <w:t>(2017)</w:t>
      </w:r>
      <w:r>
        <w:tab/>
        <w:t>7</w:t>
      </w:r>
      <w:r>
        <w:br w:type="page"/>
      </w:r>
    </w:p>
    <w:p w14:paraId="506C913F" w14:textId="77777777" w:rsidR="00C13919" w:rsidRDefault="00000000">
      <w:pPr>
        <w:spacing w:after="0" w:line="259" w:lineRule="auto"/>
        <w:ind w:left="-5"/>
        <w:jc w:val="left"/>
      </w:pPr>
      <w:r>
        <w:rPr>
          <w:b/>
          <w:sz w:val="29"/>
        </w:rPr>
        <w:lastRenderedPageBreak/>
        <w:t>List of Tables</w:t>
      </w:r>
      <w:r>
        <w:br w:type="page"/>
      </w:r>
    </w:p>
    <w:p w14:paraId="700D10D3" w14:textId="77777777" w:rsidR="00C13919" w:rsidRDefault="00000000">
      <w:pPr>
        <w:spacing w:after="299" w:line="259" w:lineRule="auto"/>
        <w:ind w:left="-5"/>
        <w:jc w:val="left"/>
      </w:pPr>
      <w:proofErr w:type="spellStart"/>
      <w:r>
        <w:rPr>
          <w:b/>
          <w:sz w:val="29"/>
        </w:rPr>
        <w:lastRenderedPageBreak/>
        <w:t>Liste</w:t>
      </w:r>
      <w:proofErr w:type="spellEnd"/>
      <w:r>
        <w:rPr>
          <w:b/>
          <w:sz w:val="29"/>
        </w:rPr>
        <w:t xml:space="preserve"> des </w:t>
      </w:r>
      <w:proofErr w:type="spellStart"/>
      <w:r>
        <w:rPr>
          <w:b/>
          <w:sz w:val="29"/>
        </w:rPr>
        <w:t>abbréviations</w:t>
      </w:r>
      <w:proofErr w:type="spellEnd"/>
    </w:p>
    <w:p w14:paraId="404B60EB" w14:textId="77777777" w:rsidR="00C13919" w:rsidRDefault="00000000">
      <w:pPr>
        <w:numPr>
          <w:ilvl w:val="0"/>
          <w:numId w:val="2"/>
        </w:numPr>
        <w:spacing w:after="166" w:line="259" w:lineRule="auto"/>
        <w:ind w:hanging="185"/>
      </w:pPr>
      <w:r>
        <w:t>7-</w:t>
      </w:r>
      <w:proofErr w:type="gramStart"/>
      <w:r>
        <w:t>DHC :</w:t>
      </w:r>
      <w:proofErr w:type="gramEnd"/>
      <w:r>
        <w:t xml:space="preserve"> 7-déhydrocholestérol</w:t>
      </w:r>
    </w:p>
    <w:p w14:paraId="26D1F15D" w14:textId="77777777" w:rsidR="00C13919" w:rsidRPr="00C75EDC" w:rsidRDefault="00000000">
      <w:pPr>
        <w:numPr>
          <w:ilvl w:val="0"/>
          <w:numId w:val="2"/>
        </w:numPr>
        <w:spacing w:after="166" w:line="259" w:lineRule="auto"/>
        <w:ind w:hanging="185"/>
        <w:rPr>
          <w:lang w:val="fr-FR"/>
        </w:rPr>
      </w:pPr>
      <w:r w:rsidRPr="00C75EDC">
        <w:rPr>
          <w:lang w:val="fr-FR"/>
        </w:rPr>
        <w:t>DBP : Protéine de liaison de l’albumine</w:t>
      </w:r>
    </w:p>
    <w:p w14:paraId="5F253607" w14:textId="77777777" w:rsidR="00C13919" w:rsidRDefault="00000000">
      <w:pPr>
        <w:numPr>
          <w:ilvl w:val="0"/>
          <w:numId w:val="2"/>
        </w:numPr>
        <w:spacing w:after="166" w:line="259" w:lineRule="auto"/>
        <w:ind w:hanging="185"/>
      </w:pPr>
      <w:proofErr w:type="gramStart"/>
      <w:r>
        <w:t>UI :</w:t>
      </w:r>
      <w:proofErr w:type="gramEnd"/>
      <w:r>
        <w:t xml:space="preserve"> </w:t>
      </w:r>
      <w:proofErr w:type="spellStart"/>
      <w:r>
        <w:t>Unité</w:t>
      </w:r>
      <w:proofErr w:type="spellEnd"/>
      <w:r>
        <w:t xml:space="preserve"> </w:t>
      </w:r>
      <w:proofErr w:type="spellStart"/>
      <w:r>
        <w:t>Internationale</w:t>
      </w:r>
      <w:proofErr w:type="spellEnd"/>
    </w:p>
    <w:p w14:paraId="3196A20E" w14:textId="77777777" w:rsidR="00C13919" w:rsidRDefault="00000000">
      <w:pPr>
        <w:numPr>
          <w:ilvl w:val="0"/>
          <w:numId w:val="2"/>
        </w:numPr>
        <w:spacing w:after="166" w:line="259" w:lineRule="auto"/>
        <w:ind w:hanging="185"/>
      </w:pPr>
      <w:proofErr w:type="spellStart"/>
      <w:proofErr w:type="gramStart"/>
      <w:r>
        <w:t>VitD</w:t>
      </w:r>
      <w:proofErr w:type="spellEnd"/>
      <w:r>
        <w:t xml:space="preserve"> :</w:t>
      </w:r>
      <w:proofErr w:type="gramEnd"/>
      <w:r>
        <w:t xml:space="preserve"> </w:t>
      </w:r>
      <w:proofErr w:type="spellStart"/>
      <w:r>
        <w:t>Vitamine</w:t>
      </w:r>
      <w:proofErr w:type="spellEnd"/>
      <w:r>
        <w:t xml:space="preserve"> D</w:t>
      </w:r>
    </w:p>
    <w:p w14:paraId="7AD3C20F" w14:textId="77777777" w:rsidR="00C13919" w:rsidRPr="00C75EDC" w:rsidRDefault="00000000">
      <w:pPr>
        <w:numPr>
          <w:ilvl w:val="0"/>
          <w:numId w:val="2"/>
        </w:numPr>
        <w:spacing w:line="259" w:lineRule="auto"/>
        <w:ind w:hanging="185"/>
        <w:rPr>
          <w:lang w:val="fr-FR"/>
        </w:rPr>
      </w:pPr>
      <w:r w:rsidRPr="00C75EDC">
        <w:rPr>
          <w:lang w:val="fr-FR"/>
        </w:rPr>
        <w:t>VDR : Récepteur de la vitamine D</w:t>
      </w:r>
    </w:p>
    <w:p w14:paraId="28C8A486" w14:textId="77777777" w:rsidR="00C13919" w:rsidRPr="00C75EDC" w:rsidRDefault="00C13919">
      <w:pPr>
        <w:rPr>
          <w:lang w:val="fr-FR"/>
        </w:rPr>
        <w:sectPr w:rsidR="00C13919" w:rsidRPr="00C75EDC">
          <w:footerReference w:type="even" r:id="rId7"/>
          <w:footerReference w:type="default" r:id="rId8"/>
          <w:footerReference w:type="first" r:id="rId9"/>
          <w:pgSz w:w="12240" w:h="15840"/>
          <w:pgMar w:top="1972" w:right="1836" w:bottom="3931" w:left="1417" w:header="720" w:footer="720" w:gutter="0"/>
          <w:cols w:space="720"/>
        </w:sectPr>
      </w:pPr>
    </w:p>
    <w:p w14:paraId="345C71E3" w14:textId="77777777" w:rsidR="00C13919" w:rsidRDefault="00000000">
      <w:pPr>
        <w:pStyle w:val="Heading1"/>
        <w:spacing w:after="0"/>
        <w:ind w:left="286" w:hanging="301"/>
      </w:pPr>
      <w:bookmarkStart w:id="0" w:name="_Toc8705"/>
      <w:r>
        <w:lastRenderedPageBreak/>
        <w:t>Introduction</w:t>
      </w:r>
      <w:r>
        <w:br w:type="page"/>
      </w:r>
      <w:bookmarkEnd w:id="0"/>
    </w:p>
    <w:p w14:paraId="5989D6B3" w14:textId="77777777" w:rsidR="00C13919" w:rsidRDefault="00000000">
      <w:pPr>
        <w:pStyle w:val="Heading1"/>
        <w:ind w:left="286" w:hanging="301"/>
      </w:pPr>
      <w:bookmarkStart w:id="1" w:name="_Toc8706"/>
      <w:proofErr w:type="spellStart"/>
      <w:r>
        <w:lastRenderedPageBreak/>
        <w:t>Généralités</w:t>
      </w:r>
      <w:proofErr w:type="spellEnd"/>
      <w:r>
        <w:t xml:space="preserve"> sur la </w:t>
      </w:r>
      <w:proofErr w:type="spellStart"/>
      <w:r>
        <w:t>vitamine</w:t>
      </w:r>
      <w:proofErr w:type="spellEnd"/>
      <w:r>
        <w:t xml:space="preserve"> D</w:t>
      </w:r>
      <w:bookmarkEnd w:id="1"/>
    </w:p>
    <w:p w14:paraId="17FE6493" w14:textId="77777777" w:rsidR="00C13919" w:rsidRDefault="00000000">
      <w:pPr>
        <w:pStyle w:val="Heading2"/>
        <w:ind w:left="441" w:right="5482" w:hanging="456"/>
      </w:pPr>
      <w:bookmarkStart w:id="2" w:name="_Toc8707"/>
      <w:r>
        <w:t>Structure</w:t>
      </w:r>
      <w:bookmarkEnd w:id="2"/>
    </w:p>
    <w:p w14:paraId="15652330" w14:textId="77777777" w:rsidR="00C13919" w:rsidRPr="00C75EDC" w:rsidRDefault="00000000">
      <w:pPr>
        <w:ind w:left="-5"/>
        <w:rPr>
          <w:lang w:val="fr-FR"/>
        </w:rPr>
      </w:pPr>
      <w:r w:rsidRPr="00C75EDC">
        <w:rPr>
          <w:lang w:val="fr-FR"/>
        </w:rPr>
        <w:t>La vitamine D (VitD) est un nutriment vital, nécessaire pour le métabolisme. La VitD possède un rôle de vitamine qui est définie comme étant une substance organique essentielle en quantités infimes, à la nutrition de la plupart des animaux et de certaines plantes. Les vitamines agissent comme coenzymes et précurseurs de coenzymes pour réguler les processus métaboliques mais ne fournissent pas d’énergie et ne servent pas d’unités de construction (Ellison and Moran 2020).</w:t>
      </w:r>
    </w:p>
    <w:p w14:paraId="64039C5C" w14:textId="77777777" w:rsidR="00C13919" w:rsidRPr="00C75EDC" w:rsidRDefault="00000000">
      <w:pPr>
        <w:ind w:left="-15" w:firstLine="218"/>
        <w:rPr>
          <w:lang w:val="fr-FR"/>
        </w:rPr>
      </w:pPr>
      <w:r w:rsidRPr="00C75EDC">
        <w:rPr>
          <w:lang w:val="fr-FR"/>
        </w:rPr>
        <w:t>La VitD est une molécule liposoluble, semblable à une hormone stéroïde. Celle-ci possède plusieurs formes, la vitamine D</w:t>
      </w:r>
      <w:r w:rsidRPr="00C75EDC">
        <w:rPr>
          <w:vertAlign w:val="subscript"/>
          <w:lang w:val="fr-FR"/>
        </w:rPr>
        <w:t xml:space="preserve">2 </w:t>
      </w:r>
      <w:r w:rsidRPr="00C75EDC">
        <w:rPr>
          <w:lang w:val="fr-FR"/>
        </w:rPr>
        <w:t>ou ergocalciférol, synthétisée par les plantes, et la vitamine D3 ou cholécalciférol , synthétisée dans la peau après une exposition aux rayons ultraviolets B ou à la lumière du soleil. Généralement, la mention de vitamine D fait référence à la vitamine D3.</w:t>
      </w:r>
    </w:p>
    <w:p w14:paraId="799270E7" w14:textId="77777777" w:rsidR="00C13919" w:rsidRPr="00C75EDC" w:rsidRDefault="00000000">
      <w:pPr>
        <w:ind w:left="-15" w:firstLine="218"/>
        <w:rPr>
          <w:lang w:val="fr-FR"/>
        </w:rPr>
      </w:pPr>
      <w:r w:rsidRPr="00C75EDC">
        <w:rPr>
          <w:lang w:val="fr-FR"/>
        </w:rPr>
        <w:t xml:space="preserve">Curieusement la VitD possède une structure ressemblant à une hormone stéroïdienne classique, telle que le cortisol et l’aldostérone (Norman 2008) </w:t>
      </w:r>
      <w:r w:rsidRPr="00C75EDC">
        <w:rPr>
          <w:b/>
          <w:lang w:val="fr-FR"/>
        </w:rPr>
        <w:t>(Figure 1)</w:t>
      </w:r>
      <w:r w:rsidRPr="00C75EDC">
        <w:rPr>
          <w:lang w:val="fr-FR"/>
        </w:rPr>
        <w:t>. Une hormone est une substance chimique qui aide à contrôler et à réguler différentes activités dans l’organisme (Ellison and Moran 2020). La vitamine D est capable d’agir en tant que facteur de transcription et de modifier le métabolisme de diverses manières. Pratiquement toutes les cellules de l’organisme possèdent un récepteur à la vitamin</w:t>
      </w:r>
    </w:p>
    <w:p w14:paraId="020234F3" w14:textId="77777777" w:rsidR="00C13919" w:rsidRPr="00C75EDC" w:rsidRDefault="00000000">
      <w:pPr>
        <w:spacing w:after="310"/>
        <w:ind w:left="-5"/>
        <w:rPr>
          <w:lang w:val="fr-FR"/>
        </w:rPr>
      </w:pPr>
      <w:r w:rsidRPr="00C75EDC">
        <w:rPr>
          <w:lang w:val="fr-FR"/>
        </w:rPr>
        <w:t>D (VDR), ce qui explique ses effets pléiotropiques dans diverses maladies (Ellison and Moran 2020</w:t>
      </w:r>
      <w:r>
        <w:t>;</w:t>
      </w:r>
      <w:r w:rsidRPr="00C75EDC">
        <w:rPr>
          <w:lang w:val="fr-FR"/>
        </w:rPr>
        <w:t xml:space="preserve"> Caprio et al. 2017</w:t>
      </w:r>
      <w:r>
        <w:t>;</w:t>
      </w:r>
      <w:r w:rsidRPr="00C75EDC">
        <w:rPr>
          <w:lang w:val="fr-FR"/>
        </w:rPr>
        <w:t xml:space="preserve"> Norman 2008). Le VDR est un récepteur faisant partie de la classe des facteurs de transcription nucléaire. Ainsi la liaison de la vitamine D sur son récepteur conduit à une séquence classique de translocation nucléaire et de liaison à l’ADN (Bouillon et al. 2008). De plus, la vitamine D est la seule vitamine qui peut être synthétisée par l’organisme, contrairement aux vitamines A, B, C, E ce qui contribue à l’idée que la vitamine D serait plutôt une hormone.</w:t>
      </w:r>
    </w:p>
    <w:p w14:paraId="29B5F877" w14:textId="77777777" w:rsidR="00C13919" w:rsidRDefault="00000000">
      <w:pPr>
        <w:pStyle w:val="Heading2"/>
        <w:ind w:left="441" w:right="5482" w:hanging="456"/>
      </w:pPr>
      <w:bookmarkStart w:id="3" w:name="_Toc8708"/>
      <w:proofErr w:type="spellStart"/>
      <w:r>
        <w:t>Métabolisme</w:t>
      </w:r>
      <w:bookmarkEnd w:id="3"/>
      <w:proofErr w:type="spellEnd"/>
    </w:p>
    <w:p w14:paraId="4509AAD3" w14:textId="77777777" w:rsidR="00C13919" w:rsidRPr="00C75EDC" w:rsidRDefault="00000000">
      <w:pPr>
        <w:ind w:left="-5"/>
        <w:rPr>
          <w:lang w:val="fr-FR"/>
        </w:rPr>
      </w:pPr>
      <w:r w:rsidRPr="00C75EDC">
        <w:rPr>
          <w:lang w:val="fr-FR"/>
        </w:rPr>
        <w:t>La vitamine D provient initialement d’un composé métaboliquement inactif qui doit être transformé en plusieurs métabolites actifs dans le foie et les reins. La vitamine D</w:t>
      </w:r>
      <w:r w:rsidRPr="00C75EDC">
        <w:rPr>
          <w:vertAlign w:val="subscript"/>
          <w:lang w:val="fr-FR"/>
        </w:rPr>
        <w:t xml:space="preserve">3 </w:t>
      </w:r>
      <w:r w:rsidRPr="00C75EDC">
        <w:rPr>
          <w:lang w:val="fr-FR"/>
        </w:rPr>
        <w:t xml:space="preserve">peut être obtenue à partir de </w:t>
      </w:r>
      <w:r w:rsidRPr="00C75EDC">
        <w:rPr>
          <w:lang w:val="fr-FR"/>
        </w:rPr>
        <w:lastRenderedPageBreak/>
        <w:t>compléments et d’apports alimentaires, mais est principalement obtenue par synthèse endogène de l’organisme.</w:t>
      </w:r>
    </w:p>
    <w:p w14:paraId="1EEB36F9" w14:textId="77777777" w:rsidR="00C13919" w:rsidRPr="00C75EDC" w:rsidRDefault="00000000">
      <w:pPr>
        <w:spacing w:line="259" w:lineRule="auto"/>
        <w:ind w:left="-5"/>
        <w:rPr>
          <w:lang w:val="fr-FR"/>
        </w:rPr>
      </w:pPr>
      <w:r w:rsidRPr="00C75EDC">
        <w:rPr>
          <w:lang w:val="fr-FR"/>
        </w:rPr>
        <w:t>Initialement, le 7-déhydrocholestérol (7-DHC), un dérivé du cholestérol situé dans la peau, se transforme</w:t>
      </w:r>
    </w:p>
    <w:p w14:paraId="40A8AB86" w14:textId="77777777" w:rsidR="00C13919" w:rsidRDefault="00000000">
      <w:pPr>
        <w:spacing w:after="229" w:line="259" w:lineRule="auto"/>
        <w:ind w:left="2247" w:firstLine="0"/>
        <w:jc w:val="left"/>
      </w:pPr>
      <w:r>
        <w:rPr>
          <w:noProof/>
        </w:rPr>
        <w:drawing>
          <wp:inline distT="0" distB="0" distL="0" distR="0" wp14:anchorId="43686508" wp14:editId="16F8CCA9">
            <wp:extent cx="2853283" cy="2304918"/>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10"/>
                    <a:stretch>
                      <a:fillRect/>
                    </a:stretch>
                  </pic:blipFill>
                  <pic:spPr>
                    <a:xfrm>
                      <a:off x="0" y="0"/>
                      <a:ext cx="2853283" cy="2304918"/>
                    </a:xfrm>
                    <a:prstGeom prst="rect">
                      <a:avLst/>
                    </a:prstGeom>
                  </pic:spPr>
                </pic:pic>
              </a:graphicData>
            </a:graphic>
          </wp:inline>
        </w:drawing>
      </w:r>
    </w:p>
    <w:p w14:paraId="21C90EF2" w14:textId="77777777" w:rsidR="00C13919" w:rsidRPr="00C75EDC" w:rsidRDefault="00000000">
      <w:pPr>
        <w:spacing w:after="424" w:line="313" w:lineRule="auto"/>
        <w:ind w:right="1"/>
        <w:jc w:val="center"/>
        <w:rPr>
          <w:lang w:val="fr-FR"/>
        </w:rPr>
      </w:pPr>
      <w:r w:rsidRPr="00C75EDC">
        <w:rPr>
          <w:b/>
          <w:sz w:val="20"/>
          <w:lang w:val="fr-FR"/>
        </w:rPr>
        <w:t xml:space="preserve">Figure 1: </w:t>
      </w:r>
      <w:r w:rsidRPr="00C75EDC">
        <w:rPr>
          <w:sz w:val="20"/>
          <w:lang w:val="fr-FR"/>
        </w:rPr>
        <w:t>Structure chimique de la vitamine D3 ou cholécalciférol</w:t>
      </w:r>
    </w:p>
    <w:p w14:paraId="394F1688" w14:textId="77777777" w:rsidR="00C13919" w:rsidRPr="00C75EDC" w:rsidRDefault="00000000">
      <w:pPr>
        <w:spacing w:after="185" w:line="259" w:lineRule="auto"/>
        <w:ind w:left="-5"/>
        <w:rPr>
          <w:lang w:val="fr-FR"/>
        </w:rPr>
      </w:pPr>
      <w:proofErr w:type="gramStart"/>
      <w:r w:rsidRPr="00C75EDC">
        <w:rPr>
          <w:lang w:val="fr-FR"/>
        </w:rPr>
        <w:t>en</w:t>
      </w:r>
      <w:proofErr w:type="gramEnd"/>
      <w:r w:rsidRPr="00C75EDC">
        <w:rPr>
          <w:lang w:val="fr-FR"/>
        </w:rPr>
        <w:t xml:space="preserve"> vitamine D</w:t>
      </w:r>
      <w:r w:rsidRPr="00C75EDC">
        <w:rPr>
          <w:vertAlign w:val="subscript"/>
          <w:lang w:val="fr-FR"/>
        </w:rPr>
        <w:t xml:space="preserve">3 </w:t>
      </w:r>
      <w:r w:rsidRPr="00C75EDC">
        <w:rPr>
          <w:lang w:val="fr-FR"/>
        </w:rPr>
        <w:t>(cholécalciférol) sous l’action des ondes ultraviolettes provenant du soleil.</w:t>
      </w:r>
    </w:p>
    <w:p w14:paraId="2A203739" w14:textId="77777777" w:rsidR="00C13919" w:rsidRPr="00C75EDC" w:rsidRDefault="00000000">
      <w:pPr>
        <w:spacing w:after="27"/>
        <w:ind w:left="-15" w:firstLine="218"/>
        <w:rPr>
          <w:lang w:val="fr-FR"/>
        </w:rPr>
      </w:pPr>
      <w:r w:rsidRPr="00C75EDC">
        <w:rPr>
          <w:lang w:val="fr-FR"/>
        </w:rPr>
        <w:t>La vitamine D</w:t>
      </w:r>
      <w:r w:rsidRPr="00C75EDC">
        <w:rPr>
          <w:vertAlign w:val="subscript"/>
          <w:lang w:val="fr-FR"/>
        </w:rPr>
        <w:t xml:space="preserve">3 </w:t>
      </w:r>
      <w:r w:rsidRPr="00C75EDC">
        <w:rPr>
          <w:lang w:val="fr-FR"/>
        </w:rPr>
        <w:t>doit ensuite être métabolisée dans le foie pour obtenir la forme active qui permettra d’exercer ses effets à travers le récepteur de la vitamine D (VDR). Pour cela, elle est transportée à travers le sang par la protéine de liaison de la vitamine D (DBP), appartenant à la famille des albumines (Christakos et al. 2010</w:t>
      </w:r>
      <w:r>
        <w:t>;</w:t>
      </w:r>
      <w:r w:rsidRPr="00C75EDC">
        <w:rPr>
          <w:lang w:val="fr-FR"/>
        </w:rPr>
        <w:t xml:space="preserve"> Chun 2012). La DBP peut également lier les autres formes de vitamine D, telles que la vitamine D</w:t>
      </w:r>
      <w:r w:rsidRPr="00C75EDC">
        <w:rPr>
          <w:vertAlign w:val="subscript"/>
          <w:lang w:val="fr-FR"/>
        </w:rPr>
        <w:t xml:space="preserve">2 </w:t>
      </w:r>
      <w:r w:rsidRPr="00C75EDC">
        <w:rPr>
          <w:lang w:val="fr-FR"/>
        </w:rPr>
        <w:t>(ergocalciférol), vitamine D</w:t>
      </w:r>
      <w:r w:rsidRPr="00C75EDC">
        <w:rPr>
          <w:vertAlign w:val="subscript"/>
          <w:lang w:val="fr-FR"/>
        </w:rPr>
        <w:t>3</w:t>
      </w:r>
      <w:r w:rsidRPr="00C75EDC">
        <w:rPr>
          <w:lang w:val="fr-FR"/>
        </w:rPr>
        <w:t>, 25(OH)D</w:t>
      </w:r>
      <w:r w:rsidRPr="00C75EDC">
        <w:rPr>
          <w:vertAlign w:val="subscript"/>
          <w:lang w:val="fr-FR"/>
        </w:rPr>
        <w:t xml:space="preserve">3 </w:t>
      </w:r>
      <w:r w:rsidRPr="00C75EDC">
        <w:rPr>
          <w:lang w:val="fr-FR"/>
        </w:rPr>
        <w:t>et 1,25(OH)D</w:t>
      </w:r>
      <w:r w:rsidRPr="00C75EDC">
        <w:rPr>
          <w:vertAlign w:val="subscript"/>
          <w:lang w:val="fr-FR"/>
        </w:rPr>
        <w:t>3</w:t>
      </w:r>
      <w:r w:rsidRPr="00C75EDC">
        <w:rPr>
          <w:lang w:val="fr-FR"/>
        </w:rPr>
        <w:t>.</w:t>
      </w:r>
    </w:p>
    <w:p w14:paraId="30F35B0D" w14:textId="77777777" w:rsidR="00C13919" w:rsidRPr="00C75EDC" w:rsidRDefault="00000000">
      <w:pPr>
        <w:ind w:left="-15" w:firstLine="218"/>
        <w:rPr>
          <w:lang w:val="fr-FR"/>
        </w:rPr>
      </w:pPr>
      <w:r w:rsidRPr="00C75EDC">
        <w:rPr>
          <w:lang w:val="fr-FR"/>
        </w:rPr>
        <w:t>Par la suite, la vitamine D</w:t>
      </w:r>
      <w:r w:rsidRPr="00C75EDC">
        <w:rPr>
          <w:vertAlign w:val="subscript"/>
          <w:lang w:val="fr-FR"/>
        </w:rPr>
        <w:t xml:space="preserve">3 </w:t>
      </w:r>
      <w:r w:rsidRPr="00C75EDC">
        <w:rPr>
          <w:lang w:val="fr-FR"/>
        </w:rPr>
        <w:t>est métabolisée en 25(OH)D</w:t>
      </w:r>
      <w:r w:rsidRPr="00C75EDC">
        <w:rPr>
          <w:vertAlign w:val="subscript"/>
          <w:lang w:val="fr-FR"/>
        </w:rPr>
        <w:t xml:space="preserve">3 </w:t>
      </w:r>
      <w:r w:rsidRPr="00C75EDC">
        <w:rPr>
          <w:lang w:val="fr-FR"/>
        </w:rPr>
        <w:t>ou calcidiol, par une des enzymes cytochrome P450 vitamine D 25-hydroxylases (dont CYP2R1, CYP2D11, CYP2D25) dans le foie, qui est la forme majoritaire circulante dans l’organisme (Norman 2008</w:t>
      </w:r>
      <w:r>
        <w:t>;</w:t>
      </w:r>
      <w:r w:rsidRPr="00C75EDC">
        <w:rPr>
          <w:lang w:val="fr-FR"/>
        </w:rPr>
        <w:t xml:space="preserve"> Christakos et al. 2010). Ultérieurement, cette forme est transportée par la DBP dans le rein, est filtrée par le glomérule et se retrouve hydroxylée à nouveau dans le tube proximal du rein par la CYP27B1 ou 1</w:t>
      </w:r>
      <w:r>
        <w:t>α</w:t>
      </w:r>
      <w:r w:rsidRPr="00C75EDC">
        <w:rPr>
          <w:lang w:val="fr-FR"/>
        </w:rPr>
        <w:t>(OH)ase pour donner la 1,25dihydroxyvitamine D</w:t>
      </w:r>
      <w:r w:rsidRPr="00C75EDC">
        <w:rPr>
          <w:vertAlign w:val="subscript"/>
          <w:lang w:val="fr-FR"/>
        </w:rPr>
        <w:t xml:space="preserve">3 </w:t>
      </w:r>
      <w:r w:rsidRPr="00C75EDC">
        <w:rPr>
          <w:lang w:val="fr-FR"/>
        </w:rPr>
        <w:t>(1,25(OH)</w:t>
      </w:r>
      <w:r w:rsidRPr="00C75EDC">
        <w:rPr>
          <w:vertAlign w:val="subscript"/>
          <w:lang w:val="fr-FR"/>
        </w:rPr>
        <w:t>2</w:t>
      </w:r>
      <w:r w:rsidRPr="00C75EDC">
        <w:rPr>
          <w:lang w:val="fr-FR"/>
        </w:rPr>
        <w:t>D</w:t>
      </w:r>
      <w:r w:rsidRPr="00C75EDC">
        <w:rPr>
          <w:vertAlign w:val="subscript"/>
          <w:lang w:val="fr-FR"/>
        </w:rPr>
        <w:t>3</w:t>
      </w:r>
      <w:r w:rsidRPr="00C75EDC">
        <w:rPr>
          <w:lang w:val="fr-FR"/>
        </w:rPr>
        <w:t xml:space="preserve">) ou calcitriol, nommée ainsi puisqu’elle possède trois groupes hydroxyles. Le calcitriol représente la forme active de la vitamine D, responsable de la </w:t>
      </w:r>
      <w:r w:rsidRPr="00C75EDC">
        <w:rPr>
          <w:lang w:val="fr-FR"/>
        </w:rPr>
        <w:lastRenderedPageBreak/>
        <w:t>majorité de ses effets, en se liant au VDR contenu dans divers tissus (Norman 2008</w:t>
      </w:r>
      <w:r>
        <w:t>;</w:t>
      </w:r>
      <w:r w:rsidRPr="00C75EDC">
        <w:rPr>
          <w:lang w:val="fr-FR"/>
        </w:rPr>
        <w:t xml:space="preserve"> Dankers et al. 2017).</w:t>
      </w:r>
    </w:p>
    <w:p w14:paraId="02F8D74B" w14:textId="77777777" w:rsidR="00C13919" w:rsidRPr="00C75EDC" w:rsidRDefault="00000000">
      <w:pPr>
        <w:ind w:left="-15" w:firstLine="218"/>
        <w:rPr>
          <w:lang w:val="fr-FR"/>
        </w:rPr>
      </w:pPr>
      <w:r w:rsidRPr="00C75EDC">
        <w:rPr>
          <w:lang w:val="fr-FR"/>
        </w:rPr>
        <w:t>Finalement, le catabolisme de la vitamine D se produit par une hydroxylation par la 24-hydroxylase ou CYP24A1, une enzyme P450 mitochrondriale, donnant le métabolite 1,24,25(OH)</w:t>
      </w:r>
      <w:r w:rsidRPr="00C75EDC">
        <w:rPr>
          <w:vertAlign w:val="subscript"/>
          <w:lang w:val="fr-FR"/>
        </w:rPr>
        <w:t>3</w:t>
      </w:r>
      <w:r w:rsidRPr="00C75EDC">
        <w:rPr>
          <w:lang w:val="fr-FR"/>
        </w:rPr>
        <w:t>D</w:t>
      </w:r>
      <w:r w:rsidRPr="00C75EDC">
        <w:rPr>
          <w:vertAlign w:val="subscript"/>
          <w:lang w:val="fr-FR"/>
        </w:rPr>
        <w:t xml:space="preserve">3 </w:t>
      </w:r>
      <w:r w:rsidRPr="00C75EDC">
        <w:rPr>
          <w:lang w:val="fr-FR"/>
        </w:rPr>
        <w:t>ou l’acide calcitroïque. Cette enzyme peut également hydroxyler le calcidiol pour donner de la 24,25(OH)</w:t>
      </w:r>
      <w:r w:rsidRPr="00C75EDC">
        <w:rPr>
          <w:vertAlign w:val="subscript"/>
          <w:lang w:val="fr-FR"/>
        </w:rPr>
        <w:t>3</w:t>
      </w:r>
      <w:r w:rsidRPr="00C75EDC">
        <w:rPr>
          <w:lang w:val="fr-FR"/>
        </w:rPr>
        <w:t>D</w:t>
      </w:r>
      <w:r w:rsidRPr="00C75EDC">
        <w:rPr>
          <w:vertAlign w:val="subscript"/>
          <w:lang w:val="fr-FR"/>
        </w:rPr>
        <w:t>3</w:t>
      </w:r>
      <w:r w:rsidRPr="00C75EDC">
        <w:rPr>
          <w:lang w:val="fr-FR"/>
        </w:rPr>
        <w:t>.</w:t>
      </w:r>
    </w:p>
    <w:p w14:paraId="1F681C5C" w14:textId="77777777" w:rsidR="00C13919" w:rsidRPr="00C75EDC" w:rsidRDefault="00000000">
      <w:pPr>
        <w:spacing w:after="139" w:line="259" w:lineRule="auto"/>
        <w:ind w:left="-5"/>
        <w:rPr>
          <w:lang w:val="fr-FR"/>
        </w:rPr>
      </w:pPr>
      <w:r w:rsidRPr="00C75EDC">
        <w:rPr>
          <w:lang w:val="fr-FR"/>
        </w:rPr>
        <w:t xml:space="preserve">Ces réactions permettent de diminuer la quantité de calcitriol et calcidiol disponible dans le sang, ainsi la 24-hydroxylase sert donc à jouer un rôle de catabolisme de la vitamine D </w:t>
      </w:r>
      <w:r w:rsidRPr="00C75EDC">
        <w:rPr>
          <w:b/>
          <w:lang w:val="fr-FR"/>
        </w:rPr>
        <w:t xml:space="preserve">(Figure 2) </w:t>
      </w:r>
      <w:r w:rsidRPr="00C75EDC">
        <w:rPr>
          <w:lang w:val="fr-FR"/>
        </w:rPr>
        <w:t>[Norman (2008)].</w:t>
      </w:r>
    </w:p>
    <w:p w14:paraId="7814AD2B" w14:textId="77777777" w:rsidR="00C13919" w:rsidRPr="00C75EDC" w:rsidRDefault="00000000">
      <w:pPr>
        <w:ind w:left="-5"/>
        <w:rPr>
          <w:lang w:val="fr-FR"/>
        </w:rPr>
      </w:pPr>
      <w:r w:rsidRPr="00C75EDC">
        <w:rPr>
          <w:lang w:val="fr-FR"/>
        </w:rPr>
        <w:t>La quantité de calcitriol est donc déterminée par un équilibre entre les enzymes CYP27B1 et CYP24A1 (Dankers et al. 2017).</w:t>
      </w:r>
    </w:p>
    <w:p w14:paraId="4C4440DC" w14:textId="77777777" w:rsidR="00C13919" w:rsidRDefault="00000000">
      <w:pPr>
        <w:spacing w:after="229" w:line="259" w:lineRule="auto"/>
        <w:ind w:left="1962" w:firstLine="0"/>
        <w:jc w:val="left"/>
      </w:pPr>
      <w:r>
        <w:rPr>
          <w:noProof/>
        </w:rPr>
        <w:drawing>
          <wp:inline distT="0" distB="0" distL="0" distR="0" wp14:anchorId="61D02052" wp14:editId="0874DB16">
            <wp:extent cx="3215079" cy="2768845"/>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1"/>
                    <a:stretch>
                      <a:fillRect/>
                    </a:stretch>
                  </pic:blipFill>
                  <pic:spPr>
                    <a:xfrm>
                      <a:off x="0" y="0"/>
                      <a:ext cx="3215079" cy="2768845"/>
                    </a:xfrm>
                    <a:prstGeom prst="rect">
                      <a:avLst/>
                    </a:prstGeom>
                  </pic:spPr>
                </pic:pic>
              </a:graphicData>
            </a:graphic>
          </wp:inline>
        </w:drawing>
      </w:r>
    </w:p>
    <w:p w14:paraId="717903AC" w14:textId="77777777" w:rsidR="00C13919" w:rsidRPr="00C75EDC" w:rsidRDefault="00000000">
      <w:pPr>
        <w:spacing w:after="349" w:line="313" w:lineRule="auto"/>
        <w:ind w:right="2"/>
        <w:jc w:val="center"/>
        <w:rPr>
          <w:lang w:val="fr-FR"/>
        </w:rPr>
      </w:pPr>
      <w:r w:rsidRPr="00C75EDC">
        <w:rPr>
          <w:b/>
          <w:sz w:val="20"/>
          <w:lang w:val="fr-FR"/>
        </w:rPr>
        <w:t xml:space="preserve">Figure 2: </w:t>
      </w:r>
      <w:r w:rsidRPr="00C75EDC">
        <w:rPr>
          <w:sz w:val="20"/>
          <w:lang w:val="fr-FR"/>
        </w:rPr>
        <w:t>Métabolisme de la vitamine D. Source : Norman (2008)</w:t>
      </w:r>
    </w:p>
    <w:p w14:paraId="4A8ECFD3" w14:textId="77777777" w:rsidR="00C13919" w:rsidRDefault="00000000">
      <w:pPr>
        <w:spacing w:after="300"/>
        <w:ind w:left="-15" w:firstLine="218"/>
      </w:pPr>
      <w:r w:rsidRPr="00C75EDC">
        <w:rPr>
          <w:lang w:val="fr-FR"/>
        </w:rPr>
        <w:t xml:space="preserve">Le calcitriol est régulé par deux facteurs, l’hormone parathyroïde (PTH) et l’hormone de croissance fibroblastique 23 (FGF23). La FGF23, induite par la haute concentration de calcitriol et une faible concentration de phosphate dans le sang, favorise l’induction de la CYP24A1 qui est l’enzyme de catabolisme du calcidiol, tandis que la PTH, induite par une faible concentration de calcium et inhibée par une forte concentration de calcitriol, va induire la CYP24A1 et donc l’anabolisme du calcitriol </w:t>
      </w:r>
      <w:r w:rsidRPr="00C75EDC">
        <w:rPr>
          <w:b/>
          <w:lang w:val="fr-FR"/>
        </w:rPr>
        <w:t xml:space="preserve">(Figure 3) </w:t>
      </w:r>
      <w:r w:rsidRPr="00C75EDC">
        <w:rPr>
          <w:lang w:val="fr-FR"/>
        </w:rPr>
        <w:t xml:space="preserve">[Dankers et al. </w:t>
      </w:r>
      <w:r>
        <w:t>(</w:t>
      </w:r>
      <w:proofErr w:type="gramStart"/>
      <w:r>
        <w:t>2017);</w:t>
      </w:r>
      <w:proofErr w:type="gramEnd"/>
      <w:r>
        <w:t xml:space="preserve"> Christakos et al. (2010)].</w:t>
      </w:r>
    </w:p>
    <w:p w14:paraId="63C7B2AF" w14:textId="77777777" w:rsidR="00C13919" w:rsidRDefault="00000000">
      <w:pPr>
        <w:pStyle w:val="Heading2"/>
        <w:ind w:left="441" w:right="5482" w:hanging="456"/>
      </w:pPr>
      <w:bookmarkStart w:id="4" w:name="_Toc8709"/>
      <w:proofErr w:type="spellStart"/>
      <w:r>
        <w:lastRenderedPageBreak/>
        <w:t>Propriétés</w:t>
      </w:r>
      <w:bookmarkEnd w:id="4"/>
      <w:proofErr w:type="spellEnd"/>
    </w:p>
    <w:p w14:paraId="7F1EC607" w14:textId="77777777" w:rsidR="00C13919" w:rsidRDefault="00000000">
      <w:pPr>
        <w:pStyle w:val="Heading3"/>
        <w:ind w:left="588" w:hanging="603"/>
      </w:pPr>
      <w:bookmarkStart w:id="5" w:name="_Toc8710"/>
      <w:proofErr w:type="spellStart"/>
      <w:r>
        <w:t>Propriétés</w:t>
      </w:r>
      <w:proofErr w:type="spellEnd"/>
      <w:r>
        <w:t xml:space="preserve"> </w:t>
      </w:r>
      <w:proofErr w:type="spellStart"/>
      <w:r>
        <w:t>classiques</w:t>
      </w:r>
      <w:proofErr w:type="spellEnd"/>
      <w:r>
        <w:t xml:space="preserve"> </w:t>
      </w:r>
      <w:proofErr w:type="spellStart"/>
      <w:r>
        <w:t>osseuses</w:t>
      </w:r>
      <w:bookmarkEnd w:id="5"/>
      <w:proofErr w:type="spellEnd"/>
    </w:p>
    <w:p w14:paraId="5A9FEE4E" w14:textId="77777777" w:rsidR="00C13919" w:rsidRDefault="00000000">
      <w:pPr>
        <w:numPr>
          <w:ilvl w:val="0"/>
          <w:numId w:val="3"/>
        </w:numPr>
        <w:spacing w:after="282" w:line="259" w:lineRule="auto"/>
        <w:ind w:hanging="185"/>
      </w:pPr>
      <w:proofErr w:type="spellStart"/>
      <w:r>
        <w:t>Homéostasie</w:t>
      </w:r>
      <w:proofErr w:type="spellEnd"/>
      <w:r>
        <w:t xml:space="preserve"> du </w:t>
      </w:r>
      <w:proofErr w:type="gramStart"/>
      <w:r>
        <w:t>calcium :</w:t>
      </w:r>
      <w:proofErr w:type="gramEnd"/>
    </w:p>
    <w:p w14:paraId="4486189A" w14:textId="77777777" w:rsidR="00C13919" w:rsidRDefault="00000000">
      <w:pPr>
        <w:ind w:left="-15" w:firstLine="218"/>
      </w:pPr>
      <w:r w:rsidRPr="00C75EDC">
        <w:rPr>
          <w:lang w:val="fr-FR"/>
        </w:rPr>
        <w:t xml:space="preserve">La liaison du calcitriol sur le VDR situé dans les ostéoprogéniteurs entraîne une augmentation de l’absorption de calcium dans les os (diminution de RANKL, facteur de transcription activant les ostéoclastes, et augmentation de LRP5) (Carmeliet, Dermauw, and Bouillon 2015). </w:t>
      </w:r>
      <w:proofErr w:type="spellStart"/>
      <w:r>
        <w:t>Lorsque</w:t>
      </w:r>
      <w:proofErr w:type="spellEnd"/>
      <w:r>
        <w:t xml:space="preserve"> la </w:t>
      </w:r>
      <w:proofErr w:type="spellStart"/>
      <w:r>
        <w:t>calcémie</w:t>
      </w:r>
      <w:proofErr w:type="spellEnd"/>
      <w:r>
        <w:t xml:space="preserve"> </w:t>
      </w:r>
      <w:proofErr w:type="spellStart"/>
      <w:r>
        <w:t>est</w:t>
      </w:r>
      <w:proofErr w:type="spellEnd"/>
    </w:p>
    <w:p w14:paraId="676AA5DB" w14:textId="77777777" w:rsidR="00C13919" w:rsidRDefault="00000000">
      <w:pPr>
        <w:spacing w:after="229" w:line="259" w:lineRule="auto"/>
        <w:ind w:left="524" w:firstLine="0"/>
        <w:jc w:val="left"/>
      </w:pPr>
      <w:r>
        <w:rPr>
          <w:noProof/>
        </w:rPr>
        <w:drawing>
          <wp:inline distT="0" distB="0" distL="0" distR="0" wp14:anchorId="060580AF" wp14:editId="1C267B10">
            <wp:extent cx="5041469" cy="3569262"/>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12"/>
                    <a:stretch>
                      <a:fillRect/>
                    </a:stretch>
                  </pic:blipFill>
                  <pic:spPr>
                    <a:xfrm>
                      <a:off x="0" y="0"/>
                      <a:ext cx="5041469" cy="3569262"/>
                    </a:xfrm>
                    <a:prstGeom prst="rect">
                      <a:avLst/>
                    </a:prstGeom>
                  </pic:spPr>
                </pic:pic>
              </a:graphicData>
            </a:graphic>
          </wp:inline>
        </w:drawing>
      </w:r>
    </w:p>
    <w:p w14:paraId="0169C191" w14:textId="77777777" w:rsidR="00C13919" w:rsidRPr="00C75EDC" w:rsidRDefault="00000000">
      <w:pPr>
        <w:spacing w:after="0" w:line="259" w:lineRule="auto"/>
        <w:ind w:left="1062" w:firstLine="0"/>
        <w:jc w:val="left"/>
        <w:rPr>
          <w:lang w:val="fr-FR"/>
        </w:rPr>
      </w:pPr>
      <w:r w:rsidRPr="00C75EDC">
        <w:rPr>
          <w:b/>
          <w:sz w:val="20"/>
          <w:lang w:val="fr-FR"/>
        </w:rPr>
        <w:t xml:space="preserve">Figure 3: </w:t>
      </w:r>
      <w:r w:rsidRPr="00C75EDC">
        <w:rPr>
          <w:sz w:val="20"/>
          <w:lang w:val="fr-FR"/>
        </w:rPr>
        <w:t>Métabolisme et Régulation de la vitamine D. Source : Dankers et al. (2017)</w:t>
      </w:r>
    </w:p>
    <w:p w14:paraId="51338695" w14:textId="77777777" w:rsidR="00C13919" w:rsidRPr="00C75EDC" w:rsidRDefault="00000000">
      <w:pPr>
        <w:spacing w:after="221"/>
        <w:ind w:left="-5"/>
        <w:rPr>
          <w:lang w:val="fr-FR"/>
        </w:rPr>
      </w:pPr>
      <w:r w:rsidRPr="00C75EDC">
        <w:rPr>
          <w:lang w:val="fr-FR"/>
        </w:rPr>
        <w:t>basse, l’augmentation de PTH conduit à une augmentation de RANKL ce qui favorise la résorption des os par les ostéoclastes afin d’obtenir du calcium.</w:t>
      </w:r>
    </w:p>
    <w:p w14:paraId="40BED0BB" w14:textId="77777777" w:rsidR="00C13919" w:rsidRPr="00C75EDC" w:rsidRDefault="00000000">
      <w:pPr>
        <w:numPr>
          <w:ilvl w:val="0"/>
          <w:numId w:val="3"/>
        </w:numPr>
        <w:spacing w:after="177"/>
        <w:ind w:hanging="185"/>
        <w:rPr>
          <w:lang w:val="fr-FR"/>
        </w:rPr>
      </w:pPr>
      <w:r w:rsidRPr="00C75EDC">
        <w:rPr>
          <w:lang w:val="fr-FR"/>
        </w:rPr>
        <w:t>Transport intestinal du calcium : Calcitriol et VDR joue un rôle dans le transport intestinal du calcium, par une voie transcellulaire à l’aide de transporteurs de calcium.</w:t>
      </w:r>
    </w:p>
    <w:p w14:paraId="735A69A0" w14:textId="77777777" w:rsidR="00C13919" w:rsidRPr="00C75EDC" w:rsidRDefault="00000000">
      <w:pPr>
        <w:numPr>
          <w:ilvl w:val="0"/>
          <w:numId w:val="3"/>
        </w:numPr>
        <w:spacing w:after="299"/>
        <w:ind w:hanging="185"/>
        <w:rPr>
          <w:lang w:val="fr-FR"/>
        </w:rPr>
      </w:pPr>
      <w:r w:rsidRPr="00C75EDC">
        <w:rPr>
          <w:lang w:val="fr-FR"/>
        </w:rPr>
        <w:lastRenderedPageBreak/>
        <w:t>Réabsorption du calcium par le rein : L’action du calcitriol sur le VDR conduit à une stimulation de la réabsorption du calcium dans le tubule contourné distal du rein (Carmeliet, Dermauw, and Bouillon 2015).</w:t>
      </w:r>
    </w:p>
    <w:p w14:paraId="6E931B34" w14:textId="77777777" w:rsidR="00C13919" w:rsidRDefault="00000000">
      <w:pPr>
        <w:pStyle w:val="Heading3"/>
        <w:ind w:left="588" w:hanging="603"/>
      </w:pPr>
      <w:bookmarkStart w:id="6" w:name="_Toc8711"/>
      <w:proofErr w:type="spellStart"/>
      <w:r>
        <w:t>Propriétés</w:t>
      </w:r>
      <w:proofErr w:type="spellEnd"/>
      <w:r>
        <w:t xml:space="preserve"> extra-</w:t>
      </w:r>
      <w:proofErr w:type="spellStart"/>
      <w:r>
        <w:t>osseuses</w:t>
      </w:r>
      <w:bookmarkEnd w:id="6"/>
      <w:proofErr w:type="spellEnd"/>
    </w:p>
    <w:p w14:paraId="1C87924E" w14:textId="77777777" w:rsidR="00C13919" w:rsidRPr="00C75EDC" w:rsidRDefault="00000000">
      <w:pPr>
        <w:numPr>
          <w:ilvl w:val="0"/>
          <w:numId w:val="4"/>
        </w:numPr>
        <w:spacing w:after="191" w:line="395" w:lineRule="auto"/>
        <w:ind w:left="537" w:right="-7" w:hanging="185"/>
        <w:jc w:val="left"/>
        <w:rPr>
          <w:lang w:val="fr-FR"/>
        </w:rPr>
      </w:pPr>
      <w:r w:rsidRPr="00C75EDC">
        <w:rPr>
          <w:lang w:val="fr-FR"/>
        </w:rPr>
        <w:t>La découverte de la présence de VDR dans la majorité des tissus et populations cellulaires, a augmentél’appréciationdurôlepléiotropiquedelavitamineD(Rosenetal.2012)etlesrecherches associées.</w:t>
      </w:r>
    </w:p>
    <w:p w14:paraId="180469EB" w14:textId="77777777" w:rsidR="00C13919" w:rsidRPr="00C75EDC" w:rsidRDefault="00000000">
      <w:pPr>
        <w:numPr>
          <w:ilvl w:val="0"/>
          <w:numId w:val="4"/>
        </w:numPr>
        <w:spacing w:after="191" w:line="395" w:lineRule="auto"/>
        <w:ind w:left="537" w:right="-7" w:hanging="185"/>
        <w:jc w:val="left"/>
        <w:rPr>
          <w:lang w:val="fr-FR"/>
        </w:rPr>
      </w:pPr>
      <w:r w:rsidRPr="00C75EDC">
        <w:rPr>
          <w:lang w:val="fr-FR"/>
        </w:rPr>
        <w:t xml:space="preserve">Certaines cellules ou tissus possèdent une expression faible de VDR tels que les globules rouges, les muscles striés matures, et </w:t>
      </w:r>
      <w:proofErr w:type="gramStart"/>
      <w:r w:rsidRPr="00C75EDC">
        <w:rPr>
          <w:lang w:val="fr-FR"/>
        </w:rPr>
        <w:t>certaines cellules hautement différenciés</w:t>
      </w:r>
      <w:proofErr w:type="gramEnd"/>
      <w:r w:rsidRPr="00C75EDC">
        <w:rPr>
          <w:lang w:val="fr-FR"/>
        </w:rPr>
        <w:t xml:space="preserve"> du cerveau tel que les cellules de Purkinje du cervelet (Bouillon et al. 2008).</w:t>
      </w:r>
    </w:p>
    <w:p w14:paraId="7C601CF5" w14:textId="77777777" w:rsidR="00C13919" w:rsidRDefault="00000000">
      <w:pPr>
        <w:numPr>
          <w:ilvl w:val="0"/>
          <w:numId w:val="4"/>
        </w:numPr>
        <w:spacing w:after="439"/>
        <w:ind w:left="537" w:right="-7" w:hanging="185"/>
        <w:jc w:val="left"/>
      </w:pPr>
      <w:r w:rsidRPr="00C75EDC">
        <w:rPr>
          <w:lang w:val="fr-FR"/>
        </w:rPr>
        <w:t>Intérêt renouvelé pour la vitamine D, en particulier dans le cancer, les maladies cardiovasculaires (obésité et diabète de type 2, métabolisme du glucose) et les maladies auto-immunes (diabète de type 1, sclérose en plaques, troubles thyroïdiens auto-immuns) (Dankers et al. 2017</w:t>
      </w:r>
      <w:r>
        <w:t>;</w:t>
      </w:r>
      <w:r w:rsidRPr="00C75EDC">
        <w:rPr>
          <w:lang w:val="fr-FR"/>
        </w:rPr>
        <w:t xml:space="preserve"> </w:t>
      </w:r>
      <w:r>
        <w:t>Caprio et al. 2017)</w:t>
      </w:r>
    </w:p>
    <w:p w14:paraId="0E43D2E0" w14:textId="77777777" w:rsidR="00C13919" w:rsidRPr="00C75EDC" w:rsidRDefault="00000000">
      <w:pPr>
        <w:numPr>
          <w:ilvl w:val="0"/>
          <w:numId w:val="4"/>
        </w:numPr>
        <w:spacing w:after="309"/>
        <w:ind w:left="537" w:right="-7" w:hanging="185"/>
        <w:jc w:val="left"/>
        <w:rPr>
          <w:lang w:val="fr-FR"/>
        </w:rPr>
      </w:pPr>
      <w:r w:rsidRPr="00C75EDC">
        <w:rPr>
          <w:lang w:val="fr-FR"/>
        </w:rPr>
        <w:t>Action paracrine de la VitD sur le VDR, expression locale de CYP27B1 (Carmeliet, Dermauw, and Bouillon 2015)</w:t>
      </w:r>
    </w:p>
    <w:p w14:paraId="5AFD9631" w14:textId="77777777" w:rsidR="00C13919" w:rsidRDefault="00000000">
      <w:pPr>
        <w:pStyle w:val="Heading2"/>
        <w:spacing w:after="292"/>
        <w:ind w:left="441" w:right="5482" w:hanging="456"/>
      </w:pPr>
      <w:bookmarkStart w:id="7" w:name="_Toc8712"/>
      <w:r>
        <w:t>Dose</w:t>
      </w:r>
      <w:bookmarkEnd w:id="7"/>
    </w:p>
    <w:p w14:paraId="4D77C631" w14:textId="77777777" w:rsidR="00C13919" w:rsidRPr="00C75EDC" w:rsidRDefault="00000000">
      <w:pPr>
        <w:numPr>
          <w:ilvl w:val="0"/>
          <w:numId w:val="5"/>
        </w:numPr>
        <w:spacing w:after="199"/>
        <w:ind w:hanging="185"/>
        <w:rPr>
          <w:lang w:val="fr-FR"/>
        </w:rPr>
      </w:pPr>
      <w:r w:rsidRPr="00C75EDC">
        <w:rPr>
          <w:lang w:val="fr-FR"/>
        </w:rPr>
        <w:t>La mesure de la dose de la vitamine D peut se faire en plusieurs unités. Classiquement, la vitamine D se mesure en UI (Unité Internationale).</w:t>
      </w:r>
    </w:p>
    <w:p w14:paraId="06FB3154" w14:textId="77777777" w:rsidR="00C13919" w:rsidRDefault="00000000">
      <w:pPr>
        <w:spacing w:after="0" w:line="259" w:lineRule="auto"/>
        <w:ind w:left="218" w:firstLine="0"/>
        <w:jc w:val="left"/>
      </w:pPr>
      <w:r>
        <w:rPr>
          <w:sz w:val="23"/>
        </w:rPr>
        <w:t xml:space="preserve">1𝑔 = 40𝑈𝐼 </w:t>
      </w:r>
      <w:proofErr w:type="spellStart"/>
      <w:r>
        <w:t>ou</w:t>
      </w:r>
      <w:proofErr w:type="spellEnd"/>
      <w:r>
        <w:t xml:space="preserve"> </w:t>
      </w:r>
      <w:r>
        <w:rPr>
          <w:sz w:val="23"/>
        </w:rPr>
        <w:t>1𝑈𝐼 = 0.025𝑔</w:t>
      </w:r>
      <w:r>
        <w:t>.</w:t>
      </w:r>
    </w:p>
    <w:p w14:paraId="6DA009BA" w14:textId="77777777" w:rsidR="00C13919" w:rsidRDefault="00000000">
      <w:pPr>
        <w:spacing w:after="231" w:line="259" w:lineRule="auto"/>
        <w:ind w:left="0" w:firstLine="0"/>
        <w:jc w:val="left"/>
      </w:pPr>
      <w:r>
        <w:rPr>
          <w:noProof/>
        </w:rPr>
        <w:lastRenderedPageBreak/>
        <w:drawing>
          <wp:inline distT="0" distB="0" distL="0" distR="0" wp14:anchorId="0B4BE537" wp14:editId="79A51EA2">
            <wp:extent cx="5706495" cy="3688918"/>
            <wp:effectExtent l="0" t="0" r="0" b="0"/>
            <wp:docPr id="501" name="Picture 501"/>
            <wp:cNvGraphicFramePr/>
            <a:graphic xmlns:a="http://schemas.openxmlformats.org/drawingml/2006/main">
              <a:graphicData uri="http://schemas.openxmlformats.org/drawingml/2006/picture">
                <pic:pic xmlns:pic="http://schemas.openxmlformats.org/drawingml/2006/picture">
                  <pic:nvPicPr>
                    <pic:cNvPr id="501" name="Picture 501"/>
                    <pic:cNvPicPr/>
                  </pic:nvPicPr>
                  <pic:blipFill>
                    <a:blip r:embed="rId13"/>
                    <a:stretch>
                      <a:fillRect/>
                    </a:stretch>
                  </pic:blipFill>
                  <pic:spPr>
                    <a:xfrm>
                      <a:off x="0" y="0"/>
                      <a:ext cx="5706495" cy="3688918"/>
                    </a:xfrm>
                    <a:prstGeom prst="rect">
                      <a:avLst/>
                    </a:prstGeom>
                  </pic:spPr>
                </pic:pic>
              </a:graphicData>
            </a:graphic>
          </wp:inline>
        </w:drawing>
      </w:r>
    </w:p>
    <w:p w14:paraId="2FA216D6" w14:textId="77777777" w:rsidR="00C13919" w:rsidRDefault="00000000">
      <w:pPr>
        <w:spacing w:after="0" w:line="259" w:lineRule="auto"/>
        <w:ind w:left="538" w:firstLine="0"/>
        <w:jc w:val="left"/>
      </w:pPr>
      <w:r w:rsidRPr="00C75EDC">
        <w:rPr>
          <w:b/>
          <w:sz w:val="20"/>
          <w:lang w:val="fr-FR"/>
        </w:rPr>
        <w:t xml:space="preserve">Figure 4: Effets classiques et extra-squelettiques de la vitamine D. </w:t>
      </w:r>
      <w:r w:rsidRPr="00C75EDC">
        <w:rPr>
          <w:sz w:val="20"/>
          <w:lang w:val="fr-FR"/>
        </w:rPr>
        <w:t xml:space="preserve">Source : Caprio et al. </w:t>
      </w:r>
      <w:r>
        <w:rPr>
          <w:sz w:val="20"/>
        </w:rPr>
        <w:t>(2017)</w:t>
      </w:r>
    </w:p>
    <w:p w14:paraId="7852E9BA" w14:textId="77777777" w:rsidR="00C13919" w:rsidRPr="00C75EDC" w:rsidRDefault="00000000">
      <w:pPr>
        <w:numPr>
          <w:ilvl w:val="0"/>
          <w:numId w:val="5"/>
        </w:numPr>
        <w:spacing w:after="190"/>
        <w:ind w:hanging="185"/>
        <w:rPr>
          <w:lang w:val="fr-FR"/>
        </w:rPr>
      </w:pPr>
      <w:r w:rsidRPr="00C75EDC">
        <w:rPr>
          <w:lang w:val="fr-FR"/>
        </w:rPr>
        <w:t xml:space="preserve">Une comparaison de la dose de vitamine D pour 1000 UI par jour, ou l’équivalent de la dose en semaine ou en mois dans un essai clinique chez des patients (âge moyen de 53 ans </w:t>
      </w:r>
      <w:r>
        <w:t>;</w:t>
      </w:r>
      <w:r w:rsidRPr="00C75EDC">
        <w:rPr>
          <w:lang w:val="fr-FR"/>
        </w:rPr>
        <w:t xml:space="preserve"> taux de base moyen de 25(OH)D de ~13 ng/mL) montre qu’une supplémentation en cholécalciférol augmente la concentration de celle-ci de 1.3 ng/100 UI (Bouillon 2017).</w:t>
      </w:r>
    </w:p>
    <w:p w14:paraId="1FDD8A8B" w14:textId="77777777" w:rsidR="00C13919" w:rsidRDefault="00000000">
      <w:pPr>
        <w:numPr>
          <w:ilvl w:val="0"/>
          <w:numId w:val="5"/>
        </w:numPr>
        <w:spacing w:after="184"/>
        <w:ind w:hanging="185"/>
      </w:pPr>
      <w:r w:rsidRPr="00C75EDC">
        <w:rPr>
          <w:lang w:val="fr-FR"/>
        </w:rPr>
        <w:t xml:space="preserve">Cependant la FDA (Food and Drugs Administration) a décidé depuis </w:t>
      </w:r>
      <w:proofErr w:type="gramStart"/>
      <w:r w:rsidRPr="00C75EDC">
        <w:rPr>
          <w:lang w:val="fr-FR"/>
        </w:rPr>
        <w:t>Janvier</w:t>
      </w:r>
      <w:proofErr w:type="gramEnd"/>
      <w:r w:rsidRPr="00C75EDC">
        <w:rPr>
          <w:lang w:val="fr-FR"/>
        </w:rPr>
        <w:t xml:space="preserve"> 2021 de passer à une dose écrite en microgramme, ce qui oblige les fabricants à montrer l’information en microgramme, bien que la dénomination en UI reste possible en parallèle. </w:t>
      </w:r>
      <w:r>
        <w:t>(</w:t>
      </w:r>
      <w:hyperlink r:id="rId14">
        <w:r>
          <w:t>Federal Register / Vol. 81, No. 103</w:t>
        </w:r>
      </w:hyperlink>
      <w:r>
        <w:t xml:space="preserve"> </w:t>
      </w:r>
      <w:hyperlink r:id="rId15">
        <w:r>
          <w:t xml:space="preserve">/ </w:t>
        </w:r>
      </w:hyperlink>
      <w:hyperlink r:id="rId16">
        <w:r>
          <w:t>Friday, May 27, 2016</w:t>
        </w:r>
      </w:hyperlink>
      <w:r>
        <w:t>)</w:t>
      </w:r>
    </w:p>
    <w:p w14:paraId="1118C7A6" w14:textId="77777777" w:rsidR="00C13919" w:rsidRPr="00C75EDC" w:rsidRDefault="00000000">
      <w:pPr>
        <w:numPr>
          <w:ilvl w:val="0"/>
          <w:numId w:val="5"/>
        </w:numPr>
        <w:spacing w:after="186"/>
        <w:ind w:hanging="185"/>
        <w:rPr>
          <w:lang w:val="fr-FR"/>
        </w:rPr>
      </w:pPr>
      <w:r w:rsidRPr="00C75EDC">
        <w:rPr>
          <w:lang w:val="fr-FR"/>
        </w:rPr>
        <w:t>D’après Carmeliet, Dermauw, and Bouillon (2015) les recommandations en 2015 sont de 400-800 UI/j. Cependant une dose plus élevée pourrait être bénéfique concernant les effets extra-osseux, en fonction des résultats d’un large essai clinique d’ici 2018-2020.</w:t>
      </w:r>
    </w:p>
    <w:p w14:paraId="7EAFD3EA" w14:textId="77777777" w:rsidR="00C13919" w:rsidRPr="00C75EDC" w:rsidRDefault="00000000">
      <w:pPr>
        <w:numPr>
          <w:ilvl w:val="0"/>
          <w:numId w:val="5"/>
        </w:numPr>
        <w:spacing w:after="186"/>
        <w:ind w:hanging="185"/>
        <w:rPr>
          <w:lang w:val="fr-FR"/>
        </w:rPr>
      </w:pPr>
      <w:r w:rsidRPr="00C75EDC">
        <w:rPr>
          <w:lang w:val="fr-FR"/>
        </w:rPr>
        <w:lastRenderedPageBreak/>
        <w:t>Actuellement, la société d’endocrinologie recommande chez l’adulte (19 - 50 ans) 600 UI/j pour maximiser la santé osseuse et le fonctionnement musculaire, admettant cependant que les bénéfices extra-squelettiques associé à cette dose leur est inconnu.</w:t>
      </w:r>
    </w:p>
    <w:p w14:paraId="3A61A315" w14:textId="77777777" w:rsidR="00C13919" w:rsidRPr="00C75EDC" w:rsidRDefault="00000000">
      <w:pPr>
        <w:numPr>
          <w:ilvl w:val="0"/>
          <w:numId w:val="5"/>
        </w:numPr>
        <w:spacing w:after="190"/>
        <w:ind w:hanging="185"/>
        <w:rPr>
          <w:lang w:val="fr-FR"/>
        </w:rPr>
      </w:pPr>
      <w:r w:rsidRPr="00C75EDC">
        <w:rPr>
          <w:lang w:val="fr-FR"/>
        </w:rPr>
        <w:t>De plus, pour des patients carencés, ils suggèrent qu’une plus forte dose de 1500 UI/j à 2000 UI/j serait nécessaire pour maintenir constamment une concentration supérieure à 30 ng/mL (Holick et al. 2011).</w:t>
      </w:r>
    </w:p>
    <w:p w14:paraId="4EBA25D5" w14:textId="77777777" w:rsidR="00C13919" w:rsidRPr="00C75EDC" w:rsidRDefault="00000000">
      <w:pPr>
        <w:numPr>
          <w:ilvl w:val="0"/>
          <w:numId w:val="5"/>
        </w:numPr>
        <w:spacing w:after="315"/>
        <w:ind w:hanging="185"/>
        <w:rPr>
          <w:lang w:val="fr-FR"/>
        </w:rPr>
      </w:pPr>
      <w:r w:rsidRPr="00C75EDC">
        <w:rPr>
          <w:lang w:val="fr-FR"/>
        </w:rPr>
        <w:t>Un autre acteur, l’ANSES, stipule que les recommandations journalières de cholécalciférol sont de 15 µg par jour soit l’équivalent d’une dose de 600 UI/j, s’appuyant sur les recommandations de l’EFSA (Autorité européenne de sécurité des aliments) (travail 2022)</w:t>
      </w:r>
    </w:p>
    <w:p w14:paraId="564A47FA" w14:textId="77777777" w:rsidR="00C13919" w:rsidRDefault="00000000">
      <w:pPr>
        <w:pStyle w:val="Heading2"/>
        <w:spacing w:after="0" w:line="502" w:lineRule="auto"/>
        <w:ind w:left="441" w:right="5482" w:hanging="456"/>
      </w:pPr>
      <w:bookmarkStart w:id="8" w:name="_Toc8713"/>
      <w:proofErr w:type="spellStart"/>
      <w:r>
        <w:t>Utilisation</w:t>
      </w:r>
      <w:proofErr w:type="spellEnd"/>
      <w:r>
        <w:t xml:space="preserve"> </w:t>
      </w:r>
      <w:proofErr w:type="spellStart"/>
      <w:r>
        <w:t>thérapeutique</w:t>
      </w:r>
      <w:bookmarkEnd w:id="8"/>
      <w:proofErr w:type="spellEnd"/>
    </w:p>
    <w:p w14:paraId="7AB8155D" w14:textId="77777777" w:rsidR="00C13919" w:rsidRDefault="00000000">
      <w:pPr>
        <w:pStyle w:val="Heading2"/>
        <w:spacing w:after="0" w:line="502" w:lineRule="auto"/>
        <w:ind w:left="441" w:right="5482" w:hanging="456"/>
      </w:pPr>
      <w:bookmarkStart w:id="9" w:name="_Toc8714"/>
      <w:proofErr w:type="spellStart"/>
      <w:r>
        <w:t>Toxicité</w:t>
      </w:r>
      <w:bookmarkEnd w:id="9"/>
      <w:proofErr w:type="spellEnd"/>
    </w:p>
    <w:p w14:paraId="03187EEF" w14:textId="77777777" w:rsidR="00C13919" w:rsidRDefault="00000000">
      <w:pPr>
        <w:spacing w:line="259" w:lineRule="auto"/>
        <w:ind w:left="-5"/>
      </w:pPr>
      <w:proofErr w:type="spellStart"/>
      <w:r>
        <w:t>Marcinowska-Suchowierska</w:t>
      </w:r>
      <w:proofErr w:type="spellEnd"/>
      <w:r>
        <w:t xml:space="preserve"> et al. (2018)</w:t>
      </w:r>
    </w:p>
    <w:p w14:paraId="5DCA4AE6" w14:textId="77777777" w:rsidR="00C13919" w:rsidRDefault="00000000">
      <w:pPr>
        <w:pStyle w:val="Heading1"/>
        <w:ind w:left="286" w:hanging="301"/>
      </w:pPr>
      <w:bookmarkStart w:id="10" w:name="_Toc8715"/>
      <w:proofErr w:type="spellStart"/>
      <w:r>
        <w:t>Vitamine</w:t>
      </w:r>
      <w:proofErr w:type="spellEnd"/>
      <w:r>
        <w:t xml:space="preserve"> D et </w:t>
      </w:r>
      <w:proofErr w:type="spellStart"/>
      <w:r>
        <w:t>système</w:t>
      </w:r>
      <w:proofErr w:type="spellEnd"/>
      <w:r>
        <w:t xml:space="preserve"> </w:t>
      </w:r>
      <w:proofErr w:type="spellStart"/>
      <w:r>
        <w:t>immunitaire</w:t>
      </w:r>
      <w:bookmarkEnd w:id="10"/>
      <w:proofErr w:type="spellEnd"/>
    </w:p>
    <w:p w14:paraId="34A83C9D" w14:textId="77777777" w:rsidR="00C13919" w:rsidRDefault="00000000">
      <w:pPr>
        <w:spacing w:after="474"/>
        <w:ind w:left="-5"/>
      </w:pPr>
      <w:proofErr w:type="spellStart"/>
      <w:r>
        <w:t>Dankers</w:t>
      </w:r>
      <w:proofErr w:type="spellEnd"/>
      <w:r>
        <w:t xml:space="preserve"> et al. (2017)</w:t>
      </w:r>
    </w:p>
    <w:p w14:paraId="352A2276" w14:textId="77777777" w:rsidR="00C13919" w:rsidRDefault="00000000">
      <w:pPr>
        <w:pStyle w:val="Heading1"/>
        <w:ind w:left="286" w:hanging="301"/>
      </w:pPr>
      <w:bookmarkStart w:id="11" w:name="_Toc8716"/>
      <w:proofErr w:type="spellStart"/>
      <w:r>
        <w:t>Vitamine</w:t>
      </w:r>
      <w:proofErr w:type="spellEnd"/>
      <w:r>
        <w:t xml:space="preserve"> D et COVID-19</w:t>
      </w:r>
      <w:bookmarkEnd w:id="11"/>
    </w:p>
    <w:p w14:paraId="2C78D106" w14:textId="77777777" w:rsidR="00C13919" w:rsidRDefault="00000000">
      <w:pPr>
        <w:pStyle w:val="Heading2"/>
        <w:ind w:left="441" w:right="5482" w:hanging="456"/>
      </w:pPr>
      <w:bookmarkStart w:id="12" w:name="_Toc8717"/>
      <w:r>
        <w:t xml:space="preserve">Etudes </w:t>
      </w:r>
      <w:proofErr w:type="spellStart"/>
      <w:r>
        <w:t>pré-cliniques</w:t>
      </w:r>
      <w:bookmarkEnd w:id="12"/>
      <w:proofErr w:type="spellEnd"/>
    </w:p>
    <w:p w14:paraId="31F7A9F3" w14:textId="77777777" w:rsidR="00C13919" w:rsidRDefault="00000000">
      <w:pPr>
        <w:pStyle w:val="Heading2"/>
        <w:ind w:left="441" w:right="5482" w:hanging="456"/>
      </w:pPr>
      <w:bookmarkStart w:id="13" w:name="_Toc8718"/>
      <w:r>
        <w:t xml:space="preserve">Etudes </w:t>
      </w:r>
      <w:proofErr w:type="spellStart"/>
      <w:r>
        <w:t>cliniques</w:t>
      </w:r>
      <w:bookmarkEnd w:id="13"/>
      <w:proofErr w:type="spellEnd"/>
    </w:p>
    <w:p w14:paraId="053F8FCB" w14:textId="77777777" w:rsidR="00C13919" w:rsidRDefault="00000000">
      <w:pPr>
        <w:pStyle w:val="Heading3"/>
        <w:ind w:left="588" w:hanging="603"/>
      </w:pPr>
      <w:bookmarkStart w:id="14" w:name="_Toc8719"/>
      <w:r>
        <w:t xml:space="preserve">Etude </w:t>
      </w:r>
      <w:proofErr w:type="spellStart"/>
      <w:r>
        <w:t>en</w:t>
      </w:r>
      <w:proofErr w:type="spellEnd"/>
      <w:r>
        <w:t xml:space="preserve"> phase de </w:t>
      </w:r>
      <w:proofErr w:type="spellStart"/>
      <w:r>
        <w:t>prévention</w:t>
      </w:r>
      <w:bookmarkEnd w:id="14"/>
      <w:proofErr w:type="spellEnd"/>
    </w:p>
    <w:p w14:paraId="727C2148" w14:textId="77777777" w:rsidR="00C13919" w:rsidRDefault="00000000">
      <w:pPr>
        <w:pStyle w:val="Heading3"/>
        <w:ind w:left="588" w:hanging="603"/>
      </w:pPr>
      <w:bookmarkStart w:id="15" w:name="_Toc8720"/>
      <w:r>
        <w:t xml:space="preserve">Etudes </w:t>
      </w:r>
      <w:proofErr w:type="spellStart"/>
      <w:r>
        <w:t>en</w:t>
      </w:r>
      <w:proofErr w:type="spellEnd"/>
      <w:r>
        <w:t xml:space="preserve"> phase curative</w:t>
      </w:r>
      <w:bookmarkEnd w:id="15"/>
    </w:p>
    <w:p w14:paraId="1F15AC63" w14:textId="77777777" w:rsidR="00C13919" w:rsidRDefault="00000000">
      <w:pPr>
        <w:pStyle w:val="Heading3"/>
        <w:ind w:left="588" w:hanging="603"/>
      </w:pPr>
      <w:bookmarkStart w:id="16" w:name="_Toc8721"/>
      <w:r>
        <w:t xml:space="preserve">Etudes </w:t>
      </w:r>
      <w:proofErr w:type="spellStart"/>
      <w:r>
        <w:t>en</w:t>
      </w:r>
      <w:proofErr w:type="spellEnd"/>
      <w:r>
        <w:t xml:space="preserve"> phase </w:t>
      </w:r>
      <w:proofErr w:type="spellStart"/>
      <w:r>
        <w:t>réanimation</w:t>
      </w:r>
      <w:proofErr w:type="spellEnd"/>
      <w:r>
        <w:br w:type="page"/>
      </w:r>
      <w:bookmarkEnd w:id="16"/>
    </w:p>
    <w:p w14:paraId="1D8314BA" w14:textId="77777777" w:rsidR="00C13919" w:rsidRDefault="00000000">
      <w:pPr>
        <w:pStyle w:val="Heading1"/>
        <w:spacing w:after="0"/>
        <w:ind w:left="286" w:hanging="301"/>
      </w:pPr>
      <w:bookmarkStart w:id="17" w:name="_Toc8722"/>
      <w:r>
        <w:lastRenderedPageBreak/>
        <w:t>Conclusion</w:t>
      </w:r>
      <w:r>
        <w:br w:type="page"/>
      </w:r>
      <w:bookmarkEnd w:id="17"/>
    </w:p>
    <w:p w14:paraId="48BEF757" w14:textId="77777777" w:rsidR="00C13919" w:rsidRDefault="00000000">
      <w:pPr>
        <w:spacing w:after="299" w:line="259" w:lineRule="auto"/>
        <w:ind w:left="-5"/>
        <w:jc w:val="left"/>
      </w:pPr>
      <w:r>
        <w:rPr>
          <w:b/>
          <w:sz w:val="29"/>
        </w:rPr>
        <w:lastRenderedPageBreak/>
        <w:t>References</w:t>
      </w:r>
    </w:p>
    <w:p w14:paraId="6123A14A" w14:textId="77777777" w:rsidR="00C13919" w:rsidRDefault="00000000">
      <w:pPr>
        <w:spacing w:after="117"/>
        <w:ind w:left="421" w:hanging="436"/>
      </w:pPr>
      <w:r>
        <w:t xml:space="preserve">Bouillon, Roger. 2017. “Optimal vitamin D supplementation strategies.” </w:t>
      </w:r>
      <w:r>
        <w:rPr>
          <w:i/>
        </w:rPr>
        <w:t xml:space="preserve">Endocrine </w:t>
      </w:r>
      <w:r>
        <w:t xml:space="preserve">56 (2): 225–226. ISSN: 1355-008X. </w:t>
      </w:r>
      <w:hyperlink r:id="rId17">
        <w:r>
          <w:t>https://doi.org/10.1007/s12020-017-1245-1</w:t>
        </w:r>
      </w:hyperlink>
      <w:r>
        <w:t>.</w:t>
      </w:r>
    </w:p>
    <w:p w14:paraId="2EEF882C" w14:textId="77777777" w:rsidR="00C13919" w:rsidRDefault="00000000">
      <w:pPr>
        <w:ind w:left="421" w:hanging="436"/>
      </w:pPr>
      <w:r>
        <w:t xml:space="preserve">Bouillon, Roger, Geert </w:t>
      </w:r>
      <w:proofErr w:type="spellStart"/>
      <w:r>
        <w:t>Carmeliet</w:t>
      </w:r>
      <w:proofErr w:type="spellEnd"/>
      <w:r>
        <w:t xml:space="preserve">, </w:t>
      </w:r>
      <w:proofErr w:type="spellStart"/>
      <w:r>
        <w:t>Lieve</w:t>
      </w:r>
      <w:proofErr w:type="spellEnd"/>
      <w:r>
        <w:t xml:space="preserve"> </w:t>
      </w:r>
      <w:proofErr w:type="spellStart"/>
      <w:r>
        <w:t>Verlinden</w:t>
      </w:r>
      <w:proofErr w:type="spellEnd"/>
      <w:r>
        <w:t xml:space="preserve">, Evelyne van Etten, </w:t>
      </w:r>
      <w:proofErr w:type="spellStart"/>
      <w:r>
        <w:t>Annemieke</w:t>
      </w:r>
      <w:proofErr w:type="spellEnd"/>
      <w:r>
        <w:t xml:space="preserve"> </w:t>
      </w:r>
      <w:proofErr w:type="spellStart"/>
      <w:r>
        <w:t>Verstuyf</w:t>
      </w:r>
      <w:proofErr w:type="spellEnd"/>
      <w:r>
        <w:t xml:space="preserve">, Hilary F. </w:t>
      </w:r>
      <w:proofErr w:type="spellStart"/>
      <w:r>
        <w:t>Luderer</w:t>
      </w:r>
      <w:proofErr w:type="spellEnd"/>
      <w:r>
        <w:t xml:space="preserve">, </w:t>
      </w:r>
      <w:proofErr w:type="spellStart"/>
      <w:r>
        <w:t>Liesbet</w:t>
      </w:r>
      <w:proofErr w:type="spellEnd"/>
      <w:r>
        <w:t xml:space="preserve"> </w:t>
      </w:r>
      <w:proofErr w:type="spellStart"/>
      <w:r>
        <w:t>Lieben</w:t>
      </w:r>
      <w:proofErr w:type="spellEnd"/>
      <w:r>
        <w:t xml:space="preserve">, Chantal Mathieu, and Marie </w:t>
      </w:r>
      <w:proofErr w:type="spellStart"/>
      <w:r>
        <w:t>Demay</w:t>
      </w:r>
      <w:proofErr w:type="spellEnd"/>
      <w:r>
        <w:t>. 2008. “Vitamin D and Human</w:t>
      </w:r>
    </w:p>
    <w:p w14:paraId="3647D63A" w14:textId="77777777" w:rsidR="00C13919" w:rsidRDefault="00000000">
      <w:pPr>
        <w:spacing w:after="167" w:line="259" w:lineRule="auto"/>
        <w:ind w:right="-13"/>
        <w:jc w:val="right"/>
      </w:pPr>
      <w:r>
        <w:t xml:space="preserve">Health: Lessons from Vitamin D Receptor Null Mice.” </w:t>
      </w:r>
      <w:r>
        <w:rPr>
          <w:i/>
        </w:rPr>
        <w:t xml:space="preserve">Endocrine Reviews </w:t>
      </w:r>
      <w:r>
        <w:t>29 (6): 726–776. ISSN:</w:t>
      </w:r>
    </w:p>
    <w:p w14:paraId="7CF24B87" w14:textId="77777777" w:rsidR="00C13919" w:rsidRDefault="00000000">
      <w:pPr>
        <w:spacing w:after="275" w:line="259" w:lineRule="auto"/>
        <w:ind w:left="446"/>
      </w:pPr>
      <w:r>
        <w:t xml:space="preserve">0163-769X. </w:t>
      </w:r>
      <w:hyperlink r:id="rId18">
        <w:r>
          <w:t>https://doi.org/10.1210/er.2008-0004</w:t>
        </w:r>
      </w:hyperlink>
      <w:r>
        <w:t>.</w:t>
      </w:r>
    </w:p>
    <w:p w14:paraId="76487FC9" w14:textId="77777777" w:rsidR="00C13919" w:rsidRPr="00C75EDC" w:rsidRDefault="00000000">
      <w:pPr>
        <w:spacing w:after="113"/>
        <w:ind w:left="421" w:hanging="436"/>
        <w:rPr>
          <w:lang w:val="fr-FR"/>
        </w:rPr>
      </w:pPr>
      <w:r>
        <w:t xml:space="preserve">Caprio, Massimiliano, Marco Infante, Matilde </w:t>
      </w:r>
      <w:proofErr w:type="spellStart"/>
      <w:r>
        <w:t>Calanchini</w:t>
      </w:r>
      <w:proofErr w:type="spellEnd"/>
      <w:r>
        <w:t xml:space="preserve">, Caterina </w:t>
      </w:r>
      <w:proofErr w:type="spellStart"/>
      <w:r>
        <w:t>Mammi</w:t>
      </w:r>
      <w:proofErr w:type="spellEnd"/>
      <w:r>
        <w:t xml:space="preserve">, and Andrea </w:t>
      </w:r>
      <w:proofErr w:type="spellStart"/>
      <w:r>
        <w:t>Fabbri</w:t>
      </w:r>
      <w:proofErr w:type="spellEnd"/>
      <w:r>
        <w:t xml:space="preserve">. 2017. “Vitamin D: not just the bone. Evidence for beneficial pleiotropic </w:t>
      </w:r>
      <w:proofErr w:type="spellStart"/>
      <w:r>
        <w:t>extraskeletal</w:t>
      </w:r>
      <w:proofErr w:type="spellEnd"/>
      <w:r>
        <w:t xml:space="preserve"> effects.” </w:t>
      </w:r>
      <w:r>
        <w:rPr>
          <w:i/>
        </w:rPr>
        <w:t xml:space="preserve">Eating and Weight Disorders - Studies on Anorexia, Bulimia and Obesity </w:t>
      </w:r>
      <w:r>
        <w:t xml:space="preserve">22 (1): 27–41. </w:t>
      </w:r>
      <w:r w:rsidRPr="00C75EDC">
        <w:rPr>
          <w:lang w:val="fr-FR"/>
        </w:rPr>
        <w:t xml:space="preserve">ISSN: 1124-4909. </w:t>
      </w:r>
      <w:r>
        <w:fldChar w:fldCharType="begin"/>
      </w:r>
      <w:r w:rsidRPr="00C75EDC">
        <w:rPr>
          <w:lang w:val="fr-FR"/>
        </w:rPr>
        <w:instrText>HYPERLINK "https://doi.org/10.1007/s40519-016-0312-6" \h</w:instrText>
      </w:r>
      <w:r>
        <w:fldChar w:fldCharType="separate"/>
      </w:r>
      <w:r w:rsidRPr="00C75EDC">
        <w:rPr>
          <w:lang w:val="fr-FR"/>
        </w:rPr>
        <w:t>https://doi.org/10.1007/s40519-016-0312-6</w:t>
      </w:r>
      <w:r>
        <w:fldChar w:fldCharType="end"/>
      </w:r>
      <w:r w:rsidRPr="00C75EDC">
        <w:rPr>
          <w:lang w:val="fr-FR"/>
        </w:rPr>
        <w:t>.</w:t>
      </w:r>
    </w:p>
    <w:p w14:paraId="565B4B10" w14:textId="77777777" w:rsidR="00C13919" w:rsidRDefault="00000000">
      <w:pPr>
        <w:spacing w:after="117"/>
        <w:ind w:left="421" w:hanging="436"/>
      </w:pPr>
      <w:r w:rsidRPr="00C75EDC">
        <w:rPr>
          <w:lang w:val="fr-FR"/>
        </w:rPr>
        <w:t xml:space="preserve">Carmeliet, Geert, Veronique Dermauw, and Roger Bouillon. </w:t>
      </w:r>
      <w:r>
        <w:t xml:space="preserve">2015. “Vitamin D signaling in calcium and bone homeostasis: A delicate balance.” </w:t>
      </w:r>
      <w:r>
        <w:rPr>
          <w:i/>
        </w:rPr>
        <w:t xml:space="preserve">Best Practice &amp; Research Clinical Endocrinology &amp; Metabolism </w:t>
      </w:r>
      <w:r>
        <w:t xml:space="preserve">29 (4): 621–631. ISSN: 1521-690X. </w:t>
      </w:r>
      <w:hyperlink r:id="rId19">
        <w:r>
          <w:t>https://doi.org/10.1016/j.beem.2015.06.001</w:t>
        </w:r>
      </w:hyperlink>
      <w:r>
        <w:t>.</w:t>
      </w:r>
    </w:p>
    <w:p w14:paraId="075B8732" w14:textId="77777777" w:rsidR="00C13919" w:rsidRDefault="00000000">
      <w:pPr>
        <w:spacing w:after="144"/>
        <w:ind w:left="421" w:hanging="436"/>
      </w:pPr>
      <w:r>
        <w:t xml:space="preserve">Christakos, Sylvia, Dare V. </w:t>
      </w:r>
      <w:proofErr w:type="spellStart"/>
      <w:r>
        <w:t>Ajibade</w:t>
      </w:r>
      <w:proofErr w:type="spellEnd"/>
      <w:r>
        <w:t xml:space="preserve">, Puneet Dhawan, Adam J. Fechner, and Leila J. </w:t>
      </w:r>
      <w:proofErr w:type="spellStart"/>
      <w:r>
        <w:t>Mady</w:t>
      </w:r>
      <w:proofErr w:type="spellEnd"/>
      <w:r>
        <w:t xml:space="preserve">. 2010. “Vitamin D: Metabolism.” </w:t>
      </w:r>
      <w:r>
        <w:rPr>
          <w:i/>
        </w:rPr>
        <w:t xml:space="preserve">Endocrinology and Metabolism Clinics of North America </w:t>
      </w:r>
      <w:r>
        <w:t xml:space="preserve">39 (2): 243–253. ISSN: 0889-8529. </w:t>
      </w:r>
      <w:hyperlink r:id="rId20">
        <w:r>
          <w:t>https://doi.org/10.1016/j.ecl.2010.02.002</w:t>
        </w:r>
      </w:hyperlink>
      <w:r>
        <w:t>.</w:t>
      </w:r>
    </w:p>
    <w:p w14:paraId="5D5E4F98" w14:textId="77777777" w:rsidR="00C13919" w:rsidRDefault="00000000">
      <w:pPr>
        <w:spacing w:after="117"/>
        <w:ind w:left="421" w:hanging="436"/>
      </w:pPr>
      <w:r>
        <w:t xml:space="preserve">Chun, Rene F. 2012. “New perspectives on the vitamin D binding protein.” </w:t>
      </w:r>
      <w:r>
        <w:rPr>
          <w:i/>
        </w:rPr>
        <w:t xml:space="preserve">Cell Biochemistry and Function </w:t>
      </w:r>
      <w:r>
        <w:t xml:space="preserve">30 (6): 445–456. ISSN: 0263-6484. </w:t>
      </w:r>
      <w:hyperlink r:id="rId21">
        <w:r>
          <w:t>https://doi.org/10.1002/cbf.2835</w:t>
        </w:r>
      </w:hyperlink>
      <w:r>
        <w:t>.</w:t>
      </w:r>
    </w:p>
    <w:p w14:paraId="06207089" w14:textId="77777777" w:rsidR="00C13919" w:rsidRDefault="00000000">
      <w:pPr>
        <w:spacing w:after="140"/>
        <w:ind w:left="421" w:hanging="436"/>
      </w:pPr>
      <w:proofErr w:type="spellStart"/>
      <w:r>
        <w:t>Dankers</w:t>
      </w:r>
      <w:proofErr w:type="spellEnd"/>
      <w:r>
        <w:t xml:space="preserve">, Wendy, Edgar M. Colin, Jan Piet van Hamburg, and Erik </w:t>
      </w:r>
      <w:proofErr w:type="spellStart"/>
      <w:r>
        <w:t>Lubberts</w:t>
      </w:r>
      <w:proofErr w:type="spellEnd"/>
      <w:r>
        <w:t xml:space="preserve">. 2017. “Vitamin D in Autoimmunity: Molecular Mechanisms and Therapeutic Potential.” </w:t>
      </w:r>
      <w:r>
        <w:rPr>
          <w:i/>
        </w:rPr>
        <w:t xml:space="preserve">Frontiers in Immunology </w:t>
      </w:r>
      <w:r>
        <w:t xml:space="preserve">7:697. </w:t>
      </w:r>
      <w:hyperlink r:id="rId22">
        <w:r>
          <w:t>https://doi.org/10.3389/fimmu.2016.00697</w:t>
        </w:r>
      </w:hyperlink>
      <w:r>
        <w:t>.</w:t>
      </w:r>
    </w:p>
    <w:p w14:paraId="2589E3FB" w14:textId="77777777" w:rsidR="00C13919" w:rsidRDefault="00000000">
      <w:pPr>
        <w:spacing w:after="0" w:line="417" w:lineRule="auto"/>
        <w:ind w:left="0" w:firstLine="0"/>
        <w:jc w:val="center"/>
      </w:pPr>
      <w:r>
        <w:t xml:space="preserve">Ellison, Deborah L., and Heather R. Moran. 2020. “Vitamin D Vitamin or Hormone?” </w:t>
      </w:r>
      <w:r>
        <w:rPr>
          <w:i/>
        </w:rPr>
        <w:t xml:space="preserve">Nursing Clinics of North America </w:t>
      </w:r>
      <w:r>
        <w:t xml:space="preserve">56 (1): 47–57. ISSN: 0029-6465. </w:t>
      </w:r>
      <w:hyperlink r:id="rId23">
        <w:r>
          <w:t>https://doi.org/10.1016/j.cnur.2020.10.004</w:t>
        </w:r>
      </w:hyperlink>
      <w:r>
        <w:t>.</w:t>
      </w:r>
    </w:p>
    <w:p w14:paraId="35FBCE1B" w14:textId="77777777" w:rsidR="00C13919" w:rsidRDefault="00000000">
      <w:pPr>
        <w:spacing w:after="133" w:line="259" w:lineRule="auto"/>
        <w:ind w:left="-5"/>
      </w:pPr>
      <w:proofErr w:type="spellStart"/>
      <w:r>
        <w:lastRenderedPageBreak/>
        <w:t>Holick</w:t>
      </w:r>
      <w:proofErr w:type="spellEnd"/>
      <w:r>
        <w:t>, Michael F, Neil C Binkley, Heike A Bischoff-Ferrari, Catherine M Gordon, David A Hanley,</w:t>
      </w:r>
    </w:p>
    <w:p w14:paraId="181EA4F2" w14:textId="77777777" w:rsidR="00C13919" w:rsidRDefault="00000000">
      <w:pPr>
        <w:spacing w:after="114"/>
        <w:ind w:left="446"/>
      </w:pPr>
      <w:r>
        <w:t xml:space="preserve">Robert P Heaney, M Hassan Murad, Connie M Weaver, and Endocrine Society. 2011. “Evaluation, Treatment, and Prevention of Vitamin D Deficiency: </w:t>
      </w:r>
      <w:proofErr w:type="gramStart"/>
      <w:r>
        <w:t>an</w:t>
      </w:r>
      <w:proofErr w:type="gramEnd"/>
      <w:r>
        <w:t xml:space="preserve"> Endocrine Society Clinical Practice Guideline.” </w:t>
      </w:r>
      <w:r>
        <w:rPr>
          <w:i/>
        </w:rPr>
        <w:t xml:space="preserve">The Journal of Clinical Endocrinology &amp; Metabolism </w:t>
      </w:r>
      <w:r>
        <w:t xml:space="preserve">96 (7): 1911–1930. ISSN: 0021-972X. </w:t>
      </w:r>
      <w:hyperlink r:id="rId24">
        <w:r>
          <w:t>https://doi.org/10.1210/jc.2011-0385</w:t>
        </w:r>
      </w:hyperlink>
      <w:r>
        <w:t>.</w:t>
      </w:r>
    </w:p>
    <w:p w14:paraId="6AAAA829" w14:textId="77777777" w:rsidR="00C13919" w:rsidRDefault="00000000">
      <w:pPr>
        <w:spacing w:after="117"/>
        <w:ind w:left="421" w:hanging="436"/>
      </w:pPr>
      <w:proofErr w:type="spellStart"/>
      <w:r>
        <w:t>Marcinowska-Suchowierska</w:t>
      </w:r>
      <w:proofErr w:type="spellEnd"/>
      <w:r>
        <w:t xml:space="preserve">, </w:t>
      </w:r>
      <w:proofErr w:type="spellStart"/>
      <w:r>
        <w:t>Ewa</w:t>
      </w:r>
      <w:proofErr w:type="spellEnd"/>
      <w:r>
        <w:t xml:space="preserve">, </w:t>
      </w:r>
      <w:proofErr w:type="spellStart"/>
      <w:r>
        <w:t>Małgorzata</w:t>
      </w:r>
      <w:proofErr w:type="spellEnd"/>
      <w:r>
        <w:t xml:space="preserve"> </w:t>
      </w:r>
      <w:proofErr w:type="spellStart"/>
      <w:r>
        <w:t>Kupisz-Urbańska</w:t>
      </w:r>
      <w:proofErr w:type="spellEnd"/>
      <w:r>
        <w:t xml:space="preserve">, Jacek </w:t>
      </w:r>
      <w:proofErr w:type="spellStart"/>
      <w:r>
        <w:t>Łukaszkiewicz</w:t>
      </w:r>
      <w:proofErr w:type="spellEnd"/>
      <w:r>
        <w:t xml:space="preserve">, </w:t>
      </w:r>
      <w:proofErr w:type="spellStart"/>
      <w:r>
        <w:t>Paweł</w:t>
      </w:r>
      <w:proofErr w:type="spellEnd"/>
      <w:r>
        <w:t xml:space="preserve"> </w:t>
      </w:r>
      <w:proofErr w:type="spellStart"/>
      <w:r>
        <w:t>Płudowski</w:t>
      </w:r>
      <w:proofErr w:type="spellEnd"/>
      <w:r>
        <w:t xml:space="preserve">, and Glenville Jones. 2018. “Vitamin D Toxicity–A Clinical Perspective.” </w:t>
      </w:r>
      <w:r>
        <w:rPr>
          <w:i/>
        </w:rPr>
        <w:t xml:space="preserve">Frontiers in Endocrinology </w:t>
      </w:r>
      <w:r>
        <w:t xml:space="preserve">9:550. ISSN: 1664-2392. </w:t>
      </w:r>
      <w:hyperlink r:id="rId25">
        <w:r>
          <w:t>https://doi.org/10.3389/fendo.2018.00550</w:t>
        </w:r>
      </w:hyperlink>
      <w:r>
        <w:t>.</w:t>
      </w:r>
    </w:p>
    <w:p w14:paraId="30021B57" w14:textId="77777777" w:rsidR="00C13919" w:rsidRDefault="00000000">
      <w:pPr>
        <w:spacing w:after="117"/>
        <w:ind w:left="421" w:hanging="436"/>
      </w:pPr>
      <w:r>
        <w:t xml:space="preserve">Norman, Anthony W. 2008. “From vitamin D to hormone D: fundamentals of the vitamin D endocrine system essential for good health.” </w:t>
      </w:r>
      <w:r>
        <w:rPr>
          <w:i/>
        </w:rPr>
        <w:t xml:space="preserve">The American Journal of Clinical Nutrition </w:t>
      </w:r>
      <w:r>
        <w:t xml:space="preserve">88 (2): 491S–499S. ISSN: 0002-9165. </w:t>
      </w:r>
      <w:hyperlink r:id="rId26">
        <w:r>
          <w:t>https://doi.org/10.1093/ajcn/88.2.491s</w:t>
        </w:r>
      </w:hyperlink>
      <w:r>
        <w:t>.</w:t>
      </w:r>
    </w:p>
    <w:p w14:paraId="5BDFA867" w14:textId="77777777" w:rsidR="00C13919" w:rsidRDefault="00000000">
      <w:pPr>
        <w:spacing w:after="141"/>
        <w:ind w:left="421" w:hanging="436"/>
      </w:pPr>
      <w:r>
        <w:t xml:space="preserve">Rosen, Clifford J., John S. Adams, Daniel D. </w:t>
      </w:r>
      <w:proofErr w:type="spellStart"/>
      <w:r>
        <w:t>Bikle</w:t>
      </w:r>
      <w:proofErr w:type="spellEnd"/>
      <w:r>
        <w:t xml:space="preserve">, Dennis M. Black, Marie B. </w:t>
      </w:r>
      <w:proofErr w:type="spellStart"/>
      <w:r>
        <w:t>Demay</w:t>
      </w:r>
      <w:proofErr w:type="spellEnd"/>
      <w:r>
        <w:t xml:space="preserve">, JoAnn E. Manson, M. Hassan Murad, and Christopher S. Kovacs. 2012. “The </w:t>
      </w:r>
      <w:proofErr w:type="spellStart"/>
      <w:r>
        <w:t>Nonskeletal</w:t>
      </w:r>
      <w:proofErr w:type="spellEnd"/>
      <w:r>
        <w:t xml:space="preserve"> Effects of Vitamin D: An Endocrine Society Scientific Statement.” </w:t>
      </w:r>
      <w:r>
        <w:rPr>
          <w:i/>
        </w:rPr>
        <w:t xml:space="preserve">Endocrine Reviews </w:t>
      </w:r>
      <w:r>
        <w:t xml:space="preserve">33 (3): 456–492. ISSN: 0163-769X. </w:t>
      </w:r>
      <w:hyperlink r:id="rId27">
        <w:r>
          <w:t>https://doi.org/10.1210/er.2012-1000</w:t>
        </w:r>
      </w:hyperlink>
      <w:r>
        <w:t>.</w:t>
      </w:r>
    </w:p>
    <w:p w14:paraId="2E4C626B" w14:textId="77777777" w:rsidR="00C13919" w:rsidRDefault="00000000">
      <w:pPr>
        <w:spacing w:line="395" w:lineRule="auto"/>
        <w:ind w:left="436" w:right="-15" w:hanging="436"/>
        <w:jc w:val="left"/>
      </w:pPr>
      <w:proofErr w:type="gramStart"/>
      <w:r w:rsidRPr="00C75EDC">
        <w:rPr>
          <w:lang w:val="fr-FR"/>
        </w:rPr>
        <w:t>travail</w:t>
      </w:r>
      <w:proofErr w:type="gramEnd"/>
      <w:r w:rsidRPr="00C75EDC">
        <w:rPr>
          <w:lang w:val="fr-FR"/>
        </w:rPr>
        <w:t xml:space="preserve">, de l’environnement et du, Agence nationale de sécurité sanitaire de l’alimentation. </w:t>
      </w:r>
      <w:r>
        <w:t xml:space="preserve">2022. </w:t>
      </w:r>
      <w:r>
        <w:rPr>
          <w:i/>
        </w:rPr>
        <w:t xml:space="preserve">NOTE d’appui </w:t>
      </w:r>
      <w:proofErr w:type="spellStart"/>
      <w:r>
        <w:rPr>
          <w:i/>
        </w:rPr>
        <w:t>scientifique</w:t>
      </w:r>
      <w:proofErr w:type="spellEnd"/>
      <w:r>
        <w:rPr>
          <w:i/>
        </w:rPr>
        <w:t xml:space="preserve"> et technique de </w:t>
      </w:r>
      <w:proofErr w:type="spellStart"/>
      <w:r>
        <w:rPr>
          <w:i/>
        </w:rPr>
        <w:t>l’Agence</w:t>
      </w:r>
      <w:proofErr w:type="spellEnd"/>
      <w:r>
        <w:rPr>
          <w:i/>
        </w:rPr>
        <w:t xml:space="preserve"> </w:t>
      </w:r>
      <w:proofErr w:type="spellStart"/>
      <w:r>
        <w:rPr>
          <w:i/>
        </w:rPr>
        <w:t>nationale</w:t>
      </w:r>
      <w:proofErr w:type="spellEnd"/>
      <w:r>
        <w:rPr>
          <w:i/>
        </w:rPr>
        <w:t xml:space="preserve"> de </w:t>
      </w:r>
      <w:proofErr w:type="spellStart"/>
      <w:r>
        <w:rPr>
          <w:i/>
        </w:rPr>
        <w:t>sécurité</w:t>
      </w:r>
      <w:proofErr w:type="spellEnd"/>
      <w:r>
        <w:rPr>
          <w:i/>
        </w:rPr>
        <w:t xml:space="preserve"> sanitaire de </w:t>
      </w:r>
      <w:proofErr w:type="spellStart"/>
      <w:r>
        <w:rPr>
          <w:i/>
        </w:rPr>
        <w:t>l’alimentation</w:t>
      </w:r>
      <w:proofErr w:type="spellEnd"/>
      <w:r>
        <w:rPr>
          <w:i/>
        </w:rPr>
        <w:t xml:space="preserve">, de </w:t>
      </w:r>
      <w:proofErr w:type="spellStart"/>
      <w:r>
        <w:rPr>
          <w:i/>
        </w:rPr>
        <w:t>l’environnement</w:t>
      </w:r>
      <w:proofErr w:type="spellEnd"/>
      <w:r>
        <w:rPr>
          <w:i/>
        </w:rPr>
        <w:t xml:space="preserve"> et du travail, </w:t>
      </w:r>
      <w:r>
        <w:t xml:space="preserve">October. </w:t>
      </w:r>
      <w:hyperlink r:id="rId28">
        <w:r>
          <w:t xml:space="preserve">https://www.anses.fr/fr/system/files/NUT2022AST0099. </w:t>
        </w:r>
      </w:hyperlink>
      <w:hyperlink r:id="rId29">
        <w:r>
          <w:t>pdf</w:t>
        </w:r>
      </w:hyperlink>
      <w:r>
        <w:t>.</w:t>
      </w:r>
    </w:p>
    <w:sectPr w:rsidR="00C13919">
      <w:footerReference w:type="even" r:id="rId30"/>
      <w:footerReference w:type="default" r:id="rId31"/>
      <w:footerReference w:type="first" r:id="rId32"/>
      <w:pgSz w:w="12240" w:h="15840"/>
      <w:pgMar w:top="1972" w:right="1834" w:bottom="1937" w:left="1417" w:header="720" w:footer="9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9A7AF" w14:textId="77777777" w:rsidR="003D0F0F" w:rsidRDefault="003D0F0F">
      <w:pPr>
        <w:spacing w:after="0" w:line="240" w:lineRule="auto"/>
      </w:pPr>
      <w:r>
        <w:separator/>
      </w:r>
    </w:p>
  </w:endnote>
  <w:endnote w:type="continuationSeparator" w:id="0">
    <w:p w14:paraId="2A1093BB" w14:textId="77777777" w:rsidR="003D0F0F" w:rsidRDefault="003D0F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621F2" w14:textId="77777777" w:rsidR="00C13919" w:rsidRDefault="00C1391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0C0DC" w14:textId="77777777" w:rsidR="00C13919" w:rsidRDefault="00C1391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32E9B" w14:textId="77777777" w:rsidR="00C13919" w:rsidRDefault="00C1391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AF608" w14:textId="77777777" w:rsidR="00C13919" w:rsidRDefault="00000000">
    <w:pPr>
      <w:spacing w:after="0" w:line="259" w:lineRule="auto"/>
      <w:ind w:left="0" w:right="4440" w:firstLine="0"/>
      <w:jc w:val="right"/>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C464" w14:textId="77777777" w:rsidR="00C13919" w:rsidRDefault="00000000">
    <w:pPr>
      <w:spacing w:after="0" w:line="259" w:lineRule="auto"/>
      <w:ind w:left="0" w:right="4440" w:firstLine="0"/>
      <w:jc w:val="right"/>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08E28" w14:textId="77777777" w:rsidR="00C13919" w:rsidRDefault="00000000">
    <w:pPr>
      <w:spacing w:after="0" w:line="259" w:lineRule="auto"/>
      <w:ind w:left="0" w:right="4440" w:firstLine="0"/>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E1501" w14:textId="77777777" w:rsidR="003D0F0F" w:rsidRDefault="003D0F0F">
      <w:pPr>
        <w:spacing w:after="0" w:line="240" w:lineRule="auto"/>
      </w:pPr>
      <w:r>
        <w:separator/>
      </w:r>
    </w:p>
  </w:footnote>
  <w:footnote w:type="continuationSeparator" w:id="0">
    <w:p w14:paraId="55203FE6" w14:textId="77777777" w:rsidR="003D0F0F" w:rsidRDefault="003D0F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3176"/>
    <w:multiLevelType w:val="hybridMultilevel"/>
    <w:tmpl w:val="9440E278"/>
    <w:lvl w:ilvl="0" w:tplc="CF4AE144">
      <w:start w:val="1"/>
      <w:numFmt w:val="bullet"/>
      <w:lvlText w:val="•"/>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79CCB1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3832D8">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FD8DB3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1ACBD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52EE82">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8EC65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508FD6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78776E">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5E65981"/>
    <w:multiLevelType w:val="hybridMultilevel"/>
    <w:tmpl w:val="D272FED0"/>
    <w:lvl w:ilvl="0" w:tplc="2D5A29C2">
      <w:start w:val="1"/>
      <w:numFmt w:val="bullet"/>
      <w:lvlText w:val="•"/>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09434B2">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F4AC66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DDA01E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D9C8E7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66A6566">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9DE0CF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71E08A6">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618A88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2757983"/>
    <w:multiLevelType w:val="hybridMultilevel"/>
    <w:tmpl w:val="D87A37B8"/>
    <w:lvl w:ilvl="0" w:tplc="F306E48E">
      <w:start w:val="1"/>
      <w:numFmt w:val="decimal"/>
      <w:lvlText w:val="%1"/>
      <w:lvlJc w:val="left"/>
      <w:pPr>
        <w:ind w:left="5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9C8CB7E">
      <w:start w:val="1"/>
      <w:numFmt w:val="lowerLetter"/>
      <w:lvlText w:val="%2"/>
      <w:lvlJc w:val="left"/>
      <w:pPr>
        <w:ind w:left="14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A4E5B8">
      <w:start w:val="1"/>
      <w:numFmt w:val="lowerRoman"/>
      <w:lvlText w:val="%3"/>
      <w:lvlJc w:val="left"/>
      <w:pPr>
        <w:ind w:left="2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9C454A4">
      <w:start w:val="1"/>
      <w:numFmt w:val="decimal"/>
      <w:lvlText w:val="%4"/>
      <w:lvlJc w:val="left"/>
      <w:pPr>
        <w:ind w:left="28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1F2C4B8">
      <w:start w:val="1"/>
      <w:numFmt w:val="lowerLetter"/>
      <w:lvlText w:val="%5"/>
      <w:lvlJc w:val="left"/>
      <w:pPr>
        <w:ind w:left="35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F0621D0">
      <w:start w:val="1"/>
      <w:numFmt w:val="lowerRoman"/>
      <w:lvlText w:val="%6"/>
      <w:lvlJc w:val="left"/>
      <w:pPr>
        <w:ind w:left="42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7A29F72">
      <w:start w:val="1"/>
      <w:numFmt w:val="decimal"/>
      <w:lvlText w:val="%7"/>
      <w:lvlJc w:val="left"/>
      <w:pPr>
        <w:ind w:left="50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866A7A4">
      <w:start w:val="1"/>
      <w:numFmt w:val="lowerLetter"/>
      <w:lvlText w:val="%8"/>
      <w:lvlJc w:val="left"/>
      <w:pPr>
        <w:ind w:left="57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D8A2052">
      <w:start w:val="1"/>
      <w:numFmt w:val="lowerRoman"/>
      <w:lvlText w:val="%9"/>
      <w:lvlJc w:val="left"/>
      <w:pPr>
        <w:ind w:left="64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C2343D"/>
    <w:multiLevelType w:val="hybridMultilevel"/>
    <w:tmpl w:val="9304A114"/>
    <w:lvl w:ilvl="0" w:tplc="0D280A5A">
      <w:start w:val="1"/>
      <w:numFmt w:val="bullet"/>
      <w:lvlText w:val="•"/>
      <w:lvlJc w:val="left"/>
      <w:pPr>
        <w:ind w:left="5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F00C4D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76259BA">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A8E0688">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00CE8A2">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5F6505E">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A1C635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EA2BEE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EE79C8">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65C6A8E"/>
    <w:multiLevelType w:val="multilevel"/>
    <w:tmpl w:val="16BC8B32"/>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C020A6"/>
    <w:multiLevelType w:val="hybridMultilevel"/>
    <w:tmpl w:val="8B9A1B88"/>
    <w:lvl w:ilvl="0" w:tplc="A71C8480">
      <w:start w:val="1"/>
      <w:numFmt w:val="bullet"/>
      <w:lvlText w:val="•"/>
      <w:lvlJc w:val="left"/>
      <w:pPr>
        <w:ind w:left="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D20277E">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69CCF34">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396984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712EDB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D64A390">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6B8A2CC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CA491F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B4A59E2">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84849275">
    <w:abstractNumId w:val="2"/>
  </w:num>
  <w:num w:numId="2" w16cid:durableId="1765225882">
    <w:abstractNumId w:val="5"/>
  </w:num>
  <w:num w:numId="3" w16cid:durableId="583761131">
    <w:abstractNumId w:val="0"/>
  </w:num>
  <w:num w:numId="4" w16cid:durableId="1263732426">
    <w:abstractNumId w:val="3"/>
  </w:num>
  <w:num w:numId="5" w16cid:durableId="1620606274">
    <w:abstractNumId w:val="1"/>
  </w:num>
  <w:num w:numId="6" w16cid:durableId="2017146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919"/>
    <w:rsid w:val="003D0F0F"/>
    <w:rsid w:val="00C13919"/>
    <w:rsid w:val="00C75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65C62"/>
  <w15:docId w15:val="{D1D79EE4-5831-4795-86A0-28F7978C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40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6"/>
      </w:numPr>
      <w:spacing w:after="299"/>
      <w:ind w:left="10" w:hanging="10"/>
      <w:outlineLvl w:val="0"/>
    </w:pPr>
    <w:rPr>
      <w:rFonts w:ascii="Times New Roman" w:eastAsia="Times New Roman" w:hAnsi="Times New Roman" w:cs="Times New Roman"/>
      <w:b/>
      <w:color w:val="000000"/>
      <w:sz w:val="29"/>
    </w:rPr>
  </w:style>
  <w:style w:type="paragraph" w:styleId="Heading2">
    <w:name w:val="heading 2"/>
    <w:next w:val="Normal"/>
    <w:link w:val="Heading2Char"/>
    <w:uiPriority w:val="9"/>
    <w:unhideWhenUsed/>
    <w:qFormat/>
    <w:pPr>
      <w:keepNext/>
      <w:keepLines/>
      <w:numPr>
        <w:ilvl w:val="1"/>
        <w:numId w:val="6"/>
      </w:numPr>
      <w:spacing w:after="266"/>
      <w:ind w:left="10"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numPr>
        <w:ilvl w:val="2"/>
        <w:numId w:val="6"/>
      </w:numPr>
      <w:spacing w:after="287" w:line="265" w:lineRule="auto"/>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semiHidden/>
    <w:unhideWhenUsed/>
    <w:qFormat/>
    <w:pPr>
      <w:keepNext/>
      <w:keepLines/>
      <w:spacing w:after="287" w:line="265"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9"/>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2"/>
    </w:rPr>
  </w:style>
  <w:style w:type="paragraph" w:styleId="TOC1">
    <w:name w:val="toc 1"/>
    <w:hidden/>
    <w:pPr>
      <w:ind w:left="15" w:right="15"/>
    </w:pPr>
    <w:rPr>
      <w:rFonts w:ascii="Calibri" w:eastAsia="Calibri" w:hAnsi="Calibri" w:cs="Calibri"/>
      <w:color w:val="000000"/>
    </w:rPr>
  </w:style>
  <w:style w:type="paragraph" w:styleId="TOC2">
    <w:name w:val="toc 2"/>
    <w:hidden/>
    <w:pPr>
      <w:ind w:left="15" w:right="15"/>
    </w:pPr>
    <w:rPr>
      <w:rFonts w:ascii="Calibri" w:eastAsia="Calibri" w:hAnsi="Calibri" w:cs="Calibri"/>
      <w:color w:val="000000"/>
    </w:rPr>
  </w:style>
  <w:style w:type="paragraph" w:styleId="TOC3">
    <w:name w:val="toc 3"/>
    <w:hidden/>
    <w:pPr>
      <w:ind w:left="15" w:right="15"/>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doi.org/10.1210/er.2008-0004" TargetMode="External"/><Relationship Id="rId26" Type="http://schemas.openxmlformats.org/officeDocument/2006/relationships/hyperlink" Target="https://doi.org/10.1093/ajcn/88.2.491s" TargetMode="External"/><Relationship Id="rId3" Type="http://schemas.openxmlformats.org/officeDocument/2006/relationships/settings" Target="settings.xml"/><Relationship Id="rId21" Type="http://schemas.openxmlformats.org/officeDocument/2006/relationships/hyperlink" Target="https://doi.org/10.1002/cbf.2835" TargetMode="External"/><Relationship Id="rId34"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hyperlink" Target="https://doi.org/10.1007/s12020-017-1245-1" TargetMode="External"/><Relationship Id="rId25" Type="http://schemas.openxmlformats.org/officeDocument/2006/relationships/hyperlink" Target="https://doi.org/10.3389/fendo.2018.0055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ovinfo.gov/content/pkg/FR-2016-05-27/pdf/2016-11867.pdf" TargetMode="External"/><Relationship Id="rId20" Type="http://schemas.openxmlformats.org/officeDocument/2006/relationships/hyperlink" Target="https://doi.org/10.1016/j.ecl.2010.02.002" TargetMode="External"/><Relationship Id="rId29" Type="http://schemas.openxmlformats.org/officeDocument/2006/relationships/hyperlink" Target="https://www.anses.fr/fr/system/files/NUT2022AST0099.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s://doi.org/10.1210/jc.2011-0385" TargetMode="External"/><Relationship Id="rId32"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hyperlink" Target="https://www.govinfo.gov/content/pkg/FR-2016-05-27/pdf/2016-11867.pdf" TargetMode="External"/><Relationship Id="rId23" Type="http://schemas.openxmlformats.org/officeDocument/2006/relationships/hyperlink" Target="https://doi.org/10.1016/j.cnur.2020.10.004" TargetMode="External"/><Relationship Id="rId28" Type="http://schemas.openxmlformats.org/officeDocument/2006/relationships/hyperlink" Target="https://www.anses.fr/fr/system/files/NUT2022AST0099.pdf" TargetMode="External"/><Relationship Id="rId10" Type="http://schemas.openxmlformats.org/officeDocument/2006/relationships/image" Target="media/image1.png"/><Relationship Id="rId19" Type="http://schemas.openxmlformats.org/officeDocument/2006/relationships/hyperlink" Target="https://doi.org/10.1016/j.beem.2015.06.001" TargetMode="External"/><Relationship Id="rId31"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hyperlink" Target="https://www.govinfo.gov/content/pkg/FR-2016-05-27/pdf/2016-11867.pdf" TargetMode="External"/><Relationship Id="rId22" Type="http://schemas.openxmlformats.org/officeDocument/2006/relationships/hyperlink" Target="https://doi.org/10.3389/fimmu.2016.00697" TargetMode="External"/><Relationship Id="rId27" Type="http://schemas.openxmlformats.org/officeDocument/2006/relationships/hyperlink" Target="https://doi.org/10.1210/er.2012-1000" TargetMode="External"/><Relationship Id="rId30" Type="http://schemas.openxmlformats.org/officeDocument/2006/relationships/footer" Target="footer4.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2411</Words>
  <Characters>13745</Characters>
  <Application>Microsoft Office Word</Application>
  <DocSecurity>0</DocSecurity>
  <Lines>114</Lines>
  <Paragraphs>32</Paragraphs>
  <ScaleCrop>false</ScaleCrop>
  <Company/>
  <LinksUpToDate>false</LinksUpToDate>
  <CharactersWithSpaces>16124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Anh HUYNH</dc:creator>
  <cp:keywords/>
  <cp:lastModifiedBy>Minh Anh HUYNH</cp:lastModifiedBy>
  <cp:revision>2</cp:revision>
  <dcterms:created xsi:type="dcterms:W3CDTF">2022-11-10T19:31:00Z</dcterms:created>
  <dcterms:modified xsi:type="dcterms:W3CDTF">2022-11-10T19:31:00Z</dcterms:modified>
</cp:coreProperties>
</file>