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2CAD" w:rsidRPr="00EE6670" w:rsidRDefault="00122CAD">
      <w:pPr>
        <w:rPr>
          <w:rFonts w:asciiTheme="minorHAnsi" w:hAnsiTheme="minorHAnsi"/>
          <w:color w:val="000000" w:themeColor="text1"/>
          <w:lang w:val="en-US"/>
        </w:rPr>
      </w:pPr>
    </w:p>
    <w:p w:rsidR="00036643" w:rsidRPr="00EE6670" w:rsidRDefault="00036643">
      <w:pPr>
        <w:rPr>
          <w:rFonts w:asciiTheme="minorHAnsi" w:hAnsiTheme="minorHAnsi"/>
          <w:color w:val="000000" w:themeColor="text1"/>
          <w:lang w:val="en-US"/>
        </w:rPr>
      </w:pPr>
    </w:p>
    <w:p w:rsidR="00036643" w:rsidRPr="00EE6670" w:rsidRDefault="00036643">
      <w:pPr>
        <w:rPr>
          <w:rFonts w:asciiTheme="minorHAnsi" w:hAnsiTheme="minorHAnsi"/>
          <w:color w:val="000000" w:themeColor="text1"/>
          <w:lang w:val="en-US"/>
        </w:rPr>
      </w:pPr>
    </w:p>
    <w:p w:rsidR="00036643" w:rsidRPr="00EE6670" w:rsidRDefault="00036643">
      <w:pPr>
        <w:rPr>
          <w:rFonts w:asciiTheme="minorHAnsi" w:hAnsiTheme="minorHAnsi"/>
          <w:color w:val="000000" w:themeColor="text1"/>
          <w:lang w:val="en-US"/>
        </w:rPr>
      </w:pPr>
    </w:p>
    <w:p w:rsidR="00036643" w:rsidRPr="00EE6670" w:rsidRDefault="00036643">
      <w:pPr>
        <w:rPr>
          <w:rFonts w:asciiTheme="minorHAnsi" w:hAnsiTheme="minorHAnsi" w:cstheme="minorHAnsi"/>
          <w:color w:val="000000" w:themeColor="text1"/>
          <w:lang w:val="en-US"/>
        </w:rPr>
      </w:pPr>
    </w:p>
    <w:p w:rsidR="0015602B" w:rsidRPr="00B405E6" w:rsidRDefault="00836FE4" w:rsidP="0015602B">
      <w:pPr>
        <w:jc w:val="both"/>
        <w:rPr>
          <w:rFonts w:asciiTheme="minorHAnsi" w:hAnsiTheme="minorHAnsi" w:cstheme="minorHAnsi"/>
          <w:b/>
          <w:color w:val="000000" w:themeColor="text1"/>
        </w:rPr>
      </w:pPr>
      <w:r>
        <w:tab/>
        <w:tab/>
        <w:tab/>
        <w:tab/>
        <w:tab/>
        <w:tab/>
        <w:tab/>
        <w:tab/>
        <w:t>SARL GLOBALSILVER</w:t>
      </w:r>
    </w:p>
    <w:p w:rsidR="0015602B" w:rsidRPr="00B405E6" w:rsidRDefault="0015602B" w:rsidP="0015602B">
      <w:pPr>
        <w:jc w:val="both"/>
        <w:rPr>
          <w:rFonts w:asciiTheme="minorHAnsi" w:hAnsiTheme="minorHAnsi" w:cstheme="minorHAnsi"/>
          <w:b/>
          <w:color w:val="000000" w:themeColor="text1"/>
        </w:rPr>
      </w:pPr>
      <w:r>
        <w:tab/>
        <w:tab/>
        <w:tab/>
        <w:tab/>
        <w:tab/>
        <w:tab/>
        <w:tab/>
        <w:tab/>
        <w:t>Mr. Marc Le Legros</w:t>
      </w:r>
    </w:p>
    <w:p w:rsidR="0015602B" w:rsidRPr="00EE6670" w:rsidRDefault="0015602B" w:rsidP="0015602B">
      <w:pPr>
        <w:jc w:val="both"/>
        <w:rPr>
          <w:rFonts w:asciiTheme="minorHAnsi" w:hAnsiTheme="minorHAnsi" w:cstheme="minorHAnsi"/>
          <w:b/>
          <w:color w:val="000000" w:themeColor="text1"/>
        </w:rPr>
      </w:pPr>
      <w:r>
        <w:tab/>
        <w:tab/>
        <w:tab/>
        <w:tab/>
        <w:tab/>
        <w:tab/>
        <w:tab/>
        <w:tab/>
        <w:t>25 Rue de SARRE</w:t>
      </w:r>
    </w:p>
    <w:p w:rsidR="0015602B" w:rsidRPr="00EE6670" w:rsidRDefault="0015602B" w:rsidP="0015602B">
      <w:pPr>
        <w:jc w:val="both"/>
        <w:rPr>
          <w:rFonts w:asciiTheme="minorHAnsi" w:hAnsiTheme="minorHAnsi" w:cstheme="minorHAnsi"/>
          <w:b/>
          <w:color w:val="000000" w:themeColor="text1"/>
        </w:rPr>
      </w:pPr>
      <w:r>
        <w:tab/>
        <w:tab/>
        <w:tab/>
        <w:tab/>
        <w:tab/>
        <w:tab/>
        <w:tab/>
        <w:tab/>
        <w:t>[DATE_TIME_93AA] METZ</w:t>
      </w:r>
    </w:p>
    <w:p w:rsidR="0015602B" w:rsidRPr="00EE6670" w:rsidRDefault="0015602B" w:rsidP="0015602B">
      <w:pPr>
        <w:jc w:val="both"/>
        <w:rPr>
          <w:rFonts w:asciiTheme="minorHAnsi" w:hAnsiTheme="minorHAnsi" w:cstheme="minorHAnsi"/>
          <w:color w:val="000000" w:themeColor="text1"/>
        </w:rPr>
      </w:pPr>
      <w:r>
        <w:tab/>
        <w:tab/>
        <w:tab/>
        <w:tab/>
        <w:tab/>
        <w:tab/>
        <w:tab/>
        <w:tab/>
        <w:t>rue Delahaye, 14657 Hubert</w:t>
      </w:r>
    </w:p>
    <w:p w:rsidR="00036643" w:rsidRPr="00B23806" w:rsidRDefault="00036643">
      <w:pPr>
        <w:rPr>
          <w:rFonts w:asciiTheme="minorHAnsi" w:hAnsiTheme="minorHAnsi"/>
          <w:b/>
          <w:color w:val="000000" w:themeColor="text1"/>
        </w:rPr>
      </w:pPr>
    </w:p>
    <w:p w:rsidR="00836FE4" w:rsidRPr="00B23806" w:rsidRDefault="00836FE4">
      <w:pPr>
        <w:rPr>
          <w:rFonts w:asciiTheme="minorHAnsi" w:hAnsiTheme="minorHAnsi"/>
          <w:b/>
          <w:color w:val="000000" w:themeColor="text1"/>
        </w:rPr>
      </w:pPr>
    </w:p>
    <w:p w:rsidR="00836FE4" w:rsidRPr="00B23806" w:rsidRDefault="00836FE4">
      <w:pPr>
        <w:rPr>
          <w:rFonts w:asciiTheme="minorHAnsi" w:hAnsiTheme="minorHAnsi"/>
          <w:b/>
          <w:color w:val="000000" w:themeColor="text1"/>
        </w:rPr>
      </w:pPr>
    </w:p>
    <w:p w:rsidR="00836FE4" w:rsidRPr="00B23806" w:rsidRDefault="00836FE4">
      <w:pPr>
        <w:rPr>
          <w:rFonts w:asciiTheme="minorHAnsi" w:hAnsiTheme="minorHAnsi"/>
          <w:b/>
          <w:color w:val="000000" w:themeColor="text1"/>
        </w:rPr>
      </w:pPr>
    </w:p>
    <w:p w:rsidR="00836FE4" w:rsidRPr="00B23806" w:rsidRDefault="00836FE4">
      <w:pPr>
        <w:rPr>
          <w:rFonts w:asciiTheme="minorHAnsi" w:hAnsiTheme="minorHAnsi"/>
          <w:b/>
          <w:color w:val="000000" w:themeColor="text1"/>
        </w:rPr>
      </w:pPr>
      <w:r>
        <w:tab/>
        <w:tab/>
        <w:tab/>
        <w:tab/>
        <w:tab/>
        <w:tab/>
        <w:tab/>
        <w:tab/>
        <w:t>64, chemin David Lombard, 45100 Mathieu, le 13 Juillet 2020</w:t>
      </w:r>
    </w:p>
    <w:p w:rsidR="00836FE4" w:rsidRPr="00B23806" w:rsidRDefault="00836FE4">
      <w:pPr>
        <w:rPr>
          <w:rFonts w:asciiTheme="minorHAnsi" w:hAnsiTheme="minorHAnsi"/>
          <w:b/>
          <w:color w:val="000000" w:themeColor="text1"/>
        </w:rPr>
      </w:pPr>
    </w:p>
    <w:p w:rsidR="00836FE4" w:rsidRPr="00B23806" w:rsidRDefault="00836FE4">
      <w:pPr>
        <w:rPr>
          <w:rFonts w:asciiTheme="minorHAnsi" w:hAnsiTheme="minorHAnsi"/>
          <w:b/>
          <w:color w:val="000000" w:themeColor="text1"/>
        </w:rPr>
      </w:pPr>
    </w:p>
    <w:p w:rsidR="00836FE4" w:rsidRPr="00B23806" w:rsidRDefault="00836FE4">
      <w:pPr>
        <w:rPr>
          <w:rFonts w:asciiTheme="minorHAnsi" w:hAnsiTheme="minorHAnsi"/>
          <w:b/>
          <w:color w:val="000000" w:themeColor="text1"/>
        </w:rPr>
      </w:pPr>
    </w:p>
    <w:p w:rsidR="00574541" w:rsidRPr="00B23806" w:rsidRDefault="00574541">
      <w:pPr>
        <w:rPr>
          <w:rFonts w:asciiTheme="minorHAnsi" w:hAnsiTheme="minorHAnsi"/>
          <w:b/>
          <w:color w:val="000000" w:themeColor="text1"/>
        </w:rPr>
      </w:pPr>
    </w:p>
    <w:p w:rsidR="00574541" w:rsidRPr="00B23806" w:rsidRDefault="00574541">
      <w:pPr>
        <w:rPr>
          <w:rFonts w:asciiTheme="minorHAnsi" w:hAnsiTheme="minorHAnsi"/>
          <w:b/>
          <w:color w:val="000000" w:themeColor="text1"/>
        </w:rPr>
      </w:pPr>
    </w:p>
    <w:p w:rsidR="00836FE4" w:rsidRPr="00B23806" w:rsidRDefault="001B532E">
      <w:pPr>
        <w:rPr>
          <w:rFonts w:asciiTheme="minorHAnsi" w:hAnsiTheme="minorHAnsi"/>
          <w:b/>
          <w:color w:val="000000" w:themeColor="text1"/>
        </w:rPr>
      </w:pPr>
      <w:r>
        <w:t xml:space="preserve">Objet : Mémorandum juridique et fiscal </w:t>
      </w:r>
    </w:p>
    <w:p w:rsidR="00836FE4" w:rsidRPr="00B23806" w:rsidRDefault="00836FE4">
      <w:pPr>
        <w:rPr>
          <w:rFonts w:asciiTheme="minorHAnsi" w:hAnsiTheme="minorHAnsi"/>
          <w:b/>
          <w:color w:val="000000" w:themeColor="text1"/>
        </w:rPr>
      </w:pPr>
    </w:p>
    <w:p w:rsidR="001B532E" w:rsidRPr="00B23806" w:rsidRDefault="001B532E">
      <w:pPr>
        <w:rPr>
          <w:rFonts w:asciiTheme="minorHAnsi" w:hAnsiTheme="minorHAnsi"/>
          <w:color w:val="000000" w:themeColor="text1"/>
        </w:rPr>
      </w:pPr>
    </w:p>
    <w:p w:rsidR="00836FE4" w:rsidRPr="00B23806" w:rsidRDefault="00636F41">
      <w:pPr>
        <w:rPr>
          <w:rFonts w:asciiTheme="minorHAnsi" w:hAnsiTheme="minorHAnsi"/>
          <w:color w:val="000000" w:themeColor="text1"/>
        </w:rPr>
      </w:pPr>
      <w:r>
        <w:t>Marianne Perez,</w:t>
      </w:r>
    </w:p>
    <w:p w:rsidR="001B532E" w:rsidRPr="00B23806" w:rsidRDefault="001B532E">
      <w:pPr>
        <w:rPr>
          <w:rFonts w:asciiTheme="minorHAnsi" w:hAnsiTheme="minorHAnsi"/>
          <w:color w:val="000000" w:themeColor="text1"/>
        </w:rPr>
      </w:pPr>
    </w:p>
    <w:p w:rsidR="001B532E" w:rsidRDefault="001B532E" w:rsidP="001B532E">
      <w:pPr>
        <w:jc w:val="both"/>
        <w:rPr>
          <w:rFonts w:asciiTheme="minorHAnsi" w:hAnsiTheme="minorHAnsi"/>
          <w:color w:val="000000" w:themeColor="text1"/>
        </w:rPr>
      </w:pPr>
      <w:r>
        <w:t>Vous nous avez sollicité en vue de vous accompagner de vous accompagner dans la mise en place d’une structure d’optimisation fiscale de votre activité de négoce de métaux précieux (or et argent principalement).</w:t>
      </w:r>
    </w:p>
    <w:p w:rsidR="0015602B" w:rsidRDefault="0015602B" w:rsidP="001B532E">
      <w:pPr>
        <w:jc w:val="both"/>
        <w:rPr>
          <w:rFonts w:asciiTheme="minorHAnsi" w:hAnsiTheme="minorHAnsi"/>
          <w:color w:val="000000" w:themeColor="text1"/>
        </w:rPr>
      </w:pPr>
    </w:p>
    <w:p w:rsidR="0015602B" w:rsidRDefault="0015602B" w:rsidP="001B532E">
      <w:pPr>
        <w:jc w:val="both"/>
        <w:rPr>
          <w:rFonts w:asciiTheme="minorHAnsi" w:hAnsiTheme="minorHAnsi"/>
          <w:color w:val="000000" w:themeColor="text1"/>
        </w:rPr>
      </w:pPr>
      <w:r>
        <w:t>Nous comprenons que ce montage doit vous permettre de retrouver une liberté fiscale et sociale afin de réduire au maximum votre soumissions au paiement de l’impôt et des charges sociales en France.</w:t>
      </w:r>
    </w:p>
    <w:p w:rsidR="0015602B" w:rsidRDefault="0015602B" w:rsidP="001B532E">
      <w:pPr>
        <w:jc w:val="both"/>
        <w:rPr>
          <w:rFonts w:asciiTheme="minorHAnsi" w:hAnsiTheme="minorHAnsi"/>
          <w:color w:val="000000" w:themeColor="text1"/>
        </w:rPr>
      </w:pPr>
    </w:p>
    <w:p w:rsidR="0015602B" w:rsidRPr="00B23806" w:rsidRDefault="0015602B" w:rsidP="001B532E">
      <w:pPr>
        <w:jc w:val="both"/>
        <w:rPr>
          <w:rFonts w:asciiTheme="minorHAnsi" w:hAnsiTheme="minorHAnsi"/>
          <w:color w:val="000000" w:themeColor="text1"/>
        </w:rPr>
      </w:pPr>
      <w:r>
        <w:t>Nous comprenons aussi que vous possédait une SARL immatriculée en France, deux Limited immatriculées au royaume chemin de Germain, 74968 Dos Santos-sur-Mer.</w:t>
      </w:r>
    </w:p>
    <w:p w:rsidR="0021421B" w:rsidRPr="00B23806" w:rsidRDefault="0021421B">
      <w:pPr>
        <w:rPr>
          <w:rFonts w:asciiTheme="minorHAnsi" w:hAnsiTheme="minorHAnsi"/>
          <w:color w:val="000000" w:themeColor="text1"/>
        </w:rPr>
      </w:pPr>
    </w:p>
    <w:p w:rsidR="005032A8" w:rsidRPr="00B23806" w:rsidRDefault="005032A8">
      <w:pPr>
        <w:rPr>
          <w:rFonts w:asciiTheme="minorHAnsi" w:hAnsiTheme="minorHAnsi"/>
          <w:color w:val="000000" w:themeColor="text1"/>
        </w:rPr>
      </w:pPr>
      <w:r>
        <w:t>Nous comprenons également que vous songez à installer chacune des sociétés nécessaires à la gestion de votre projet dans des pays situés hors du territoire de l’Union européenne afin de vous garantir une plus grande exposition internationale pour attaquer l’ensemble des marchés Dorothée Guyon-Launay.</w:t>
      </w:r>
    </w:p>
    <w:p w:rsidR="005032A8" w:rsidRPr="00B23806" w:rsidRDefault="005032A8">
      <w:pPr>
        <w:rPr>
          <w:rFonts w:asciiTheme="minorHAnsi" w:hAnsiTheme="minorHAnsi"/>
          <w:color w:val="000000" w:themeColor="text1"/>
        </w:rPr>
      </w:pPr>
    </w:p>
    <w:p w:rsidR="001B532E" w:rsidRPr="00B23806" w:rsidRDefault="0050558D">
      <w:pPr>
        <w:rPr>
          <w:rFonts w:asciiTheme="minorHAnsi" w:hAnsiTheme="minorHAnsi"/>
          <w:color w:val="000000" w:themeColor="text1"/>
        </w:rPr>
      </w:pPr>
      <w:r>
        <w:t>Nous comprenons également que la SARL GLOBALSILVER posséde un stock de métaux précieux composé principalement d’or.</w:t>
      </w:r>
    </w:p>
    <w:p w:rsidR="007820BA" w:rsidRPr="00B23806" w:rsidRDefault="007820BA">
      <w:pPr>
        <w:rPr>
          <w:rFonts w:asciiTheme="minorHAnsi" w:hAnsiTheme="minorHAnsi"/>
          <w:color w:val="000000" w:themeColor="text1"/>
        </w:rPr>
      </w:pPr>
    </w:p>
    <w:p w:rsidR="003034E6" w:rsidRPr="00B23806" w:rsidRDefault="003034E6" w:rsidP="00BD7730">
      <w:pPr>
        <w:jc w:val="both"/>
        <w:rPr>
          <w:rFonts w:asciiTheme="minorHAnsi" w:hAnsiTheme="minorHAnsi"/>
          <w:color w:val="000000" w:themeColor="text1"/>
        </w:rPr>
      </w:pPr>
    </w:p>
    <w:p w:rsidR="00C0496C" w:rsidRDefault="00C0496C" w:rsidP="00C0496C">
      <w:pPr>
        <w:jc w:val="both"/>
        <w:rPr>
          <w:rFonts w:ascii="Calibri" w:hAnsi="Calibri" w:cs="Arial"/>
          <w:color w:val="000000" w:themeColor="text1"/>
        </w:rPr>
      </w:pPr>
      <w:r>
        <w:t>A cet effet, nous nous sommes attachés à vous détailler les options Louis Aubry holding gérant votre activité dans un pays situés en dehors de l’Union Européenne.</w:t>
      </w:r>
    </w:p>
    <w:p w:rsidR="006D5FD9" w:rsidRDefault="006D5FD9" w:rsidP="00C0496C">
      <w:pPr>
        <w:jc w:val="both"/>
        <w:rPr>
          <w:rFonts w:ascii="Calibri" w:hAnsi="Calibri" w:cs="Arial"/>
          <w:color w:val="000000" w:themeColor="text1"/>
        </w:rPr>
      </w:pPr>
    </w:p>
    <w:p w:rsidR="006D5FD9" w:rsidRPr="00B23806" w:rsidRDefault="006D5FD9" w:rsidP="00C0496C">
      <w:pPr>
        <w:jc w:val="both"/>
        <w:rPr>
          <w:rFonts w:ascii="Calibri" w:hAnsi="Calibri" w:cs="Arial"/>
          <w:color w:val="000000" w:themeColor="text1"/>
        </w:rPr>
      </w:pPr>
    </w:p>
    <w:p w:rsidR="00043611" w:rsidRPr="00B23806" w:rsidRDefault="00043611" w:rsidP="002C6A79">
      <w:pPr>
        <w:tabs>
          <w:tab w:val="left" w:pos="1134"/>
        </w:tabs>
        <w:jc w:val="both"/>
        <w:rPr>
          <w:rFonts w:asciiTheme="minorHAnsi" w:hAnsiTheme="minorHAnsi"/>
          <w:b/>
          <w:color w:val="000000" w:themeColor="text1"/>
        </w:rPr>
      </w:pPr>
      <w:r>
        <w:t>I – Le choix d’implémentation d’une société offshore</w:t>
      </w:r>
    </w:p>
    <w:p w:rsidR="00C0496C" w:rsidRPr="00B23806" w:rsidRDefault="00C0496C" w:rsidP="002C6A79">
      <w:pPr>
        <w:tabs>
          <w:tab w:val="left" w:pos="1134"/>
        </w:tabs>
        <w:jc w:val="both"/>
        <w:rPr>
          <w:rFonts w:asciiTheme="minorHAnsi" w:hAnsiTheme="minorHAnsi"/>
          <w:b/>
          <w:color w:val="000000" w:themeColor="text1"/>
        </w:rPr>
      </w:pPr>
    </w:p>
    <w:p w:rsidR="00895002" w:rsidRPr="00391FBB" w:rsidRDefault="00D114E2" w:rsidP="002C6A79">
      <w:pPr>
        <w:tabs>
          <w:tab w:val="left" w:pos="1134"/>
        </w:tabs>
        <w:jc w:val="both"/>
        <w:rPr>
          <w:rFonts w:asciiTheme="minorHAnsi" w:hAnsiTheme="minorHAnsi"/>
          <w:color w:val="000000" w:themeColor="text1"/>
        </w:rPr>
      </w:pPr>
      <w:r>
        <w:t>Le choix de l’implantation d’une société offshore doit se faire en tenant compte de l’ensemble des aspects Hélène Rivière et fiscaux et notamment les aspects suivants :</w:t>
      </w:r>
    </w:p>
    <w:p w:rsidR="00895002" w:rsidRPr="00391FBB" w:rsidRDefault="00895002" w:rsidP="002C6A79">
      <w:pPr>
        <w:tabs>
          <w:tab w:val="left" w:pos="1134"/>
        </w:tabs>
        <w:jc w:val="both"/>
        <w:rPr>
          <w:rFonts w:asciiTheme="minorHAnsi" w:hAnsiTheme="minorHAnsi"/>
          <w:color w:val="000000" w:themeColor="text1"/>
        </w:rPr>
      </w:pPr>
    </w:p>
    <w:p w:rsidR="00C0496C" w:rsidRPr="00391FBB" w:rsidRDefault="00DD0654" w:rsidP="00B16556">
      <w:pPr>
        <w:numPr>
          <w:ilvl w:val="0"/>
          <w:numId w:val="1"/>
        </w:numPr>
        <w:tabs>
          <w:tab w:val="left" w:pos="1134"/>
        </w:tabs>
        <w:ind w:left="1134" w:hanging="714"/>
        <w:jc w:val="both"/>
        <w:rPr>
          <w:rFonts w:asciiTheme="minorHAnsi" w:hAnsiTheme="minorHAnsi"/>
          <w:color w:val="000000" w:themeColor="text1"/>
        </w:rPr>
      </w:pPr>
      <w:r>
        <w:t>le régime fiscal local applicable aux sociétés n’exerçant pas d’activité sur le territoire ;</w:t>
      </w:r>
    </w:p>
    <w:p w:rsidR="00FD1F2E" w:rsidRPr="00391FBB" w:rsidRDefault="00FD1F2E" w:rsidP="00221FFF">
      <w:pPr>
        <w:tabs>
          <w:tab w:val="left" w:pos="1134"/>
        </w:tabs>
        <w:ind w:left="1134"/>
        <w:jc w:val="both"/>
        <w:rPr>
          <w:rFonts w:asciiTheme="minorHAnsi" w:hAnsiTheme="minorHAnsi"/>
          <w:color w:val="000000" w:themeColor="text1"/>
        </w:rPr>
      </w:pPr>
    </w:p>
    <w:p w:rsidR="00DD0654" w:rsidRPr="00391FBB" w:rsidRDefault="00DD0654" w:rsidP="00B16556">
      <w:pPr>
        <w:numPr>
          <w:ilvl w:val="0"/>
          <w:numId w:val="1"/>
        </w:numPr>
        <w:tabs>
          <w:tab w:val="left" w:pos="1134"/>
        </w:tabs>
        <w:ind w:left="1134" w:hanging="708"/>
        <w:jc w:val="both"/>
        <w:rPr>
          <w:rFonts w:asciiTheme="minorHAnsi" w:hAnsiTheme="minorHAnsi"/>
          <w:color w:val="000000" w:themeColor="text1"/>
        </w:rPr>
      </w:pPr>
      <w:r>
        <w:t>le traitement fiscal des retenues à la source sur les revenus versés ou payés ;</w:t>
      </w:r>
    </w:p>
    <w:p w:rsidR="00FD1F2E" w:rsidRPr="00391FBB" w:rsidRDefault="00FD1F2E" w:rsidP="00221FFF">
      <w:pPr>
        <w:tabs>
          <w:tab w:val="left" w:pos="1134"/>
        </w:tabs>
        <w:jc w:val="both"/>
        <w:rPr>
          <w:rFonts w:asciiTheme="minorHAnsi" w:hAnsiTheme="minorHAnsi"/>
          <w:color w:val="000000" w:themeColor="text1"/>
        </w:rPr>
      </w:pPr>
    </w:p>
    <w:p w:rsidR="00FD1F2E" w:rsidRPr="00391FBB" w:rsidRDefault="00FD1F2E" w:rsidP="00B16556">
      <w:pPr>
        <w:numPr>
          <w:ilvl w:val="0"/>
          <w:numId w:val="1"/>
        </w:numPr>
        <w:tabs>
          <w:tab w:val="left" w:pos="1134"/>
        </w:tabs>
        <w:ind w:left="1134" w:hanging="708"/>
        <w:jc w:val="both"/>
        <w:rPr>
          <w:rFonts w:asciiTheme="minorHAnsi" w:hAnsiTheme="minorHAnsi"/>
          <w:color w:val="000000" w:themeColor="text1"/>
        </w:rPr>
      </w:pPr>
      <w:r>
        <w:t>l’imposition des revenus reçus par les associés dans leur pays de résidence ;</w:t>
      </w:r>
    </w:p>
    <w:p w:rsidR="005A41E8" w:rsidRPr="00391FBB" w:rsidRDefault="005A41E8" w:rsidP="00221FFF">
      <w:pPr>
        <w:pStyle w:val="Paragraphedeliste"/>
        <w:tabs>
          <w:tab w:val="left" w:pos="1134"/>
        </w:tabs>
        <w:ind w:left="1134" w:hanging="708"/>
        <w:rPr>
          <w:rFonts w:asciiTheme="minorHAnsi" w:hAnsiTheme="minorHAnsi"/>
          <w:color w:val="000000" w:themeColor="text1"/>
        </w:rPr>
      </w:pPr>
    </w:p>
    <w:p w:rsidR="005A41E8" w:rsidRPr="00B23806" w:rsidRDefault="005A41E8" w:rsidP="00B16556">
      <w:pPr>
        <w:numPr>
          <w:ilvl w:val="0"/>
          <w:numId w:val="1"/>
        </w:numPr>
        <w:tabs>
          <w:tab w:val="left" w:pos="1134"/>
        </w:tabs>
        <w:ind w:left="1134" w:hanging="708"/>
        <w:jc w:val="both"/>
        <w:rPr>
          <w:rFonts w:asciiTheme="minorHAnsi" w:hAnsiTheme="minorHAnsi"/>
          <w:color w:val="000000" w:themeColor="text1"/>
        </w:rPr>
      </w:pPr>
      <w:r>
        <w:t>le régime de plus-values en cas de cession de la société offshore</w:t>
      </w:r>
    </w:p>
    <w:p w:rsidR="00FD1F2E" w:rsidRPr="00B23806" w:rsidRDefault="00FD1F2E" w:rsidP="00221FFF">
      <w:pPr>
        <w:tabs>
          <w:tab w:val="left" w:pos="1134"/>
        </w:tabs>
        <w:ind w:left="1134" w:hanging="708"/>
        <w:jc w:val="both"/>
        <w:rPr>
          <w:rFonts w:asciiTheme="minorHAnsi" w:hAnsiTheme="minorHAnsi"/>
          <w:color w:val="000000" w:themeColor="text1"/>
        </w:rPr>
      </w:pPr>
    </w:p>
    <w:p w:rsidR="00FD1F2E" w:rsidRPr="00B23806" w:rsidRDefault="00FD1F2E" w:rsidP="00B16556">
      <w:pPr>
        <w:numPr>
          <w:ilvl w:val="0"/>
          <w:numId w:val="1"/>
        </w:numPr>
        <w:tabs>
          <w:tab w:val="left" w:pos="1134"/>
        </w:tabs>
        <w:ind w:left="1134" w:hanging="708"/>
        <w:jc w:val="both"/>
        <w:rPr>
          <w:rFonts w:asciiTheme="minorHAnsi" w:hAnsiTheme="minorHAnsi"/>
          <w:color w:val="000000" w:themeColor="text1"/>
        </w:rPr>
      </w:pPr>
      <w:r>
        <w:t>le traitement de la TVA dans le cadre des opérations réalisées.</w:t>
      </w:r>
    </w:p>
    <w:p w:rsidR="00FD1F2E" w:rsidRPr="00B23806" w:rsidRDefault="00FD1F2E" w:rsidP="00FD1F2E">
      <w:pPr>
        <w:pStyle w:val="Paragraphedeliste"/>
        <w:rPr>
          <w:rFonts w:asciiTheme="minorHAnsi" w:hAnsiTheme="minorHAnsi"/>
          <w:color w:val="000000" w:themeColor="text1"/>
        </w:rPr>
      </w:pPr>
    </w:p>
    <w:p w:rsidR="00FD1F2E" w:rsidRPr="00B23806" w:rsidRDefault="00641614" w:rsidP="00FD1F2E">
      <w:pPr>
        <w:tabs>
          <w:tab w:val="left" w:pos="1134"/>
        </w:tabs>
        <w:jc w:val="both"/>
        <w:rPr>
          <w:rFonts w:asciiTheme="minorHAnsi" w:hAnsiTheme="minorHAnsi"/>
          <w:color w:val="000000" w:themeColor="text1"/>
        </w:rPr>
      </w:pPr>
      <w:r>
        <w:t>Dans le cadre de cette première partie de notre étude, nous vous détaillerons l’ensemble des mécanismes juridiques et fiscaux applicables aux sociétés offshores suivantes :</w:t>
      </w:r>
    </w:p>
    <w:p w:rsidR="00221FFF" w:rsidRDefault="00221FFF" w:rsidP="00FD1F2E">
      <w:pPr>
        <w:tabs>
          <w:tab w:val="left" w:pos="1134"/>
        </w:tabs>
        <w:jc w:val="both"/>
        <w:rPr>
          <w:rFonts w:asciiTheme="minorHAnsi" w:hAnsiTheme="minorHAnsi"/>
          <w:color w:val="000000" w:themeColor="text1"/>
        </w:rPr>
      </w:pPr>
    </w:p>
    <w:p w:rsidR="00641614" w:rsidRPr="00B23806" w:rsidRDefault="00641614" w:rsidP="00641614">
      <w:pPr>
        <w:tabs>
          <w:tab w:val="left" w:pos="1134"/>
        </w:tabs>
        <w:jc w:val="both"/>
        <w:rPr>
          <w:rFonts w:asciiTheme="minorHAnsi" w:hAnsiTheme="minorHAnsi"/>
          <w:color w:val="000000" w:themeColor="text1"/>
        </w:rPr>
      </w:pPr>
    </w:p>
    <w:p w:rsidR="00641614" w:rsidRPr="00B23806" w:rsidRDefault="00641614" w:rsidP="00B16556">
      <w:pPr>
        <w:numPr>
          <w:ilvl w:val="0"/>
          <w:numId w:val="2"/>
        </w:numPr>
        <w:tabs>
          <w:tab w:val="left" w:pos="1134"/>
        </w:tabs>
        <w:jc w:val="both"/>
        <w:rPr>
          <w:rFonts w:asciiTheme="minorHAnsi" w:hAnsiTheme="minorHAnsi"/>
          <w:color w:val="000000" w:themeColor="text1"/>
        </w:rPr>
      </w:pPr>
      <w:r>
        <w:t>Rémy Gonzalez ;</w:t>
      </w:r>
    </w:p>
    <w:p w:rsidR="006E0B2C" w:rsidRPr="00B23806" w:rsidRDefault="006E0B2C" w:rsidP="006E0B2C">
      <w:pPr>
        <w:pStyle w:val="Paragraphedeliste"/>
        <w:rPr>
          <w:rFonts w:asciiTheme="minorHAnsi" w:hAnsiTheme="minorHAnsi"/>
          <w:color w:val="000000" w:themeColor="text1"/>
        </w:rPr>
      </w:pPr>
    </w:p>
    <w:p w:rsidR="006E0B2C" w:rsidRPr="00B23806" w:rsidRDefault="006E0B2C" w:rsidP="00B16556">
      <w:pPr>
        <w:numPr>
          <w:ilvl w:val="0"/>
          <w:numId w:val="2"/>
        </w:numPr>
        <w:tabs>
          <w:tab w:val="left" w:pos="1134"/>
        </w:tabs>
        <w:jc w:val="both"/>
        <w:rPr>
          <w:rFonts w:asciiTheme="minorHAnsi" w:hAnsiTheme="minorHAnsi"/>
          <w:color w:val="000000" w:themeColor="text1"/>
        </w:rPr>
      </w:pPr>
      <w:r>
        <w:t>chemin de Garcia, 03791 Ruiz ;</w:t>
      </w:r>
    </w:p>
    <w:p w:rsidR="006E0B2C" w:rsidRPr="00B23806" w:rsidRDefault="006E0B2C" w:rsidP="006E0B2C">
      <w:pPr>
        <w:pStyle w:val="Paragraphedeliste"/>
        <w:rPr>
          <w:rFonts w:asciiTheme="minorHAnsi" w:hAnsiTheme="minorHAnsi"/>
          <w:color w:val="000000" w:themeColor="text1"/>
        </w:rPr>
      </w:pPr>
    </w:p>
    <w:p w:rsidR="006E0B2C" w:rsidRPr="00B23806" w:rsidRDefault="006E0B2C" w:rsidP="00B16556">
      <w:pPr>
        <w:numPr>
          <w:ilvl w:val="0"/>
          <w:numId w:val="2"/>
        </w:numPr>
        <w:tabs>
          <w:tab w:val="left" w:pos="1134"/>
        </w:tabs>
        <w:jc w:val="both"/>
        <w:rPr>
          <w:rFonts w:asciiTheme="minorHAnsi" w:hAnsiTheme="minorHAnsi"/>
          <w:color w:val="000000" w:themeColor="text1"/>
        </w:rPr>
      </w:pPr>
      <w:r>
        <w:t>L’île Christelle du Daniel ;</w:t>
      </w:r>
    </w:p>
    <w:p w:rsidR="006E0B2C" w:rsidRPr="00B23806" w:rsidRDefault="006E0B2C" w:rsidP="006E0B2C">
      <w:pPr>
        <w:pStyle w:val="Paragraphedeliste"/>
        <w:rPr>
          <w:rFonts w:asciiTheme="minorHAnsi" w:hAnsiTheme="minorHAnsi"/>
          <w:color w:val="000000" w:themeColor="text1"/>
        </w:rPr>
      </w:pPr>
    </w:p>
    <w:p w:rsidR="006E0B2C" w:rsidRPr="00B23806" w:rsidRDefault="006E0B2C" w:rsidP="00B16556">
      <w:pPr>
        <w:numPr>
          <w:ilvl w:val="0"/>
          <w:numId w:val="2"/>
        </w:numPr>
        <w:tabs>
          <w:tab w:val="left" w:pos="1134"/>
        </w:tabs>
        <w:jc w:val="both"/>
        <w:rPr>
          <w:rFonts w:asciiTheme="minorHAnsi" w:hAnsiTheme="minorHAnsi"/>
          <w:color w:val="000000" w:themeColor="text1"/>
        </w:rPr>
      </w:pPr>
      <w:r>
        <w:t>Honoré Fernandez.</w:t>
      </w:r>
    </w:p>
    <w:p w:rsidR="00CD1FEF" w:rsidRPr="00B23806" w:rsidRDefault="00CD1FEF" w:rsidP="001D1021">
      <w:pPr>
        <w:tabs>
          <w:tab w:val="left" w:pos="1134"/>
        </w:tabs>
        <w:jc w:val="both"/>
        <w:rPr>
          <w:rFonts w:ascii="Calibri" w:hAnsi="Calibri"/>
          <w:color w:val="000000" w:themeColor="text1"/>
        </w:rPr>
      </w:pPr>
    </w:p>
    <w:p w:rsidR="001D1021" w:rsidRPr="00B23806" w:rsidRDefault="001D1021" w:rsidP="001D1021">
      <w:pPr>
        <w:tabs>
          <w:tab w:val="left" w:pos="1134"/>
        </w:tabs>
        <w:jc w:val="both"/>
        <w:rPr>
          <w:rFonts w:asciiTheme="minorHAnsi" w:hAnsiTheme="minorHAnsi"/>
          <w:b/>
          <w:color w:val="000000" w:themeColor="text1"/>
        </w:rPr>
      </w:pPr>
    </w:p>
    <w:p w:rsidR="00B81C17" w:rsidRPr="00B23806" w:rsidRDefault="002E42D4" w:rsidP="00B16556">
      <w:pPr>
        <w:numPr>
          <w:ilvl w:val="0"/>
          <w:numId w:val="3"/>
        </w:numPr>
        <w:tabs>
          <w:tab w:val="left" w:pos="1134"/>
        </w:tabs>
        <w:jc w:val="both"/>
        <w:rPr>
          <w:rFonts w:asciiTheme="minorHAnsi" w:hAnsiTheme="minorHAnsi"/>
          <w:b/>
          <w:color w:val="000000" w:themeColor="text1"/>
        </w:rPr>
      </w:pPr>
      <w:r>
        <w:t>Gilles Denis d’immatriculation d’une société Offshore</w:t>
      </w:r>
    </w:p>
    <w:p w:rsidR="002E42D4" w:rsidRPr="00B23806" w:rsidRDefault="002E42D4" w:rsidP="002E42D4">
      <w:pPr>
        <w:tabs>
          <w:tab w:val="left" w:pos="1134"/>
        </w:tabs>
        <w:jc w:val="both"/>
        <w:rPr>
          <w:rFonts w:asciiTheme="minorHAnsi" w:hAnsiTheme="minorHAnsi"/>
          <w:b/>
          <w:color w:val="000000" w:themeColor="text1"/>
        </w:rPr>
      </w:pPr>
    </w:p>
    <w:p w:rsidR="002E42D4" w:rsidRPr="00B23806" w:rsidRDefault="002E42D4" w:rsidP="00B16556">
      <w:pPr>
        <w:numPr>
          <w:ilvl w:val="0"/>
          <w:numId w:val="4"/>
        </w:numPr>
        <w:tabs>
          <w:tab w:val="left" w:pos="1134"/>
        </w:tabs>
        <w:jc w:val="both"/>
        <w:rPr>
          <w:rFonts w:ascii="Calibri" w:hAnsi="Calibri"/>
          <w:color w:val="000000" w:themeColor="text1"/>
        </w:rPr>
      </w:pPr>
      <w:r>
        <w:t>Impôt sur les sociétés</w:t>
      </w:r>
    </w:p>
    <w:p w:rsidR="002E42D4" w:rsidRPr="00B23806" w:rsidRDefault="002E42D4" w:rsidP="002E42D4">
      <w:pPr>
        <w:tabs>
          <w:tab w:val="left" w:pos="1134"/>
        </w:tabs>
        <w:jc w:val="both"/>
        <w:rPr>
          <w:rFonts w:ascii="Calibri" w:hAnsi="Calibri"/>
          <w:color w:val="000000" w:themeColor="text1"/>
        </w:rPr>
      </w:pPr>
    </w:p>
    <w:p w:rsidR="005C7218" w:rsidRPr="00B23806" w:rsidRDefault="005C7218" w:rsidP="005C7218">
      <w:pPr>
        <w:tabs>
          <w:tab w:val="left" w:pos="1134"/>
        </w:tabs>
        <w:jc w:val="both"/>
        <w:rPr>
          <w:rFonts w:ascii="Calibri" w:hAnsi="Calibri"/>
          <w:color w:val="000000" w:themeColor="text1"/>
        </w:rPr>
      </w:pPr>
      <w:r>
        <w:t>Benoît-Guillaume Baudry arabes unis sont une fédération de sept émirats : 92, rue Marcel Gros, 54410 Brun-sur-Fouquet, 881, chemin Lucas, 67124 Bourgeoisboeuf, 57, chemin Virginie Barbe, 56332 Piresdan, 27, chemin de Bouvier, 15603 Saint Éléonoreboeuf, Umm Emmanuel Barbier de la Boutin, Olivie Roche.</w:t>
      </w:r>
    </w:p>
    <w:p w:rsidR="005C7218" w:rsidRPr="00B23806" w:rsidRDefault="005C7218" w:rsidP="005C7218">
      <w:pPr>
        <w:tabs>
          <w:tab w:val="left" w:pos="1134"/>
        </w:tabs>
        <w:jc w:val="both"/>
        <w:rPr>
          <w:rFonts w:ascii="Calibri" w:hAnsi="Calibri"/>
          <w:color w:val="000000" w:themeColor="text1"/>
        </w:rPr>
      </w:pPr>
    </w:p>
    <w:p w:rsidR="00FB2FBD" w:rsidRPr="00B23806" w:rsidRDefault="00FB2FBD" w:rsidP="005C7218">
      <w:pPr>
        <w:tabs>
          <w:tab w:val="left" w:pos="1134"/>
        </w:tabs>
        <w:jc w:val="both"/>
        <w:rPr>
          <w:rFonts w:ascii="Calibri" w:hAnsi="Calibri"/>
          <w:color w:val="000000" w:themeColor="text1"/>
        </w:rPr>
      </w:pPr>
    </w:p>
    <w:p w:rsidR="00FB2FBD" w:rsidRPr="00B23806" w:rsidRDefault="00FB2FBD" w:rsidP="005C7218">
      <w:pPr>
        <w:tabs>
          <w:tab w:val="left" w:pos="1134"/>
        </w:tabs>
        <w:jc w:val="both"/>
        <w:rPr>
          <w:rFonts w:ascii="Calibri" w:hAnsi="Calibri"/>
          <w:color w:val="000000" w:themeColor="text1"/>
        </w:rPr>
      </w:pPr>
    </w:p>
    <w:p w:rsidR="00FB2FBD" w:rsidRPr="00B23806" w:rsidRDefault="00FB2FBD" w:rsidP="005C7218">
      <w:pPr>
        <w:tabs>
          <w:tab w:val="left" w:pos="1134"/>
        </w:tabs>
        <w:jc w:val="both"/>
        <w:rPr>
          <w:rFonts w:ascii="Calibri" w:hAnsi="Calibri"/>
          <w:color w:val="000000" w:themeColor="text1"/>
        </w:rPr>
      </w:pPr>
    </w:p>
    <w:p w:rsidR="005C7218" w:rsidRPr="008E7D41" w:rsidRDefault="005C7218" w:rsidP="005C7218">
      <w:pPr>
        <w:tabs>
          <w:tab w:val="left" w:pos="1134"/>
        </w:tabs>
        <w:jc w:val="both"/>
        <w:rPr>
          <w:rFonts w:ascii="Calibri" w:hAnsi="Calibri"/>
          <w:color w:val="000000" w:themeColor="text1"/>
        </w:rPr>
      </w:pPr>
      <w:r>
        <w:t>Actuellement, les Émirats arabes unis en tant qu’entité n’a pas adopté de régime fédéral d’imposition sur les revenus des sociétés commerciales, toutefois, la plupart des émirats ont adopté des décrets permettant une telle imposition.</w:t>
      </w:r>
    </w:p>
    <w:p w:rsidR="005C7218" w:rsidRPr="008E7D41" w:rsidRDefault="005C7218" w:rsidP="005C7218">
      <w:pPr>
        <w:tabs>
          <w:tab w:val="left" w:pos="1134"/>
        </w:tabs>
        <w:jc w:val="both"/>
        <w:rPr>
          <w:rFonts w:ascii="Calibri" w:hAnsi="Calibri"/>
          <w:color w:val="000000" w:themeColor="text1"/>
        </w:rPr>
      </w:pPr>
    </w:p>
    <w:p w:rsidR="00FB2FBD" w:rsidRPr="008E7D41" w:rsidRDefault="005C7218" w:rsidP="005C7218">
      <w:pPr>
        <w:tabs>
          <w:tab w:val="left" w:pos="1134"/>
        </w:tabs>
        <w:jc w:val="both"/>
        <w:rPr>
          <w:rFonts w:ascii="Calibri" w:hAnsi="Calibri"/>
          <w:color w:val="000000" w:themeColor="text1"/>
        </w:rPr>
      </w:pPr>
      <w:r>
        <w:t xml:space="preserve">En vertu de ces décrets les revenus des sociétés commerciales peuvent se voir frappés d’une imposition pouvant aller jusqu'à 55%. </w:t>
      </w:r>
    </w:p>
    <w:p w:rsidR="00FB2FBD" w:rsidRPr="008E7D41" w:rsidRDefault="00FB2FBD" w:rsidP="005C7218">
      <w:pPr>
        <w:tabs>
          <w:tab w:val="left" w:pos="1134"/>
        </w:tabs>
        <w:jc w:val="both"/>
        <w:rPr>
          <w:rFonts w:ascii="Calibri" w:hAnsi="Calibri"/>
          <w:color w:val="000000" w:themeColor="text1"/>
        </w:rPr>
      </w:pPr>
    </w:p>
    <w:p w:rsidR="005C7218" w:rsidRPr="008E7D41" w:rsidRDefault="00FB2FBD" w:rsidP="005C7218">
      <w:pPr>
        <w:tabs>
          <w:tab w:val="left" w:pos="1134"/>
        </w:tabs>
        <w:jc w:val="both"/>
        <w:rPr>
          <w:rFonts w:ascii="Calibri" w:hAnsi="Calibri"/>
          <w:color w:val="000000" w:themeColor="text1"/>
        </w:rPr>
      </w:pPr>
      <w:r>
        <w:t>Dans la pratique, l’imposition des revenus des sociétés commerciales n’est actuellement appliquée qu’aux sociétés ayant pour activité la production de pétrole et de gaz ou l’extraction d’autres ressources naturelles.</w:t>
      </w:r>
    </w:p>
    <w:p w:rsidR="005C7218" w:rsidRPr="00B23806" w:rsidRDefault="005C7218" w:rsidP="005C7218">
      <w:pPr>
        <w:tabs>
          <w:tab w:val="left" w:pos="1134"/>
        </w:tabs>
        <w:jc w:val="both"/>
        <w:rPr>
          <w:rFonts w:ascii="Calibri" w:hAnsi="Calibri"/>
          <w:color w:val="000000" w:themeColor="text1"/>
        </w:rPr>
      </w:pPr>
    </w:p>
    <w:p w:rsidR="002E42D4" w:rsidRPr="00B23806" w:rsidRDefault="00FB2FBD" w:rsidP="005C7218">
      <w:pPr>
        <w:tabs>
          <w:tab w:val="left" w:pos="1134"/>
        </w:tabs>
        <w:jc w:val="both"/>
        <w:rPr>
          <w:rFonts w:ascii="Calibri" w:hAnsi="Calibri"/>
          <w:color w:val="000000" w:themeColor="text1"/>
        </w:rPr>
      </w:pPr>
      <w:r>
        <w:t>De façon globale, Gabriel du Leblanc sont soumises à aucune imposition sur le chiffre d’affaire.</w:t>
      </w:r>
    </w:p>
    <w:p w:rsidR="005C7218" w:rsidRPr="00B23806" w:rsidRDefault="005C7218" w:rsidP="005C7218">
      <w:pPr>
        <w:tabs>
          <w:tab w:val="left" w:pos="1134"/>
        </w:tabs>
        <w:jc w:val="both"/>
        <w:rPr>
          <w:rFonts w:ascii="Calibri" w:hAnsi="Calibri"/>
          <w:color w:val="000000" w:themeColor="text1"/>
        </w:rPr>
      </w:pPr>
    </w:p>
    <w:p w:rsidR="002E42D4" w:rsidRPr="00B23806" w:rsidRDefault="002E42D4" w:rsidP="00B16556">
      <w:pPr>
        <w:numPr>
          <w:ilvl w:val="0"/>
          <w:numId w:val="4"/>
        </w:numPr>
        <w:tabs>
          <w:tab w:val="left" w:pos="1134"/>
        </w:tabs>
        <w:jc w:val="both"/>
        <w:rPr>
          <w:rFonts w:ascii="Calibri" w:hAnsi="Calibri"/>
          <w:color w:val="000000" w:themeColor="text1"/>
        </w:rPr>
      </w:pPr>
      <w:r>
        <w:t xml:space="preserve">Retenue à la source </w:t>
      </w:r>
    </w:p>
    <w:p w:rsidR="002E42D4" w:rsidRPr="00B23806" w:rsidRDefault="002E42D4" w:rsidP="002E42D4">
      <w:pPr>
        <w:tabs>
          <w:tab w:val="left" w:pos="1134"/>
        </w:tabs>
        <w:jc w:val="both"/>
        <w:rPr>
          <w:rFonts w:ascii="Calibri" w:hAnsi="Calibri"/>
          <w:color w:val="000000" w:themeColor="text1"/>
        </w:rPr>
      </w:pPr>
    </w:p>
    <w:p w:rsidR="002E42D4" w:rsidRPr="00B23806" w:rsidRDefault="00FA2C13" w:rsidP="002E42D4">
      <w:pPr>
        <w:tabs>
          <w:tab w:val="left" w:pos="1134"/>
        </w:tabs>
        <w:jc w:val="both"/>
        <w:rPr>
          <w:rFonts w:ascii="Calibri" w:hAnsi="Calibri"/>
          <w:color w:val="000000" w:themeColor="text1"/>
        </w:rPr>
      </w:pPr>
      <w:r>
        <w:t>Benoît Mace-Carre n’impose aucune retenue à la source sur l’ensemble des revenus passifs distribués ou payés par une société résidente.</w:t>
      </w:r>
    </w:p>
    <w:p w:rsidR="002E42D4" w:rsidRPr="00114040" w:rsidRDefault="002E42D4" w:rsidP="002E42D4">
      <w:pPr>
        <w:tabs>
          <w:tab w:val="left" w:pos="1134"/>
        </w:tabs>
        <w:jc w:val="both"/>
        <w:rPr>
          <w:rFonts w:ascii="Calibri" w:hAnsi="Calibri"/>
          <w:b/>
          <w:bCs/>
          <w:color w:val="FF0000"/>
        </w:rPr>
      </w:pPr>
    </w:p>
    <w:p w:rsidR="002E42D4" w:rsidRPr="00B23806" w:rsidRDefault="002E42D4" w:rsidP="002E42D4">
      <w:pPr>
        <w:tabs>
          <w:tab w:val="left" w:pos="1134"/>
        </w:tabs>
        <w:jc w:val="both"/>
        <w:rPr>
          <w:rFonts w:ascii="Calibri" w:hAnsi="Calibri"/>
          <w:color w:val="000000" w:themeColor="text1"/>
        </w:rPr>
      </w:pPr>
    </w:p>
    <w:p w:rsidR="002E42D4" w:rsidRPr="00B23806" w:rsidRDefault="002E42D4" w:rsidP="00B16556">
      <w:pPr>
        <w:numPr>
          <w:ilvl w:val="0"/>
          <w:numId w:val="4"/>
        </w:numPr>
        <w:tabs>
          <w:tab w:val="left" w:pos="1134"/>
        </w:tabs>
        <w:jc w:val="both"/>
        <w:rPr>
          <w:rFonts w:ascii="Calibri" w:hAnsi="Calibri"/>
          <w:color w:val="000000" w:themeColor="text1"/>
        </w:rPr>
      </w:pPr>
      <w:r>
        <w:t>Plus-value sur cession</w:t>
      </w:r>
    </w:p>
    <w:p w:rsidR="002E42D4" w:rsidRPr="00B23806" w:rsidRDefault="002E42D4" w:rsidP="002E42D4">
      <w:pPr>
        <w:tabs>
          <w:tab w:val="left" w:pos="1134"/>
        </w:tabs>
        <w:jc w:val="both"/>
        <w:rPr>
          <w:rFonts w:ascii="Calibri" w:hAnsi="Calibri"/>
          <w:color w:val="000000" w:themeColor="text1"/>
        </w:rPr>
      </w:pPr>
    </w:p>
    <w:p w:rsidR="002E42D4" w:rsidRPr="008E7D41" w:rsidRDefault="002E42D4" w:rsidP="002E42D4">
      <w:pPr>
        <w:tabs>
          <w:tab w:val="left" w:pos="1134"/>
        </w:tabs>
        <w:jc w:val="both"/>
        <w:rPr>
          <w:rFonts w:ascii="Calibri" w:hAnsi="Calibri"/>
          <w:color w:val="000000" w:themeColor="text1"/>
        </w:rPr>
      </w:pPr>
      <w:r>
        <w:t>Les plus-values réalisées sur des actions, des créances ou d’autres titres d’une société immatriculée sur le territoire des [NRP_DB16] par des personnes qui ne sont pas résidentes, sont intégralement exonérées.</w:t>
      </w:r>
    </w:p>
    <w:p w:rsidR="002E42D4" w:rsidRPr="00B23806" w:rsidRDefault="002E42D4" w:rsidP="002E42D4">
      <w:pPr>
        <w:tabs>
          <w:tab w:val="left" w:pos="1134"/>
        </w:tabs>
        <w:jc w:val="both"/>
        <w:rPr>
          <w:rFonts w:ascii="Calibri" w:hAnsi="Calibri"/>
          <w:color w:val="000000" w:themeColor="text1"/>
        </w:rPr>
      </w:pPr>
    </w:p>
    <w:p w:rsidR="002E42D4" w:rsidRPr="00B23806" w:rsidRDefault="002E42D4" w:rsidP="00B16556">
      <w:pPr>
        <w:numPr>
          <w:ilvl w:val="0"/>
          <w:numId w:val="4"/>
        </w:numPr>
        <w:tabs>
          <w:tab w:val="left" w:pos="1134"/>
        </w:tabs>
        <w:jc w:val="both"/>
        <w:rPr>
          <w:rFonts w:ascii="Calibri" w:hAnsi="Calibri"/>
          <w:color w:val="000000" w:themeColor="text1"/>
        </w:rPr>
      </w:pPr>
      <w:r>
        <w:t>TVA</w:t>
      </w:r>
    </w:p>
    <w:p w:rsidR="002E42D4" w:rsidRPr="00B23806" w:rsidRDefault="002E42D4" w:rsidP="002E42D4">
      <w:pPr>
        <w:tabs>
          <w:tab w:val="left" w:pos="1134"/>
        </w:tabs>
        <w:jc w:val="both"/>
        <w:rPr>
          <w:rFonts w:ascii="Calibri" w:hAnsi="Calibri"/>
          <w:b/>
          <w:color w:val="000000" w:themeColor="text1"/>
        </w:rPr>
      </w:pPr>
    </w:p>
    <w:p w:rsidR="00EF5607" w:rsidRPr="00B23806" w:rsidRDefault="00EF5607" w:rsidP="00EF5607">
      <w:pPr>
        <w:tabs>
          <w:tab w:val="left" w:pos="1134"/>
        </w:tabs>
        <w:jc w:val="both"/>
        <w:rPr>
          <w:rFonts w:ascii="Calibri" w:hAnsi="Calibri"/>
          <w:color w:val="000000" w:themeColor="text1"/>
        </w:rPr>
      </w:pPr>
      <w:r>
        <w:t>Victor Riou-Gauthier Émirats arabes unis à compter du 1er janvier 2018.</w:t>
      </w:r>
    </w:p>
    <w:p w:rsidR="00EF5607" w:rsidRPr="00B23806" w:rsidRDefault="00EF5607" w:rsidP="00EF5607">
      <w:pPr>
        <w:tabs>
          <w:tab w:val="left" w:pos="1134"/>
        </w:tabs>
        <w:jc w:val="both"/>
        <w:rPr>
          <w:rFonts w:ascii="Calibri" w:hAnsi="Calibri"/>
          <w:color w:val="000000" w:themeColor="text1"/>
        </w:rPr>
      </w:pPr>
    </w:p>
    <w:p w:rsidR="00EF5607" w:rsidRPr="00B23806" w:rsidRDefault="00EF5607" w:rsidP="00EF5607">
      <w:pPr>
        <w:tabs>
          <w:tab w:val="left" w:pos="1134"/>
        </w:tabs>
        <w:jc w:val="both"/>
        <w:rPr>
          <w:rFonts w:ascii="Calibri" w:hAnsi="Calibri"/>
          <w:color w:val="000000" w:themeColor="text1"/>
        </w:rPr>
      </w:pPr>
      <w:r>
        <w:t>Le taux de TVA général applicable est de 5% et s'applique à la plupart des biens et services, toutefois certains biens et services sont soumis à un taux de 0% ou à une exonération de la TVA. L’exonération est applicable à certains secteurs particuliers (Adrien Ferrand, de transport terrestre de passager).</w:t>
      </w:r>
    </w:p>
    <w:p w:rsidR="00EF5607" w:rsidRPr="00B23806" w:rsidRDefault="00EF5607" w:rsidP="00EF5607">
      <w:pPr>
        <w:tabs>
          <w:tab w:val="left" w:pos="1134"/>
        </w:tabs>
        <w:jc w:val="both"/>
        <w:rPr>
          <w:rFonts w:ascii="Calibri" w:hAnsi="Calibri"/>
          <w:color w:val="000000" w:themeColor="text1"/>
        </w:rPr>
      </w:pPr>
    </w:p>
    <w:p w:rsidR="00373147" w:rsidRPr="00B23806" w:rsidRDefault="00EF5607" w:rsidP="00EF5607">
      <w:pPr>
        <w:tabs>
          <w:tab w:val="left" w:pos="1134"/>
        </w:tabs>
        <w:jc w:val="both"/>
        <w:rPr>
          <w:rFonts w:ascii="Calibri" w:hAnsi="Calibri"/>
          <w:color w:val="000000" w:themeColor="text1"/>
        </w:rPr>
      </w:pPr>
      <w:r>
        <w:t xml:space="preserve">Pour les entreprises résidant aux EAU, le seuil d'enregistrement obligatoire de la TVA est de 375 000 dirhams des Émirats arabes unis (AED) et le seuil d'enregistrement volontaire est de 187 500 AED. </w:t>
      </w:r>
    </w:p>
    <w:p w:rsidR="00373147" w:rsidRPr="00B23806" w:rsidRDefault="00373147" w:rsidP="00EF5607">
      <w:pPr>
        <w:tabs>
          <w:tab w:val="left" w:pos="1134"/>
        </w:tabs>
        <w:jc w:val="both"/>
        <w:rPr>
          <w:rFonts w:ascii="Calibri" w:hAnsi="Calibri"/>
          <w:color w:val="000000" w:themeColor="text1"/>
        </w:rPr>
      </w:pPr>
    </w:p>
    <w:p w:rsidR="002E42D4" w:rsidRPr="00B23806" w:rsidRDefault="00EF5607" w:rsidP="00EF5607">
      <w:pPr>
        <w:tabs>
          <w:tab w:val="left" w:pos="1134"/>
        </w:tabs>
        <w:jc w:val="both"/>
        <w:rPr>
          <w:rFonts w:ascii="Calibri" w:hAnsi="Calibri"/>
          <w:color w:val="000000" w:themeColor="text1"/>
        </w:rPr>
      </w:pPr>
      <w:r>
        <w:t>Aucun seuil d'enregistrement ne s'applique aux entreprises non-résidentes effectuant des fournitures pour lesquelles la TVA émirienne doit être facturée.</w:t>
      </w:r>
    </w:p>
    <w:p w:rsidR="00EF5607" w:rsidRDefault="00EF5607" w:rsidP="00EF5607">
      <w:pPr>
        <w:tabs>
          <w:tab w:val="left" w:pos="1134"/>
        </w:tabs>
        <w:jc w:val="both"/>
        <w:rPr>
          <w:rFonts w:ascii="Calibri" w:hAnsi="Calibri"/>
          <w:color w:val="000000" w:themeColor="text1"/>
        </w:rPr>
      </w:pPr>
    </w:p>
    <w:p w:rsidR="00B405E6" w:rsidRPr="00B23806" w:rsidRDefault="00B405E6" w:rsidP="00EF5607">
      <w:pPr>
        <w:tabs>
          <w:tab w:val="left" w:pos="1134"/>
        </w:tabs>
        <w:jc w:val="both"/>
        <w:rPr>
          <w:rFonts w:ascii="Calibri" w:hAnsi="Calibri"/>
          <w:color w:val="000000" w:themeColor="text1"/>
        </w:rPr>
      </w:pPr>
    </w:p>
    <w:p w:rsidR="002E42D4" w:rsidRPr="00B23806" w:rsidRDefault="002E42D4" w:rsidP="00B16556">
      <w:pPr>
        <w:numPr>
          <w:ilvl w:val="0"/>
          <w:numId w:val="4"/>
        </w:numPr>
        <w:tabs>
          <w:tab w:val="left" w:pos="1134"/>
        </w:tabs>
        <w:jc w:val="both"/>
        <w:rPr>
          <w:rFonts w:ascii="Calibri" w:hAnsi="Calibri"/>
          <w:color w:val="000000" w:themeColor="text1"/>
        </w:rPr>
      </w:pPr>
      <w:r>
        <w:t>Échange automatique d’information (CRS)</w:t>
      </w:r>
    </w:p>
    <w:p w:rsidR="002E42D4" w:rsidRPr="00B23806" w:rsidRDefault="002E42D4" w:rsidP="002E42D4">
      <w:pPr>
        <w:tabs>
          <w:tab w:val="left" w:pos="1134"/>
        </w:tabs>
        <w:jc w:val="both"/>
        <w:rPr>
          <w:rFonts w:ascii="Calibri" w:hAnsi="Calibri"/>
          <w:color w:val="000000" w:themeColor="text1"/>
        </w:rPr>
      </w:pPr>
    </w:p>
    <w:p w:rsidR="00C423DB" w:rsidRPr="00B23806" w:rsidRDefault="00C423DB" w:rsidP="002E42D4">
      <w:pPr>
        <w:tabs>
          <w:tab w:val="left" w:pos="1134"/>
        </w:tabs>
        <w:jc w:val="both"/>
        <w:rPr>
          <w:rFonts w:ascii="Calibri" w:hAnsi="Calibri"/>
          <w:color w:val="000000" w:themeColor="text1"/>
        </w:rPr>
      </w:pPr>
      <w:r>
        <w:t>Le 22 [DATE_TIME_4EED], le gouvernement des Émirats arabes unis a ratifié l'accord relatif à l'échange automatique d'informations et la Convention sur l'assistance administrative mutuelle en matière fiscale.</w:t>
      </w:r>
    </w:p>
    <w:p w:rsidR="00C423DB" w:rsidRPr="00B23806" w:rsidRDefault="00C423DB" w:rsidP="002E42D4">
      <w:pPr>
        <w:tabs>
          <w:tab w:val="left" w:pos="1134"/>
        </w:tabs>
        <w:jc w:val="both"/>
        <w:rPr>
          <w:rFonts w:ascii="Calibri" w:hAnsi="Calibri"/>
          <w:color w:val="000000" w:themeColor="text1"/>
        </w:rPr>
      </w:pPr>
    </w:p>
    <w:p w:rsidR="002E42D4" w:rsidRPr="00B23806" w:rsidRDefault="00C423DB" w:rsidP="002E42D4">
      <w:pPr>
        <w:tabs>
          <w:tab w:val="left" w:pos="1134"/>
        </w:tabs>
        <w:jc w:val="both"/>
        <w:rPr>
          <w:rFonts w:ascii="Calibri" w:hAnsi="Calibri"/>
          <w:color w:val="000000" w:themeColor="text1"/>
        </w:rPr>
      </w:pPr>
      <w:r>
        <w:t>Dés lors l’administration fiscale des Émirats arabes unis s’est engagée à Aurore Hardy possession sur les bénéficiaires effectifs des avoirs localisés dans une banque ayant son siège sur le territoire des Émirats Arabes Unis.</w:t>
      </w:r>
    </w:p>
    <w:p w:rsidR="00C423DB" w:rsidRPr="00B23806" w:rsidRDefault="00C423DB" w:rsidP="002E42D4">
      <w:pPr>
        <w:tabs>
          <w:tab w:val="left" w:pos="1134"/>
        </w:tabs>
        <w:jc w:val="both"/>
        <w:rPr>
          <w:rFonts w:asciiTheme="minorHAnsi" w:hAnsiTheme="minorHAnsi"/>
          <w:b/>
          <w:color w:val="000000" w:themeColor="text1"/>
        </w:rPr>
      </w:pPr>
    </w:p>
    <w:p w:rsidR="002E42D4" w:rsidRPr="00B23806" w:rsidRDefault="002E42D4" w:rsidP="00B16556">
      <w:pPr>
        <w:numPr>
          <w:ilvl w:val="0"/>
          <w:numId w:val="3"/>
        </w:numPr>
        <w:tabs>
          <w:tab w:val="left" w:pos="1134"/>
        </w:tabs>
        <w:jc w:val="both"/>
        <w:rPr>
          <w:rFonts w:asciiTheme="minorHAnsi" w:hAnsiTheme="minorHAnsi"/>
          <w:b/>
          <w:color w:val="000000" w:themeColor="text1"/>
        </w:rPr>
      </w:pPr>
      <w:r>
        <w:t>42, rue de Lamy, 69452 Saint Frédéric comme lieu d’immatriculation d’une société Offshore</w:t>
      </w:r>
    </w:p>
    <w:p w:rsidR="005D2C12" w:rsidRPr="00B23806" w:rsidRDefault="005D2C12" w:rsidP="005D2C12">
      <w:pPr>
        <w:tabs>
          <w:tab w:val="left" w:pos="1134"/>
        </w:tabs>
        <w:jc w:val="both"/>
        <w:rPr>
          <w:rFonts w:asciiTheme="minorHAnsi" w:hAnsiTheme="minorHAnsi"/>
          <w:b/>
          <w:color w:val="000000" w:themeColor="text1"/>
        </w:rPr>
      </w:pPr>
    </w:p>
    <w:p w:rsidR="005D2C12" w:rsidRPr="00B23806" w:rsidRDefault="005D2C12" w:rsidP="00B16556">
      <w:pPr>
        <w:numPr>
          <w:ilvl w:val="0"/>
          <w:numId w:val="4"/>
        </w:numPr>
        <w:tabs>
          <w:tab w:val="left" w:pos="1134"/>
        </w:tabs>
        <w:jc w:val="both"/>
        <w:rPr>
          <w:rFonts w:ascii="Calibri" w:hAnsi="Calibri"/>
          <w:color w:val="000000" w:themeColor="text1"/>
        </w:rPr>
      </w:pPr>
      <w:r>
        <w:t>Impôt sur les sociétés</w:t>
      </w:r>
    </w:p>
    <w:p w:rsidR="005D2C12" w:rsidRPr="00B23806" w:rsidRDefault="005D2C12" w:rsidP="005D2C12">
      <w:pPr>
        <w:tabs>
          <w:tab w:val="left" w:pos="1134"/>
        </w:tabs>
        <w:jc w:val="both"/>
        <w:rPr>
          <w:rFonts w:ascii="Calibri" w:hAnsi="Calibri"/>
          <w:color w:val="000000" w:themeColor="text1"/>
        </w:rPr>
      </w:pPr>
    </w:p>
    <w:p w:rsidR="00F01A1C" w:rsidRPr="00B23806" w:rsidRDefault="00F01A1C" w:rsidP="00631CE8">
      <w:pPr>
        <w:tabs>
          <w:tab w:val="left" w:pos="1134"/>
        </w:tabs>
        <w:jc w:val="both"/>
        <w:rPr>
          <w:rFonts w:ascii="Calibri" w:hAnsi="Calibri"/>
          <w:color w:val="000000" w:themeColor="text1"/>
        </w:rPr>
      </w:pPr>
      <w:r>
        <w:t>En matière d’imposition 68, rue de Courtois, 50111 Leconte-sur-Mer a opté pour une imposition dite territoriale, c’est à dire que l’impôt sur les bénéfices est payable par toute personne (société, une société commerciale, société de personnes et une entreprise unipersonnelle) exerçant une activité économique sur le territoire de Hong Kong. Ainsi, l’impôt sur les bénéfices commerciaux est dû sur l’intégralité des bénéfices provenant ou dérivés de 11, chemin Thibault Gilles, 10145 Sainte Thibault.</w:t>
      </w:r>
    </w:p>
    <w:p w:rsidR="00F01A1C" w:rsidRPr="00B23806" w:rsidRDefault="00F01A1C" w:rsidP="005D2C12">
      <w:pPr>
        <w:tabs>
          <w:tab w:val="left" w:pos="1134"/>
        </w:tabs>
        <w:jc w:val="both"/>
        <w:rPr>
          <w:rFonts w:ascii="Calibri" w:hAnsi="Calibri"/>
          <w:color w:val="000000" w:themeColor="text1"/>
        </w:rPr>
      </w:pPr>
    </w:p>
    <w:p w:rsidR="00A6114C" w:rsidRPr="00B23806" w:rsidRDefault="00F01A1C" w:rsidP="005D2C12">
      <w:pPr>
        <w:tabs>
          <w:tab w:val="left" w:pos="1134"/>
        </w:tabs>
        <w:jc w:val="both"/>
        <w:rPr>
          <w:rFonts w:ascii="Calibri" w:hAnsi="Calibri"/>
          <w:color w:val="000000" w:themeColor="text1"/>
        </w:rPr>
      </w:pPr>
      <w:r>
        <w:t>Le taux d’imposition sur le bénéfice s’établit comme suit :</w:t>
      </w:r>
    </w:p>
    <w:p w:rsidR="00F01A1C" w:rsidRPr="00B23806" w:rsidRDefault="00F01A1C" w:rsidP="005D2C12">
      <w:pPr>
        <w:tabs>
          <w:tab w:val="left" w:pos="1134"/>
        </w:tabs>
        <w:jc w:val="both"/>
        <w:rPr>
          <w:rFonts w:ascii="Calibri" w:hAnsi="Calibri"/>
          <w:color w:val="000000" w:themeColor="text1"/>
        </w:rPr>
      </w:pPr>
    </w:p>
    <w:p w:rsidR="00F01A1C" w:rsidRPr="00B23806" w:rsidRDefault="00F01A1C" w:rsidP="00B16556">
      <w:pPr>
        <w:numPr>
          <w:ilvl w:val="0"/>
          <w:numId w:val="5"/>
        </w:numPr>
        <w:tabs>
          <w:tab w:val="left" w:pos="1134"/>
        </w:tabs>
        <w:jc w:val="both"/>
        <w:rPr>
          <w:rFonts w:ascii="Calibri" w:hAnsi="Calibri"/>
          <w:color w:val="000000" w:themeColor="text1"/>
        </w:rPr>
      </w:pPr>
      <w:r>
        <w:t>Taux d’imposition de 8,25 % sur les premiers HKD 2 millions ;</w:t>
      </w:r>
    </w:p>
    <w:p w:rsidR="00631CE8" w:rsidRPr="00B23806" w:rsidRDefault="00631CE8" w:rsidP="00631CE8">
      <w:pPr>
        <w:tabs>
          <w:tab w:val="left" w:pos="1134"/>
        </w:tabs>
        <w:ind w:left="720"/>
        <w:jc w:val="both"/>
        <w:rPr>
          <w:rFonts w:ascii="Calibri" w:hAnsi="Calibri"/>
          <w:color w:val="000000" w:themeColor="text1"/>
        </w:rPr>
      </w:pPr>
    </w:p>
    <w:p w:rsidR="00631CE8" w:rsidRPr="00B23806" w:rsidRDefault="00631CE8" w:rsidP="00B16556">
      <w:pPr>
        <w:numPr>
          <w:ilvl w:val="0"/>
          <w:numId w:val="5"/>
        </w:numPr>
        <w:tabs>
          <w:tab w:val="left" w:pos="1134"/>
        </w:tabs>
        <w:jc w:val="both"/>
        <w:rPr>
          <w:rFonts w:ascii="Calibri" w:hAnsi="Calibri"/>
          <w:color w:val="000000" w:themeColor="text1"/>
        </w:rPr>
      </w:pPr>
      <w:r>
        <w:t>16,5% sur les bénéfices au-delà des premiers HKD 2 millions.</w:t>
      </w:r>
    </w:p>
    <w:p w:rsidR="00631CE8" w:rsidRPr="00B23806" w:rsidRDefault="00631CE8" w:rsidP="00631CE8">
      <w:pPr>
        <w:pStyle w:val="Paragraphedeliste"/>
        <w:rPr>
          <w:rFonts w:ascii="Calibri" w:hAnsi="Calibri"/>
          <w:color w:val="000000" w:themeColor="text1"/>
        </w:rPr>
      </w:pPr>
    </w:p>
    <w:p w:rsidR="00631CE8" w:rsidRPr="00114040" w:rsidRDefault="00631CE8" w:rsidP="00631CE8">
      <w:pPr>
        <w:tabs>
          <w:tab w:val="left" w:pos="1134"/>
        </w:tabs>
        <w:jc w:val="both"/>
        <w:rPr>
          <w:rFonts w:ascii="Calibri" w:hAnsi="Calibri"/>
          <w:b/>
          <w:bCs/>
          <w:color w:val="FF0000"/>
        </w:rPr>
      </w:pPr>
      <w:r>
        <w:t>Toutefois, les revenus provenant d’activité non imputable à une activité commerciale exercée sur le territoire de Hong Kong, ne sont Andrée-Adélaïde Martin à imposition.</w:t>
      </w:r>
    </w:p>
    <w:p w:rsidR="00F01A1C" w:rsidRPr="00B23806" w:rsidRDefault="00F01A1C" w:rsidP="005D2C12">
      <w:pPr>
        <w:tabs>
          <w:tab w:val="left" w:pos="1134"/>
        </w:tabs>
        <w:jc w:val="both"/>
        <w:rPr>
          <w:rFonts w:ascii="Calibri" w:hAnsi="Calibri"/>
          <w:color w:val="000000" w:themeColor="text1"/>
        </w:rPr>
      </w:pPr>
    </w:p>
    <w:p w:rsidR="005D2C12" w:rsidRPr="00B23806" w:rsidRDefault="005D2C12" w:rsidP="00B16556">
      <w:pPr>
        <w:numPr>
          <w:ilvl w:val="0"/>
          <w:numId w:val="4"/>
        </w:numPr>
        <w:tabs>
          <w:tab w:val="left" w:pos="1134"/>
        </w:tabs>
        <w:jc w:val="both"/>
        <w:rPr>
          <w:rFonts w:ascii="Calibri" w:hAnsi="Calibri"/>
          <w:color w:val="000000" w:themeColor="text1"/>
        </w:rPr>
      </w:pPr>
      <w:r>
        <w:t xml:space="preserve">Retenue à la source </w:t>
      </w:r>
    </w:p>
    <w:p w:rsidR="005D2C12" w:rsidRPr="00B23806" w:rsidRDefault="005D2C12" w:rsidP="005D2C12">
      <w:pPr>
        <w:tabs>
          <w:tab w:val="left" w:pos="1134"/>
        </w:tabs>
        <w:jc w:val="both"/>
        <w:rPr>
          <w:rFonts w:ascii="Calibri" w:hAnsi="Calibri"/>
          <w:color w:val="000000" w:themeColor="text1"/>
        </w:rPr>
      </w:pPr>
    </w:p>
    <w:p w:rsidR="0016024A" w:rsidRPr="00B23806" w:rsidRDefault="0016024A" w:rsidP="0016024A">
      <w:pPr>
        <w:tabs>
          <w:tab w:val="left" w:pos="1134"/>
        </w:tabs>
        <w:jc w:val="both"/>
        <w:rPr>
          <w:rFonts w:ascii="Calibri" w:hAnsi="Calibri"/>
          <w:color w:val="000000" w:themeColor="text1"/>
        </w:rPr>
      </w:pPr>
      <w:r>
        <w:t>Les revenus passifs (Grégoire Da Costa et intérêts) distribués ou payés par une société résidente de Hong Kong ne sont soumis à aucune retenue à la source.</w:t>
      </w:r>
    </w:p>
    <w:p w:rsidR="0016024A" w:rsidRPr="00B23806" w:rsidRDefault="0016024A" w:rsidP="0016024A">
      <w:pPr>
        <w:tabs>
          <w:tab w:val="left" w:pos="1134"/>
        </w:tabs>
        <w:jc w:val="both"/>
        <w:rPr>
          <w:rFonts w:ascii="Calibri" w:hAnsi="Calibri"/>
          <w:color w:val="000000" w:themeColor="text1"/>
        </w:rPr>
      </w:pPr>
    </w:p>
    <w:p w:rsidR="0016024A" w:rsidRPr="00B23806" w:rsidRDefault="00FD0798" w:rsidP="0016024A">
      <w:pPr>
        <w:tabs>
          <w:tab w:val="left" w:pos="1134"/>
        </w:tabs>
        <w:jc w:val="both"/>
        <w:rPr>
          <w:rFonts w:ascii="Calibri" w:hAnsi="Calibri"/>
          <w:color w:val="000000" w:themeColor="text1"/>
        </w:rPr>
      </w:pPr>
      <w:r>
        <w:t>Les redevances(royalties) payées par une société résidente de 162, avenue Laroche, 20737 LamyVille sont soumises à une retenue à la source au taux de 2,475 % lorsque le montant des redevances versées est au maximum de HKD 2 millions, et jusqu’à 4,95 % pour les redevances versées au-delà.</w:t>
      </w:r>
    </w:p>
    <w:p w:rsidR="0016024A" w:rsidRPr="00B23806" w:rsidRDefault="0016024A" w:rsidP="0016024A">
      <w:pPr>
        <w:tabs>
          <w:tab w:val="left" w:pos="1134"/>
        </w:tabs>
        <w:jc w:val="both"/>
        <w:rPr>
          <w:rFonts w:ascii="Calibri" w:hAnsi="Calibri"/>
          <w:color w:val="000000" w:themeColor="text1"/>
        </w:rPr>
      </w:pPr>
    </w:p>
    <w:p w:rsidR="0016024A" w:rsidRPr="00114040" w:rsidRDefault="00FD0798" w:rsidP="0016024A">
      <w:pPr>
        <w:tabs>
          <w:tab w:val="left" w:pos="1134"/>
        </w:tabs>
        <w:jc w:val="both"/>
        <w:rPr>
          <w:rFonts w:ascii="Calibri" w:hAnsi="Calibri"/>
          <w:b/>
          <w:bCs/>
          <w:color w:val="FF0000"/>
        </w:rPr>
      </w:pPr>
      <w:r>
        <w:t>Toutefois, la convention fiscale conclue entre le territoire de Hong Kong et le Royaume-Uni prévoit que le taux de la retenue à la source sur les redevances versées au-delà des HKD 2 millions est de 3%.</w:t>
      </w:r>
    </w:p>
    <w:p w:rsidR="005D2C12" w:rsidRDefault="005D2C12" w:rsidP="005D2C12">
      <w:pPr>
        <w:tabs>
          <w:tab w:val="left" w:pos="1134"/>
        </w:tabs>
        <w:jc w:val="both"/>
        <w:rPr>
          <w:rFonts w:ascii="Calibri" w:hAnsi="Calibri"/>
          <w:color w:val="000000" w:themeColor="text1"/>
        </w:rPr>
      </w:pPr>
    </w:p>
    <w:p w:rsidR="009F5D9A" w:rsidRDefault="009F5D9A" w:rsidP="005D2C12">
      <w:pPr>
        <w:tabs>
          <w:tab w:val="left" w:pos="1134"/>
        </w:tabs>
        <w:jc w:val="both"/>
        <w:rPr>
          <w:rFonts w:ascii="Calibri" w:hAnsi="Calibri"/>
          <w:color w:val="000000" w:themeColor="text1"/>
        </w:rPr>
      </w:pPr>
    </w:p>
    <w:p w:rsidR="009F5D9A" w:rsidRPr="00B23806" w:rsidRDefault="009F5D9A" w:rsidP="005D2C12">
      <w:pPr>
        <w:tabs>
          <w:tab w:val="left" w:pos="1134"/>
        </w:tabs>
        <w:jc w:val="both"/>
        <w:rPr>
          <w:rFonts w:ascii="Calibri" w:hAnsi="Calibri"/>
          <w:color w:val="000000" w:themeColor="text1"/>
        </w:rPr>
      </w:pPr>
    </w:p>
    <w:p w:rsidR="005D2C12" w:rsidRPr="00B23806" w:rsidRDefault="005D2C12" w:rsidP="00B16556">
      <w:pPr>
        <w:numPr>
          <w:ilvl w:val="0"/>
          <w:numId w:val="4"/>
        </w:numPr>
        <w:tabs>
          <w:tab w:val="left" w:pos="1134"/>
        </w:tabs>
        <w:jc w:val="both"/>
        <w:rPr>
          <w:rFonts w:ascii="Calibri" w:hAnsi="Calibri"/>
          <w:color w:val="000000" w:themeColor="text1"/>
        </w:rPr>
      </w:pPr>
      <w:r>
        <w:t>Plus-value sur cession</w:t>
      </w:r>
    </w:p>
    <w:p w:rsidR="005D2C12" w:rsidRPr="00B23806" w:rsidRDefault="005D2C12" w:rsidP="005D2C12">
      <w:pPr>
        <w:tabs>
          <w:tab w:val="left" w:pos="1134"/>
        </w:tabs>
        <w:jc w:val="both"/>
        <w:rPr>
          <w:rFonts w:ascii="Calibri" w:hAnsi="Calibri"/>
          <w:color w:val="000000" w:themeColor="text1"/>
        </w:rPr>
      </w:pPr>
    </w:p>
    <w:p w:rsidR="005D2C12" w:rsidRPr="008E7D41" w:rsidRDefault="005D2C12" w:rsidP="005D2C12">
      <w:pPr>
        <w:tabs>
          <w:tab w:val="left" w:pos="1134"/>
        </w:tabs>
        <w:jc w:val="both"/>
        <w:rPr>
          <w:rFonts w:ascii="Calibri" w:hAnsi="Calibri"/>
          <w:color w:val="000000" w:themeColor="text1"/>
        </w:rPr>
      </w:pPr>
      <w:r>
        <w:t>Les plus-values réalisées sur des actions, des créances ou d’autres titres d’une société immatriculée sur le territoire de Hong Kong, sont intégralement exonérées.</w:t>
      </w:r>
    </w:p>
    <w:p w:rsidR="005D2C12" w:rsidRPr="008E7D41" w:rsidRDefault="005D2C12" w:rsidP="005D2C12">
      <w:pPr>
        <w:tabs>
          <w:tab w:val="left" w:pos="1134"/>
        </w:tabs>
        <w:jc w:val="both"/>
        <w:rPr>
          <w:rFonts w:ascii="Calibri" w:hAnsi="Calibri"/>
          <w:color w:val="000000" w:themeColor="text1"/>
        </w:rPr>
      </w:pPr>
    </w:p>
    <w:p w:rsidR="00E90788" w:rsidRPr="00E90788" w:rsidRDefault="00EE6670" w:rsidP="00B16556">
      <w:pPr>
        <w:pStyle w:val="Paragraphedeliste"/>
        <w:numPr>
          <w:ilvl w:val="0"/>
          <w:numId w:val="4"/>
        </w:numPr>
        <w:tabs>
          <w:tab w:val="left" w:pos="0"/>
        </w:tabs>
        <w:spacing w:line="240" w:lineRule="atLeast"/>
        <w:jc w:val="both"/>
        <w:rPr>
          <w:rFonts w:ascii="Calibri" w:hAnsi="Calibri" w:cs="Arial"/>
          <w:bCs/>
          <w:color w:val="000000" w:themeColor="text1"/>
        </w:rPr>
      </w:pPr>
      <w:r>
        <w:t xml:space="preserve">Procédures bancaires pour le rapatriement des bénéfices à Hong Kong </w:t>
      </w:r>
    </w:p>
    <w:p w:rsidR="00E90788" w:rsidRPr="00E90788" w:rsidRDefault="00E90788" w:rsidP="00E90788">
      <w:pPr>
        <w:tabs>
          <w:tab w:val="left" w:pos="0"/>
        </w:tabs>
        <w:spacing w:line="240" w:lineRule="atLeast"/>
        <w:jc w:val="both"/>
        <w:rPr>
          <w:rFonts w:ascii="Calibri" w:hAnsi="Calibri" w:cs="Arial"/>
          <w:b/>
          <w:color w:val="000000" w:themeColor="text1"/>
        </w:rPr>
      </w:pPr>
      <w:r w:rsidRPr="00E90788">
        <w:rPr>
          <w:rFonts w:ascii="Calibri" w:hAnsi="Calibri" w:cs="Arial"/>
          <w:b/>
          <w:color w:val="000000" w:themeColor="text1"/>
        </w:rPr>
        <w:t xml:space="preserve"> </w:t>
      </w:r>
    </w:p>
    <w:p w:rsidR="00E90788" w:rsidRPr="00E90788" w:rsidRDefault="00E90788" w:rsidP="00E90788">
      <w:pPr>
        <w:tabs>
          <w:tab w:val="left" w:pos="0"/>
        </w:tabs>
        <w:spacing w:line="240" w:lineRule="atLeast"/>
        <w:jc w:val="both"/>
        <w:rPr>
          <w:rFonts w:ascii="Calibri" w:hAnsi="Calibri" w:cs="Arial"/>
          <w:bCs/>
          <w:color w:val="000000" w:themeColor="text1"/>
        </w:rPr>
      </w:pPr>
      <w:r>
        <w:t>Pour que les dividendes, bénéfices ou divers bonus soient remis hors de 9, boulevard Céline Ruiz, 53897 Fernandes, la société doit soumettre un certain 813, rue Jacquet, 19680 Peltier documents attestant la transaction et le fait que le rapatriement est légal. Un versement peut être effectué directement par la banque, si tous les documents sont en règle.</w:t>
      </w:r>
    </w:p>
    <w:p w:rsidR="00E90788" w:rsidRPr="00E90788" w:rsidRDefault="00E90788" w:rsidP="00E90788">
      <w:pPr>
        <w:tabs>
          <w:tab w:val="left" w:pos="0"/>
        </w:tabs>
        <w:spacing w:line="240" w:lineRule="atLeast"/>
        <w:jc w:val="both"/>
        <w:rPr>
          <w:rFonts w:ascii="Calibri" w:hAnsi="Calibri" w:cs="Arial"/>
          <w:bCs/>
          <w:color w:val="000000" w:themeColor="text1"/>
        </w:rPr>
      </w:pPr>
      <w:r w:rsidRPr="00E90788">
        <w:rPr>
          <w:rFonts w:ascii="Calibri" w:hAnsi="Calibri" w:cs="Arial"/>
          <w:bCs/>
          <w:color w:val="000000" w:themeColor="text1"/>
        </w:rPr>
        <w:t xml:space="preserve"> </w:t>
      </w:r>
    </w:p>
    <w:p w:rsidR="00E90788" w:rsidRPr="00E90788" w:rsidRDefault="00E90788" w:rsidP="00E90788">
      <w:pPr>
        <w:tabs>
          <w:tab w:val="left" w:pos="0"/>
        </w:tabs>
        <w:spacing w:line="240" w:lineRule="atLeast"/>
        <w:jc w:val="both"/>
        <w:rPr>
          <w:rFonts w:ascii="Calibri" w:hAnsi="Calibri" w:cs="Arial"/>
          <w:bCs/>
          <w:color w:val="000000" w:themeColor="text1"/>
        </w:rPr>
      </w:pPr>
      <w:r>
        <w:t>Le processus peut être résumé selon les étapes suivantes :</w:t>
      </w:r>
    </w:p>
    <w:p w:rsidR="00E90788" w:rsidRPr="00E90788" w:rsidRDefault="00E90788" w:rsidP="00E90788">
      <w:pPr>
        <w:tabs>
          <w:tab w:val="left" w:pos="0"/>
        </w:tabs>
        <w:spacing w:line="240" w:lineRule="atLeast"/>
        <w:jc w:val="both"/>
        <w:rPr>
          <w:rFonts w:ascii="Calibri" w:hAnsi="Calibri" w:cs="Arial"/>
          <w:bCs/>
          <w:color w:val="000000" w:themeColor="text1"/>
        </w:rPr>
      </w:pPr>
      <w:r w:rsidRPr="00E90788">
        <w:rPr>
          <w:rFonts w:ascii="Calibri" w:hAnsi="Calibri" w:cs="Arial"/>
          <w:bCs/>
          <w:color w:val="000000" w:themeColor="text1"/>
        </w:rPr>
        <w:t xml:space="preserve"> </w:t>
      </w:r>
    </w:p>
    <w:p w:rsidR="00E90788" w:rsidRPr="00E90788" w:rsidRDefault="00E90788" w:rsidP="00B16556">
      <w:pPr>
        <w:pStyle w:val="Paragraphedeliste"/>
        <w:numPr>
          <w:ilvl w:val="1"/>
          <w:numId w:val="42"/>
        </w:numPr>
        <w:tabs>
          <w:tab w:val="left" w:pos="0"/>
        </w:tabs>
        <w:spacing w:line="240" w:lineRule="atLeast"/>
        <w:jc w:val="both"/>
        <w:rPr>
          <w:rFonts w:ascii="Calibri" w:hAnsi="Calibri" w:cs="Arial"/>
          <w:bCs/>
          <w:color w:val="000000" w:themeColor="text1"/>
        </w:rPr>
      </w:pPr>
      <w:r>
        <w:t>Préparation des documents : le relevé de paiement d'impôt, la déclaration fiscale, la résolution des Conseils d'Administration concernant la distribution de dividendes ;</w:t>
      </w:r>
    </w:p>
    <w:p w:rsidR="00E90788" w:rsidRPr="00E90788" w:rsidRDefault="00E90788" w:rsidP="00E90788">
      <w:pPr>
        <w:pStyle w:val="Paragraphedeliste"/>
        <w:tabs>
          <w:tab w:val="left" w:pos="0"/>
        </w:tabs>
        <w:spacing w:line="240" w:lineRule="atLeast"/>
        <w:ind w:left="720"/>
        <w:jc w:val="both"/>
        <w:rPr>
          <w:rFonts w:ascii="Calibri" w:hAnsi="Calibri" w:cs="Arial"/>
          <w:bCs/>
          <w:color w:val="000000" w:themeColor="text1"/>
        </w:rPr>
      </w:pPr>
    </w:p>
    <w:p w:rsidR="00E90788" w:rsidRPr="00E90788" w:rsidRDefault="00E90788" w:rsidP="00B16556">
      <w:pPr>
        <w:pStyle w:val="Paragraphedeliste"/>
        <w:numPr>
          <w:ilvl w:val="1"/>
          <w:numId w:val="42"/>
        </w:numPr>
        <w:tabs>
          <w:tab w:val="left" w:pos="0"/>
        </w:tabs>
        <w:spacing w:line="240" w:lineRule="atLeast"/>
        <w:jc w:val="both"/>
        <w:rPr>
          <w:rFonts w:ascii="Calibri" w:hAnsi="Calibri" w:cs="Arial"/>
          <w:bCs/>
          <w:color w:val="000000" w:themeColor="text1"/>
        </w:rPr>
      </w:pPr>
      <w:r>
        <w:t>La procédure de remise : le transfert effectif des bénéfices / dividendes ; à 21, chemin Arthur Texier, 90555 Laurent, ils ne sont Paul Schmitt changes ;</w:t>
      </w:r>
    </w:p>
    <w:p w:rsidR="00E90788" w:rsidRPr="00E90788" w:rsidRDefault="00E90788" w:rsidP="00E90788">
      <w:pPr>
        <w:tabs>
          <w:tab w:val="left" w:pos="0"/>
        </w:tabs>
        <w:spacing w:line="240" w:lineRule="atLeast"/>
        <w:jc w:val="both"/>
        <w:rPr>
          <w:rFonts w:ascii="Calibri" w:hAnsi="Calibri" w:cs="Arial"/>
          <w:bCs/>
          <w:color w:val="000000" w:themeColor="text1"/>
        </w:rPr>
      </w:pPr>
    </w:p>
    <w:p w:rsidR="00E90788" w:rsidRPr="00E90788" w:rsidRDefault="00E90788" w:rsidP="00B16556">
      <w:pPr>
        <w:pStyle w:val="Paragraphedeliste"/>
        <w:numPr>
          <w:ilvl w:val="1"/>
          <w:numId w:val="42"/>
        </w:numPr>
        <w:tabs>
          <w:tab w:val="left" w:pos="0"/>
        </w:tabs>
        <w:spacing w:line="240" w:lineRule="atLeast"/>
        <w:jc w:val="both"/>
        <w:rPr>
          <w:rFonts w:ascii="Calibri" w:hAnsi="Calibri" w:cs="Arial"/>
          <w:bCs/>
          <w:color w:val="000000" w:themeColor="text1"/>
        </w:rPr>
      </w:pPr>
      <w:r>
        <w:t>Décompte final : une fois que la banque aura terminé la procédure de versement, il inclura un relevé indiquant le fait que les bénéfices, dividendes ou bonus ont été remis sur le document de transaction.</w:t>
      </w:r>
    </w:p>
    <w:p w:rsidR="00E90788" w:rsidRPr="00E90788" w:rsidRDefault="00E90788" w:rsidP="00E90788">
      <w:pPr>
        <w:tabs>
          <w:tab w:val="left" w:pos="0"/>
        </w:tabs>
        <w:spacing w:line="240" w:lineRule="atLeast"/>
        <w:jc w:val="both"/>
        <w:rPr>
          <w:rFonts w:ascii="Calibri" w:hAnsi="Calibri" w:cs="Arial"/>
          <w:bCs/>
          <w:color w:val="000000" w:themeColor="text1"/>
        </w:rPr>
      </w:pPr>
    </w:p>
    <w:p w:rsidR="00E90788" w:rsidRPr="00E90788" w:rsidRDefault="00E90788" w:rsidP="00E90788">
      <w:pPr>
        <w:tabs>
          <w:tab w:val="left" w:pos="0"/>
        </w:tabs>
        <w:spacing w:line="240" w:lineRule="atLeast"/>
        <w:jc w:val="both"/>
        <w:rPr>
          <w:rFonts w:ascii="Calibri" w:hAnsi="Calibri" w:cs="Arial"/>
          <w:bCs/>
          <w:color w:val="000000" w:themeColor="text1"/>
        </w:rPr>
      </w:pPr>
      <w:r>
        <w:t>Le décompte final est apposé du sceau officiel de la banque et des photocopies de ce document sont conservées par la banque dans ses archives. Dans les cas où le montant maximal de 50 000 HKD est dépassé, la vérification est effectuée dans le but de prouver une transaction authentique. Le rapport de déclaration de revenus est endossé et tamponné par la banque après chaque remise de bénéfices.</w:t>
      </w:r>
    </w:p>
    <w:p w:rsidR="00E90788" w:rsidRPr="00E90788" w:rsidRDefault="00E90788" w:rsidP="00E90788">
      <w:pPr>
        <w:tabs>
          <w:tab w:val="left" w:pos="0"/>
        </w:tabs>
        <w:spacing w:line="240" w:lineRule="atLeast"/>
        <w:jc w:val="both"/>
        <w:rPr>
          <w:rFonts w:ascii="Calibri" w:hAnsi="Calibri" w:cs="Arial"/>
          <w:bCs/>
          <w:color w:val="000000" w:themeColor="text1"/>
        </w:rPr>
      </w:pPr>
    </w:p>
    <w:p w:rsidR="00E90788" w:rsidRPr="00E90788" w:rsidRDefault="00E90788" w:rsidP="00E90788">
      <w:pPr>
        <w:tabs>
          <w:tab w:val="left" w:pos="0"/>
        </w:tabs>
        <w:spacing w:line="240" w:lineRule="atLeast"/>
        <w:jc w:val="both"/>
        <w:rPr>
          <w:rFonts w:ascii="Calibri" w:hAnsi="Calibri" w:cs="Arial"/>
          <w:bCs/>
          <w:color w:val="000000" w:themeColor="text1"/>
        </w:rPr>
      </w:pPr>
      <w:r>
        <w:t>Le paiement des dividendes n'est pas soumis à l'approbation préalable des autorités de change. 832, rue Gaudin, 77470 Saint Philippine-les-Bains n'impose pas de retenue à la source sur les dividendes, les redevances et les intérêts, il n'y a pas de contrôle des changes et aucune limitation ou restriction sur le rapatriement des bénéfices.</w:t>
      </w:r>
    </w:p>
    <w:p w:rsidR="005D2C12" w:rsidRPr="008E7D41" w:rsidRDefault="005D2C12" w:rsidP="005D2C12">
      <w:pPr>
        <w:tabs>
          <w:tab w:val="left" w:pos="1134"/>
        </w:tabs>
        <w:jc w:val="both"/>
        <w:rPr>
          <w:rFonts w:ascii="Calibri" w:hAnsi="Calibri"/>
          <w:color w:val="000000" w:themeColor="text1"/>
        </w:rPr>
      </w:pPr>
    </w:p>
    <w:p w:rsidR="005D2C12" w:rsidRPr="008E7D41" w:rsidRDefault="005D2C12" w:rsidP="00B16556">
      <w:pPr>
        <w:numPr>
          <w:ilvl w:val="0"/>
          <w:numId w:val="4"/>
        </w:numPr>
        <w:tabs>
          <w:tab w:val="left" w:pos="1134"/>
        </w:tabs>
        <w:jc w:val="both"/>
        <w:rPr>
          <w:rFonts w:ascii="Calibri" w:hAnsi="Calibri"/>
          <w:color w:val="000000" w:themeColor="text1"/>
        </w:rPr>
      </w:pPr>
      <w:r>
        <w:t>TVA</w:t>
      </w:r>
    </w:p>
    <w:p w:rsidR="005D2C12" w:rsidRPr="008E7D41" w:rsidRDefault="005D2C12" w:rsidP="005D2C12">
      <w:pPr>
        <w:tabs>
          <w:tab w:val="left" w:pos="1134"/>
        </w:tabs>
        <w:jc w:val="both"/>
        <w:rPr>
          <w:rFonts w:ascii="Calibri" w:hAnsi="Calibri"/>
          <w:b/>
          <w:color w:val="000000" w:themeColor="text1"/>
        </w:rPr>
      </w:pPr>
    </w:p>
    <w:p w:rsidR="005D2C12" w:rsidRPr="008E7D41" w:rsidRDefault="0042232D" w:rsidP="005D2C12">
      <w:pPr>
        <w:tabs>
          <w:tab w:val="left" w:pos="1134"/>
        </w:tabs>
        <w:jc w:val="both"/>
        <w:rPr>
          <w:rFonts w:ascii="Calibri" w:hAnsi="Calibri"/>
          <w:color w:val="000000" w:themeColor="text1"/>
        </w:rPr>
      </w:pPr>
      <w:r>
        <w:t>434, avenue Laetitia Foucher, 83303 Reynaud-sur-Mer n’a pas introduit de mécanisme de TVA ou de GST.</w:t>
      </w:r>
    </w:p>
    <w:p w:rsidR="005D2C12" w:rsidRPr="008E7D41" w:rsidRDefault="005D2C12" w:rsidP="005D2C12">
      <w:pPr>
        <w:tabs>
          <w:tab w:val="left" w:pos="1134"/>
        </w:tabs>
        <w:jc w:val="both"/>
        <w:rPr>
          <w:rFonts w:ascii="Calibri" w:hAnsi="Calibri"/>
          <w:color w:val="000000" w:themeColor="text1"/>
        </w:rPr>
      </w:pPr>
    </w:p>
    <w:p w:rsidR="005D2C12" w:rsidRPr="008E7D41" w:rsidRDefault="005D2C12" w:rsidP="00B16556">
      <w:pPr>
        <w:numPr>
          <w:ilvl w:val="0"/>
          <w:numId w:val="4"/>
        </w:numPr>
        <w:tabs>
          <w:tab w:val="left" w:pos="1134"/>
        </w:tabs>
        <w:jc w:val="both"/>
        <w:rPr>
          <w:rFonts w:ascii="Calibri" w:hAnsi="Calibri"/>
          <w:color w:val="000000" w:themeColor="text1"/>
        </w:rPr>
      </w:pPr>
      <w:r>
        <w:t>Échange automatique d’information (CRS)</w:t>
      </w:r>
    </w:p>
    <w:p w:rsidR="005D2C12" w:rsidRPr="008E7D41" w:rsidRDefault="005D2C12" w:rsidP="005D2C12">
      <w:pPr>
        <w:tabs>
          <w:tab w:val="left" w:pos="1134"/>
        </w:tabs>
        <w:jc w:val="both"/>
        <w:rPr>
          <w:rFonts w:ascii="Calibri" w:hAnsi="Calibri"/>
          <w:color w:val="000000" w:themeColor="text1"/>
        </w:rPr>
      </w:pPr>
    </w:p>
    <w:p w:rsidR="00156FAB" w:rsidRPr="008E7D41" w:rsidRDefault="00156FAB" w:rsidP="005D2C12">
      <w:pPr>
        <w:tabs>
          <w:tab w:val="left" w:pos="1134"/>
        </w:tabs>
        <w:jc w:val="both"/>
        <w:rPr>
          <w:rFonts w:ascii="Calibri" w:hAnsi="Calibri"/>
          <w:color w:val="000000" w:themeColor="text1"/>
        </w:rPr>
      </w:pPr>
      <w:r>
        <w:t xml:space="preserve">L'ordonnance du 30 Juin 2016  a mis en place un cadre législatif permettant à 958, boulevard de Bertin, 06913 ReyVille de mettre en œuvre le régime de l’Échange automatique d’information (CRS). </w:t>
      </w:r>
    </w:p>
    <w:p w:rsidR="00156FAB" w:rsidRPr="008E7D41" w:rsidRDefault="00156FAB" w:rsidP="005D2C12">
      <w:pPr>
        <w:tabs>
          <w:tab w:val="left" w:pos="1134"/>
        </w:tabs>
        <w:jc w:val="both"/>
        <w:rPr>
          <w:rFonts w:ascii="Calibri" w:hAnsi="Calibri"/>
          <w:color w:val="000000" w:themeColor="text1"/>
        </w:rPr>
      </w:pPr>
    </w:p>
    <w:p w:rsidR="00156FAB" w:rsidRPr="008E7D41" w:rsidRDefault="00156FAB" w:rsidP="005D2C12">
      <w:pPr>
        <w:tabs>
          <w:tab w:val="left" w:pos="1134"/>
        </w:tabs>
        <w:jc w:val="both"/>
        <w:rPr>
          <w:rFonts w:ascii="Calibri" w:hAnsi="Calibri"/>
          <w:color w:val="000000" w:themeColor="text1"/>
        </w:rPr>
      </w:pPr>
      <w:r>
        <w:t>Les institutions financières sont tenues d'identifier les comptes bancaires détenus par les résidents fiscaux de juridictions partenaires au protocole d’échange d’information (CRS).</w:t>
      </w:r>
    </w:p>
    <w:p w:rsidR="00156FAB" w:rsidRPr="008E7D41" w:rsidRDefault="00156FAB" w:rsidP="005D2C12">
      <w:pPr>
        <w:tabs>
          <w:tab w:val="left" w:pos="1134"/>
        </w:tabs>
        <w:jc w:val="both"/>
        <w:rPr>
          <w:rFonts w:ascii="Calibri" w:hAnsi="Calibri"/>
          <w:color w:val="000000" w:themeColor="text1"/>
        </w:rPr>
      </w:pPr>
    </w:p>
    <w:p w:rsidR="00156FAB" w:rsidRPr="008E7D41" w:rsidRDefault="00156FAB" w:rsidP="005D2C12">
      <w:pPr>
        <w:tabs>
          <w:tab w:val="left" w:pos="1134"/>
        </w:tabs>
        <w:jc w:val="both"/>
        <w:rPr>
          <w:rFonts w:ascii="Calibri" w:hAnsi="Calibri"/>
          <w:color w:val="000000" w:themeColor="text1"/>
        </w:rPr>
      </w:pPr>
      <w:r>
        <w:t>Toutefois, les autorités fiscales de Hong Kong ne procéderont à l’échange d’information qu’avec les juridictions ayant signé des accords bilatéraux.</w:t>
      </w:r>
    </w:p>
    <w:p w:rsidR="00E23B37" w:rsidRPr="008E7D41" w:rsidRDefault="00E23B37" w:rsidP="005D2C12">
      <w:pPr>
        <w:tabs>
          <w:tab w:val="left" w:pos="1134"/>
        </w:tabs>
        <w:jc w:val="both"/>
        <w:rPr>
          <w:rFonts w:ascii="Calibri" w:hAnsi="Calibri"/>
          <w:color w:val="000000" w:themeColor="text1"/>
        </w:rPr>
      </w:pPr>
    </w:p>
    <w:p w:rsidR="00E23B37" w:rsidRPr="008E7D41" w:rsidRDefault="00E23B37" w:rsidP="005D2C12">
      <w:pPr>
        <w:tabs>
          <w:tab w:val="left" w:pos="1134"/>
        </w:tabs>
        <w:jc w:val="both"/>
        <w:rPr>
          <w:rFonts w:ascii="Calibri" w:hAnsi="Calibri"/>
          <w:color w:val="000000" w:themeColor="text1"/>
        </w:rPr>
      </w:pPr>
      <w:r>
        <w:t>A ce jour, 76, boulevard de Mathieu, 74253 Diaz a signé des accords Agnès-Chantal Mary 15 juridictions doTristan Fabre-Faure.</w:t>
      </w:r>
    </w:p>
    <w:p w:rsidR="00156FAB" w:rsidRPr="008E7D41" w:rsidRDefault="00156FAB" w:rsidP="005D2C12">
      <w:pPr>
        <w:tabs>
          <w:tab w:val="left" w:pos="1134"/>
        </w:tabs>
        <w:jc w:val="both"/>
        <w:rPr>
          <w:rFonts w:ascii="Calibri" w:hAnsi="Calibri"/>
          <w:color w:val="000000" w:themeColor="text1"/>
        </w:rPr>
      </w:pPr>
    </w:p>
    <w:p w:rsidR="004A22A3" w:rsidRPr="00B23806" w:rsidRDefault="004A22A3" w:rsidP="00B16556">
      <w:pPr>
        <w:numPr>
          <w:ilvl w:val="0"/>
          <w:numId w:val="3"/>
        </w:numPr>
        <w:tabs>
          <w:tab w:val="left" w:pos="1134"/>
        </w:tabs>
        <w:jc w:val="both"/>
        <w:rPr>
          <w:rFonts w:asciiTheme="minorHAnsi" w:hAnsiTheme="minorHAnsi"/>
          <w:b/>
          <w:color w:val="000000" w:themeColor="text1"/>
        </w:rPr>
      </w:pPr>
      <w:r>
        <w:t>L’Ile Denis Thierry d’immatriculation d’une société Offshore</w:t>
      </w:r>
    </w:p>
    <w:p w:rsidR="004A22A3" w:rsidRPr="00B23806" w:rsidRDefault="004A22A3" w:rsidP="004A22A3">
      <w:pPr>
        <w:tabs>
          <w:tab w:val="left" w:pos="1134"/>
        </w:tabs>
        <w:jc w:val="both"/>
        <w:rPr>
          <w:rFonts w:asciiTheme="minorHAnsi" w:hAnsiTheme="minorHAnsi"/>
          <w:b/>
          <w:color w:val="000000" w:themeColor="text1"/>
        </w:rPr>
      </w:pPr>
    </w:p>
    <w:p w:rsidR="004A22A3" w:rsidRPr="00B23806" w:rsidRDefault="004A22A3" w:rsidP="00B16556">
      <w:pPr>
        <w:numPr>
          <w:ilvl w:val="0"/>
          <w:numId w:val="4"/>
        </w:numPr>
        <w:tabs>
          <w:tab w:val="left" w:pos="1134"/>
        </w:tabs>
        <w:jc w:val="both"/>
        <w:rPr>
          <w:rFonts w:ascii="Calibri" w:hAnsi="Calibri"/>
          <w:color w:val="000000" w:themeColor="text1"/>
        </w:rPr>
      </w:pPr>
      <w:r>
        <w:t>Impôt sur les sociétés</w:t>
      </w:r>
    </w:p>
    <w:p w:rsidR="004A22A3" w:rsidRPr="00B23806" w:rsidRDefault="004A22A3" w:rsidP="004A22A3">
      <w:pPr>
        <w:tabs>
          <w:tab w:val="left" w:pos="1134"/>
        </w:tabs>
        <w:jc w:val="both"/>
        <w:rPr>
          <w:rFonts w:ascii="Calibri" w:hAnsi="Calibri"/>
          <w:color w:val="000000" w:themeColor="text1"/>
        </w:rPr>
      </w:pPr>
    </w:p>
    <w:p w:rsidR="002B57AC" w:rsidRPr="00B23806" w:rsidRDefault="002B57AC" w:rsidP="002B57AC">
      <w:pPr>
        <w:tabs>
          <w:tab w:val="left" w:pos="1134"/>
        </w:tabs>
        <w:jc w:val="both"/>
        <w:rPr>
          <w:rFonts w:ascii="Calibri" w:hAnsi="Calibri"/>
          <w:color w:val="000000" w:themeColor="text1"/>
        </w:rPr>
      </w:pPr>
      <w:r>
        <w:t>Une société résidant à Maurice est soumise à l'impôt sur son revenu mondial alors qu’une société non résidente est assujettie à l’impôt sur tout revenu de source mauricienne, sous réserve des dispositions des conventions fiscales applicables.</w:t>
      </w:r>
    </w:p>
    <w:p w:rsidR="002B57AC" w:rsidRPr="00B23806" w:rsidRDefault="002B57AC" w:rsidP="002B57AC">
      <w:pPr>
        <w:tabs>
          <w:tab w:val="left" w:pos="1134"/>
        </w:tabs>
        <w:ind w:left="2484"/>
        <w:jc w:val="both"/>
        <w:rPr>
          <w:rFonts w:ascii="Calibri" w:hAnsi="Calibri"/>
          <w:color w:val="000000" w:themeColor="text1"/>
        </w:rPr>
      </w:pPr>
    </w:p>
    <w:p w:rsidR="002B57AC" w:rsidRPr="00B23806" w:rsidRDefault="002B57AC" w:rsidP="002B57AC">
      <w:pPr>
        <w:tabs>
          <w:tab w:val="left" w:pos="1134"/>
        </w:tabs>
        <w:jc w:val="both"/>
        <w:rPr>
          <w:rFonts w:ascii="Calibri" w:hAnsi="Calibri"/>
          <w:color w:val="000000" w:themeColor="text1"/>
        </w:rPr>
      </w:pPr>
      <w:r>
        <w:t xml:space="preserve">Les sociétés sont assujetties à l'impôt sur le revenu net, actuellement au taux uniforme de 15%. </w:t>
      </w:r>
    </w:p>
    <w:p w:rsidR="002B57AC" w:rsidRPr="00B23806" w:rsidRDefault="002B57AC" w:rsidP="00B63332">
      <w:pPr>
        <w:tabs>
          <w:tab w:val="left" w:pos="1134"/>
        </w:tabs>
        <w:jc w:val="both"/>
        <w:rPr>
          <w:rFonts w:ascii="Calibri" w:hAnsi="Calibri"/>
          <w:color w:val="000000" w:themeColor="text1"/>
        </w:rPr>
      </w:pPr>
    </w:p>
    <w:p w:rsidR="00E660C6" w:rsidRPr="00B23806" w:rsidRDefault="002B57AC" w:rsidP="002B57AC">
      <w:pPr>
        <w:tabs>
          <w:tab w:val="left" w:pos="1134"/>
        </w:tabs>
        <w:jc w:val="both"/>
        <w:rPr>
          <w:rFonts w:ascii="Calibri" w:hAnsi="Calibri"/>
          <w:color w:val="000000" w:themeColor="text1"/>
        </w:rPr>
      </w:pPr>
      <w:r>
        <w:t xml:space="preserve">Toutes les personnes morales constituées à Julie Boyer (à l'exception des sociétés détenant une licence commerciale globale de catégorie 2 et certains fonds et associations agréés) sont soumises à l'impôt sur le revenu. </w:t>
      </w:r>
    </w:p>
    <w:p w:rsidR="00E660C6" w:rsidRPr="00B23806" w:rsidRDefault="00E660C6" w:rsidP="002B57AC">
      <w:pPr>
        <w:tabs>
          <w:tab w:val="left" w:pos="1134"/>
        </w:tabs>
        <w:jc w:val="both"/>
        <w:rPr>
          <w:rFonts w:ascii="Calibri" w:hAnsi="Calibri"/>
          <w:color w:val="000000" w:themeColor="text1"/>
        </w:rPr>
      </w:pPr>
    </w:p>
    <w:p w:rsidR="00E660C6" w:rsidRPr="00B23806" w:rsidRDefault="002B57AC" w:rsidP="002B57AC">
      <w:pPr>
        <w:tabs>
          <w:tab w:val="left" w:pos="1134"/>
        </w:tabs>
        <w:jc w:val="both"/>
        <w:rPr>
          <w:rFonts w:ascii="Calibri" w:hAnsi="Calibri"/>
          <w:color w:val="000000" w:themeColor="text1"/>
        </w:rPr>
      </w:pPr>
      <w:r>
        <w:t xml:space="preserve">Antoinette Lejeune-Lagarde. </w:t>
      </w:r>
    </w:p>
    <w:p w:rsidR="00E660C6" w:rsidRPr="00B23806" w:rsidRDefault="00E660C6" w:rsidP="002B57AC">
      <w:pPr>
        <w:tabs>
          <w:tab w:val="left" w:pos="1134"/>
        </w:tabs>
        <w:jc w:val="both"/>
        <w:rPr>
          <w:rFonts w:ascii="Calibri" w:hAnsi="Calibri"/>
          <w:color w:val="000000" w:themeColor="text1"/>
        </w:rPr>
      </w:pPr>
    </w:p>
    <w:p w:rsidR="00E660C6" w:rsidRPr="00B23806" w:rsidRDefault="002B57AC" w:rsidP="002B57AC">
      <w:pPr>
        <w:tabs>
          <w:tab w:val="left" w:pos="1134"/>
        </w:tabs>
        <w:jc w:val="both"/>
        <w:rPr>
          <w:rFonts w:ascii="Calibri" w:hAnsi="Calibri"/>
          <w:color w:val="000000" w:themeColor="text1"/>
        </w:rPr>
      </w:pPr>
      <w:r>
        <w:t xml:space="preserve">Les revenus générés par les partenariats locaux sont partagés et imposés entre les mains des partenaires. </w:t>
      </w:r>
    </w:p>
    <w:p w:rsidR="00E660C6" w:rsidRPr="00B23806" w:rsidRDefault="00E660C6" w:rsidP="002B57AC">
      <w:pPr>
        <w:tabs>
          <w:tab w:val="left" w:pos="1134"/>
        </w:tabs>
        <w:jc w:val="both"/>
        <w:rPr>
          <w:rFonts w:ascii="Calibri" w:hAnsi="Calibri"/>
          <w:color w:val="000000" w:themeColor="text1"/>
        </w:rPr>
      </w:pPr>
    </w:p>
    <w:p w:rsidR="00E660C6" w:rsidRPr="00B23806" w:rsidRDefault="002B57AC" w:rsidP="002B57AC">
      <w:pPr>
        <w:tabs>
          <w:tab w:val="left" w:pos="1134"/>
        </w:tabs>
        <w:jc w:val="both"/>
        <w:rPr>
          <w:rFonts w:ascii="Calibri" w:hAnsi="Calibri"/>
          <w:color w:val="000000" w:themeColor="text1"/>
        </w:rPr>
      </w:pPr>
      <w:r>
        <w:t xml:space="preserve">Les sociétés étrangères exploitant une entreprise ou ayant un établissement à Maurice sont également assujetties à l'impôt sur le revenu des revenus provenant de Maurice. </w:t>
      </w:r>
    </w:p>
    <w:p w:rsidR="002B57AC" w:rsidRPr="00B23806" w:rsidRDefault="002B57AC" w:rsidP="002B57AC">
      <w:pPr>
        <w:tabs>
          <w:tab w:val="left" w:pos="1134"/>
        </w:tabs>
        <w:jc w:val="both"/>
        <w:rPr>
          <w:rFonts w:ascii="Calibri" w:hAnsi="Calibri"/>
          <w:color w:val="000000" w:themeColor="text1"/>
        </w:rPr>
      </w:pPr>
    </w:p>
    <w:p w:rsidR="002B57AC" w:rsidRPr="008E7D41" w:rsidRDefault="00E660C6" w:rsidP="002B57AC">
      <w:pPr>
        <w:tabs>
          <w:tab w:val="left" w:pos="1134"/>
        </w:tabs>
        <w:jc w:val="both"/>
        <w:rPr>
          <w:rFonts w:ascii="Calibri" w:hAnsi="Calibri"/>
          <w:color w:val="000000" w:themeColor="text1"/>
        </w:rPr>
      </w:pPr>
      <w:r>
        <w:t>Toutefois, les « Sociétés » créées en vertu d’une réglementation spécifique et incluant :</w:t>
      </w:r>
    </w:p>
    <w:p w:rsidR="002B57AC" w:rsidRPr="008E7D41" w:rsidRDefault="002B57AC" w:rsidP="002B57AC">
      <w:pPr>
        <w:tabs>
          <w:tab w:val="left" w:pos="1134"/>
        </w:tabs>
        <w:jc w:val="both"/>
        <w:rPr>
          <w:rFonts w:ascii="Calibri" w:hAnsi="Calibri"/>
          <w:color w:val="000000" w:themeColor="text1"/>
        </w:rPr>
      </w:pPr>
    </w:p>
    <w:p w:rsidR="002B57AC" w:rsidRPr="008E7D41" w:rsidRDefault="002B57AC" w:rsidP="00B16556">
      <w:pPr>
        <w:numPr>
          <w:ilvl w:val="0"/>
          <w:numId w:val="6"/>
        </w:numPr>
        <w:tabs>
          <w:tab w:val="left" w:pos="1134"/>
        </w:tabs>
        <w:ind w:left="1134" w:hanging="567"/>
        <w:jc w:val="both"/>
        <w:rPr>
          <w:rFonts w:ascii="Calibri" w:hAnsi="Calibri"/>
          <w:color w:val="000000" w:themeColor="text1"/>
        </w:rPr>
      </w:pPr>
      <w:r>
        <w:t>une société de fait ou une société en participation ;</w:t>
      </w:r>
    </w:p>
    <w:p w:rsidR="00E660C6" w:rsidRPr="00B23806" w:rsidRDefault="00E660C6" w:rsidP="00E660C6">
      <w:pPr>
        <w:tabs>
          <w:tab w:val="left" w:pos="1134"/>
        </w:tabs>
        <w:ind w:left="1134"/>
        <w:jc w:val="both"/>
        <w:rPr>
          <w:rFonts w:ascii="Calibri" w:hAnsi="Calibri"/>
          <w:color w:val="000000" w:themeColor="text1"/>
        </w:rPr>
      </w:pPr>
    </w:p>
    <w:p w:rsidR="002B57AC" w:rsidRPr="00B23806" w:rsidRDefault="002B57AC" w:rsidP="00B16556">
      <w:pPr>
        <w:numPr>
          <w:ilvl w:val="0"/>
          <w:numId w:val="6"/>
        </w:numPr>
        <w:tabs>
          <w:tab w:val="left" w:pos="1134"/>
        </w:tabs>
        <w:ind w:left="1134" w:hanging="567"/>
        <w:jc w:val="both"/>
        <w:rPr>
          <w:rFonts w:ascii="Calibri" w:hAnsi="Calibri"/>
          <w:color w:val="000000" w:themeColor="text1"/>
        </w:rPr>
      </w:pPr>
      <w:r>
        <w:t>une société en commandite ;</w:t>
      </w:r>
    </w:p>
    <w:p w:rsidR="00E660C6" w:rsidRPr="00B23806" w:rsidRDefault="00E660C6" w:rsidP="00E660C6">
      <w:pPr>
        <w:tabs>
          <w:tab w:val="left" w:pos="1134"/>
        </w:tabs>
        <w:jc w:val="both"/>
        <w:rPr>
          <w:rFonts w:ascii="Calibri" w:hAnsi="Calibri"/>
          <w:color w:val="000000" w:themeColor="text1"/>
        </w:rPr>
      </w:pPr>
    </w:p>
    <w:p w:rsidR="002B57AC" w:rsidRPr="00B23806" w:rsidRDefault="002B57AC" w:rsidP="00B16556">
      <w:pPr>
        <w:numPr>
          <w:ilvl w:val="0"/>
          <w:numId w:val="6"/>
        </w:numPr>
        <w:tabs>
          <w:tab w:val="left" w:pos="1134"/>
        </w:tabs>
        <w:ind w:left="1134" w:hanging="567"/>
        <w:jc w:val="both"/>
        <w:rPr>
          <w:rFonts w:ascii="Calibri" w:hAnsi="Calibri"/>
          <w:color w:val="000000" w:themeColor="text1"/>
        </w:rPr>
      </w:pPr>
      <w:r>
        <w:t>une coentreprise, et ;</w:t>
      </w:r>
    </w:p>
    <w:p w:rsidR="00E660C6" w:rsidRPr="00B23806" w:rsidRDefault="00E660C6" w:rsidP="00E660C6">
      <w:pPr>
        <w:tabs>
          <w:tab w:val="left" w:pos="1134"/>
        </w:tabs>
        <w:jc w:val="both"/>
        <w:rPr>
          <w:rFonts w:ascii="Calibri" w:hAnsi="Calibri"/>
          <w:color w:val="000000" w:themeColor="text1"/>
        </w:rPr>
      </w:pPr>
    </w:p>
    <w:p w:rsidR="002B57AC" w:rsidRPr="00B23806" w:rsidRDefault="002B57AC" w:rsidP="00B16556">
      <w:pPr>
        <w:numPr>
          <w:ilvl w:val="0"/>
          <w:numId w:val="6"/>
        </w:numPr>
        <w:tabs>
          <w:tab w:val="left" w:pos="1134"/>
        </w:tabs>
        <w:ind w:left="1134" w:hanging="567"/>
        <w:jc w:val="both"/>
        <w:rPr>
          <w:rFonts w:ascii="Calibri" w:hAnsi="Calibri"/>
          <w:color w:val="000000" w:themeColor="text1"/>
        </w:rPr>
      </w:pPr>
      <w:r>
        <w:t>une société ou société de personnes constituée sous le droit d'un pays étranger.</w:t>
      </w:r>
    </w:p>
    <w:p w:rsidR="002B57AC" w:rsidRPr="00B23806" w:rsidRDefault="002B57AC" w:rsidP="002B57AC">
      <w:pPr>
        <w:tabs>
          <w:tab w:val="left" w:pos="1134"/>
        </w:tabs>
        <w:jc w:val="both"/>
        <w:rPr>
          <w:rFonts w:ascii="Calibri" w:hAnsi="Calibri"/>
          <w:color w:val="000000" w:themeColor="text1"/>
        </w:rPr>
      </w:pPr>
    </w:p>
    <w:p w:rsidR="004A22A3" w:rsidRPr="00B23806" w:rsidRDefault="00E660C6" w:rsidP="004A22A3">
      <w:pPr>
        <w:tabs>
          <w:tab w:val="left" w:pos="1134"/>
        </w:tabs>
        <w:jc w:val="both"/>
        <w:rPr>
          <w:rFonts w:ascii="Calibri" w:hAnsi="Calibri"/>
          <w:color w:val="000000" w:themeColor="text1"/>
        </w:rPr>
      </w:pPr>
      <w:r>
        <w:t>Ne sont soumises à aucune imposition à Maurice.</w:t>
      </w:r>
    </w:p>
    <w:p w:rsidR="00E660C6" w:rsidRPr="00B23806" w:rsidRDefault="00E660C6" w:rsidP="004A22A3">
      <w:pPr>
        <w:tabs>
          <w:tab w:val="left" w:pos="1134"/>
        </w:tabs>
        <w:jc w:val="both"/>
        <w:rPr>
          <w:rFonts w:ascii="Calibri" w:hAnsi="Calibri"/>
          <w:color w:val="000000" w:themeColor="text1"/>
        </w:rPr>
      </w:pPr>
    </w:p>
    <w:p w:rsidR="002B57AC" w:rsidRPr="00B23806" w:rsidRDefault="002B57AC" w:rsidP="00B16556">
      <w:pPr>
        <w:numPr>
          <w:ilvl w:val="0"/>
          <w:numId w:val="4"/>
        </w:numPr>
        <w:tabs>
          <w:tab w:val="left" w:pos="1134"/>
        </w:tabs>
        <w:jc w:val="both"/>
        <w:rPr>
          <w:rFonts w:ascii="Calibri" w:hAnsi="Calibri"/>
          <w:color w:val="000000" w:themeColor="text1"/>
        </w:rPr>
      </w:pPr>
      <w:r>
        <w:t xml:space="preserve">Retenue à la source </w:t>
      </w:r>
    </w:p>
    <w:p w:rsidR="002B57AC" w:rsidRPr="00B23806" w:rsidRDefault="002B57AC" w:rsidP="004A22A3">
      <w:pPr>
        <w:tabs>
          <w:tab w:val="left" w:pos="1134"/>
        </w:tabs>
        <w:jc w:val="both"/>
        <w:rPr>
          <w:rFonts w:ascii="Calibri" w:hAnsi="Calibri"/>
          <w:color w:val="000000" w:themeColor="text1"/>
        </w:rPr>
      </w:pPr>
    </w:p>
    <w:p w:rsidR="004A22A3" w:rsidRPr="00B23806" w:rsidRDefault="004A22A3" w:rsidP="004A22A3">
      <w:pPr>
        <w:tabs>
          <w:tab w:val="left" w:pos="1134"/>
        </w:tabs>
        <w:jc w:val="both"/>
        <w:rPr>
          <w:rFonts w:ascii="Calibri" w:hAnsi="Calibri"/>
          <w:color w:val="000000" w:themeColor="text1"/>
        </w:rPr>
      </w:pPr>
      <w:r>
        <w:t>Les dividendes distribués par une société résidente de Maurice (GBC) à des non-résidents n'exerçant aucune activité à Maurice, ne sont soumis à aucune retenue à la source.</w:t>
      </w:r>
    </w:p>
    <w:p w:rsidR="00FD2896" w:rsidRPr="00B23806" w:rsidRDefault="00FD2896" w:rsidP="004A22A3">
      <w:pPr>
        <w:tabs>
          <w:tab w:val="left" w:pos="1134"/>
        </w:tabs>
        <w:jc w:val="both"/>
        <w:rPr>
          <w:rFonts w:ascii="Calibri" w:hAnsi="Calibri"/>
          <w:color w:val="000000" w:themeColor="text1"/>
        </w:rPr>
      </w:pPr>
    </w:p>
    <w:p w:rsidR="00FD2896" w:rsidRPr="00B23806" w:rsidRDefault="00FD2896" w:rsidP="004A22A3">
      <w:pPr>
        <w:tabs>
          <w:tab w:val="left" w:pos="1134"/>
        </w:tabs>
        <w:jc w:val="both"/>
        <w:rPr>
          <w:rFonts w:ascii="Calibri" w:hAnsi="Calibri"/>
          <w:color w:val="000000" w:themeColor="text1"/>
        </w:rPr>
      </w:pPr>
      <w:r>
        <w:t>De la même manière, les dividendes distribués par des entreprises résidentes de Maurice ne sont soumises à aucune retenue à la source sur les premiers [DATE_TIME_D4BB] de MUR(GBP130,000).</w:t>
      </w:r>
    </w:p>
    <w:p w:rsidR="004A22A3" w:rsidRPr="00B23806" w:rsidRDefault="004A22A3" w:rsidP="004A22A3">
      <w:pPr>
        <w:tabs>
          <w:tab w:val="left" w:pos="1134"/>
        </w:tabs>
        <w:jc w:val="both"/>
        <w:rPr>
          <w:rFonts w:ascii="Calibri" w:hAnsi="Calibri"/>
          <w:color w:val="000000" w:themeColor="text1"/>
        </w:rPr>
      </w:pPr>
    </w:p>
    <w:p w:rsidR="004A22A3" w:rsidRPr="00CF3926" w:rsidRDefault="00EA4E35" w:rsidP="004A22A3">
      <w:pPr>
        <w:tabs>
          <w:tab w:val="left" w:pos="1134"/>
        </w:tabs>
        <w:jc w:val="both"/>
        <w:rPr>
          <w:rFonts w:ascii="Calibri" w:hAnsi="Calibri"/>
          <w:b/>
          <w:bCs/>
          <w:color w:val="FF0000"/>
        </w:rPr>
      </w:pPr>
      <w:r>
        <w:t>La convention fiscale conclue entre Maurice et le France prévoit que le taux de la retenue à la source sur les intérêts payés est identique au taux applicable localement ; à savoir 5%.</w:t>
      </w:r>
    </w:p>
    <w:p w:rsidR="004A22A3" w:rsidRPr="00B23806" w:rsidRDefault="004A22A3" w:rsidP="004A22A3">
      <w:pPr>
        <w:tabs>
          <w:tab w:val="left" w:pos="1134"/>
        </w:tabs>
        <w:jc w:val="both"/>
        <w:rPr>
          <w:rFonts w:ascii="Calibri" w:hAnsi="Calibri"/>
          <w:color w:val="000000" w:themeColor="text1"/>
        </w:rPr>
      </w:pPr>
    </w:p>
    <w:p w:rsidR="004A22A3" w:rsidRPr="00B23806" w:rsidRDefault="004A22A3" w:rsidP="00B16556">
      <w:pPr>
        <w:numPr>
          <w:ilvl w:val="0"/>
          <w:numId w:val="4"/>
        </w:numPr>
        <w:tabs>
          <w:tab w:val="left" w:pos="1134"/>
        </w:tabs>
        <w:jc w:val="both"/>
        <w:rPr>
          <w:rFonts w:ascii="Calibri" w:hAnsi="Calibri"/>
          <w:color w:val="000000" w:themeColor="text1"/>
        </w:rPr>
      </w:pPr>
      <w:r>
        <w:t>Plus-value sur cession</w:t>
      </w:r>
    </w:p>
    <w:p w:rsidR="004A22A3" w:rsidRPr="00B23806" w:rsidRDefault="004A22A3" w:rsidP="004A22A3">
      <w:pPr>
        <w:tabs>
          <w:tab w:val="left" w:pos="1134"/>
        </w:tabs>
        <w:jc w:val="both"/>
        <w:rPr>
          <w:rFonts w:ascii="Calibri" w:hAnsi="Calibri"/>
          <w:color w:val="000000" w:themeColor="text1"/>
        </w:rPr>
      </w:pPr>
    </w:p>
    <w:p w:rsidR="004A22A3" w:rsidRDefault="004A22A3" w:rsidP="004A22A3">
      <w:pPr>
        <w:tabs>
          <w:tab w:val="left" w:pos="1134"/>
        </w:tabs>
        <w:jc w:val="both"/>
        <w:rPr>
          <w:rFonts w:ascii="Calibri" w:hAnsi="Calibri"/>
          <w:color w:val="000000" w:themeColor="text1"/>
        </w:rPr>
      </w:pPr>
      <w:r>
        <w:t>Les plus-values réalisées sur des actions, des créances ou d’autres titres d’une société immatriculée sur le territoire de Hong Kong, sont intégralement exonérés.</w:t>
      </w:r>
    </w:p>
    <w:p w:rsidR="006D5FD9" w:rsidRPr="00B23806" w:rsidRDefault="006D5FD9" w:rsidP="004A22A3">
      <w:pPr>
        <w:tabs>
          <w:tab w:val="left" w:pos="1134"/>
        </w:tabs>
        <w:jc w:val="both"/>
        <w:rPr>
          <w:rFonts w:ascii="Calibri" w:hAnsi="Calibri"/>
          <w:color w:val="000000" w:themeColor="text1"/>
        </w:rPr>
      </w:pPr>
    </w:p>
    <w:p w:rsidR="004A22A3" w:rsidRPr="00B23806" w:rsidRDefault="004A22A3" w:rsidP="004A22A3">
      <w:pPr>
        <w:tabs>
          <w:tab w:val="left" w:pos="1134"/>
        </w:tabs>
        <w:jc w:val="both"/>
        <w:rPr>
          <w:rFonts w:ascii="Calibri" w:hAnsi="Calibri"/>
          <w:color w:val="000000" w:themeColor="text1"/>
        </w:rPr>
      </w:pPr>
    </w:p>
    <w:p w:rsidR="004A22A3" w:rsidRPr="00B23806" w:rsidRDefault="004A22A3" w:rsidP="00B16556">
      <w:pPr>
        <w:numPr>
          <w:ilvl w:val="0"/>
          <w:numId w:val="4"/>
        </w:numPr>
        <w:tabs>
          <w:tab w:val="left" w:pos="1134"/>
        </w:tabs>
        <w:jc w:val="both"/>
        <w:rPr>
          <w:rFonts w:ascii="Calibri" w:hAnsi="Calibri"/>
          <w:color w:val="000000" w:themeColor="text1"/>
        </w:rPr>
      </w:pPr>
      <w:r>
        <w:t>TVA</w:t>
      </w:r>
    </w:p>
    <w:p w:rsidR="004A22A3" w:rsidRPr="00B23806" w:rsidRDefault="004A22A3" w:rsidP="004A22A3">
      <w:pPr>
        <w:tabs>
          <w:tab w:val="left" w:pos="1134"/>
        </w:tabs>
        <w:jc w:val="both"/>
        <w:rPr>
          <w:rFonts w:ascii="Calibri" w:hAnsi="Calibri"/>
          <w:b/>
          <w:color w:val="000000" w:themeColor="text1"/>
        </w:rPr>
      </w:pPr>
    </w:p>
    <w:p w:rsidR="004A22A3" w:rsidRPr="00B23806" w:rsidRDefault="00661F8E" w:rsidP="004A22A3">
      <w:pPr>
        <w:tabs>
          <w:tab w:val="left" w:pos="1134"/>
        </w:tabs>
        <w:jc w:val="both"/>
        <w:rPr>
          <w:rFonts w:ascii="Calibri" w:hAnsi="Calibri"/>
          <w:color w:val="000000" w:themeColor="text1"/>
        </w:rPr>
      </w:pPr>
      <w:r>
        <w:t>Le taux de TVA applicable à Maurice est fixé à 15% à la fois pour la vente de marchandises et la fourniture de services.</w:t>
      </w:r>
    </w:p>
    <w:p w:rsidR="004A22A3" w:rsidRPr="00B23806" w:rsidRDefault="004A22A3" w:rsidP="004A22A3">
      <w:pPr>
        <w:tabs>
          <w:tab w:val="left" w:pos="1134"/>
        </w:tabs>
        <w:jc w:val="both"/>
        <w:rPr>
          <w:rFonts w:ascii="Calibri" w:hAnsi="Calibri"/>
          <w:color w:val="000000" w:themeColor="text1"/>
        </w:rPr>
      </w:pPr>
    </w:p>
    <w:p w:rsidR="004A22A3" w:rsidRPr="00B23806" w:rsidRDefault="004A22A3" w:rsidP="00B16556">
      <w:pPr>
        <w:numPr>
          <w:ilvl w:val="0"/>
          <w:numId w:val="4"/>
        </w:numPr>
        <w:tabs>
          <w:tab w:val="left" w:pos="1134"/>
        </w:tabs>
        <w:jc w:val="both"/>
        <w:rPr>
          <w:rFonts w:ascii="Calibri" w:hAnsi="Calibri"/>
          <w:color w:val="000000" w:themeColor="text1"/>
        </w:rPr>
      </w:pPr>
      <w:r>
        <w:t>Échange automatique d’information (CRS)</w:t>
      </w:r>
    </w:p>
    <w:p w:rsidR="004A22A3" w:rsidRPr="00B23806" w:rsidRDefault="004A22A3" w:rsidP="004A22A3">
      <w:pPr>
        <w:tabs>
          <w:tab w:val="left" w:pos="1134"/>
        </w:tabs>
        <w:jc w:val="both"/>
        <w:rPr>
          <w:rFonts w:ascii="Calibri" w:hAnsi="Calibri"/>
          <w:color w:val="000000" w:themeColor="text1"/>
        </w:rPr>
      </w:pPr>
    </w:p>
    <w:p w:rsidR="004A22A3" w:rsidRPr="00B23806" w:rsidRDefault="005B3F52" w:rsidP="005B3F52">
      <w:pPr>
        <w:tabs>
          <w:tab w:val="left" w:pos="1134"/>
        </w:tabs>
        <w:jc w:val="both"/>
        <w:rPr>
          <w:rFonts w:ascii="Calibri" w:hAnsi="Calibri"/>
          <w:color w:val="000000" w:themeColor="text1"/>
        </w:rPr>
      </w:pPr>
      <w:r>
        <w:t>Gabrielle Gillet administrative mutuelle en matière fiscale de l'Organisation de coopération et de développement économiques (OCDE) s’est engagé à mettre en œuvre le dispositif d’échange d’information dés le 1er janvier [DATE_TIME_1D83].</w:t>
      </w:r>
    </w:p>
    <w:p w:rsidR="00214C07" w:rsidRPr="00B23806" w:rsidRDefault="00214C07" w:rsidP="005B3F52">
      <w:pPr>
        <w:tabs>
          <w:tab w:val="left" w:pos="1134"/>
        </w:tabs>
        <w:jc w:val="both"/>
        <w:rPr>
          <w:rFonts w:ascii="Calibri" w:hAnsi="Calibri"/>
          <w:color w:val="000000" w:themeColor="text1"/>
        </w:rPr>
      </w:pPr>
    </w:p>
    <w:p w:rsidR="00214C07" w:rsidRPr="008E7D41" w:rsidRDefault="00214C07" w:rsidP="005B3F52">
      <w:pPr>
        <w:tabs>
          <w:tab w:val="left" w:pos="1134"/>
        </w:tabs>
        <w:jc w:val="both"/>
        <w:rPr>
          <w:rFonts w:asciiTheme="minorHAnsi" w:hAnsiTheme="minorHAnsi"/>
          <w:b/>
          <w:color w:val="000000" w:themeColor="text1"/>
        </w:rPr>
      </w:pPr>
      <w:r>
        <w:t>Toutes les informations fiscales et financières des bénéficiaires effectifs de sociétés immatriculées à Maurice après le 1er janvier [DATE_TIME_864D], seront systématiquement échangées avec l’administration fiscale du pays de résidence dudit bénéficiaire effectif.</w:t>
      </w:r>
    </w:p>
    <w:p w:rsidR="004A22A3" w:rsidRPr="008E7D41" w:rsidRDefault="004A22A3" w:rsidP="004A22A3">
      <w:pPr>
        <w:tabs>
          <w:tab w:val="left" w:pos="1134"/>
        </w:tabs>
        <w:jc w:val="both"/>
        <w:rPr>
          <w:rFonts w:asciiTheme="minorHAnsi" w:hAnsiTheme="minorHAnsi"/>
          <w:b/>
          <w:color w:val="000000" w:themeColor="text1"/>
        </w:rPr>
      </w:pPr>
    </w:p>
    <w:p w:rsidR="004A22A3" w:rsidRPr="008E7D41" w:rsidRDefault="004A22A3" w:rsidP="004A22A3">
      <w:pPr>
        <w:tabs>
          <w:tab w:val="left" w:pos="1134"/>
        </w:tabs>
        <w:jc w:val="both"/>
        <w:rPr>
          <w:rFonts w:asciiTheme="minorHAnsi" w:hAnsiTheme="minorHAnsi"/>
          <w:b/>
          <w:color w:val="000000" w:themeColor="text1"/>
        </w:rPr>
      </w:pPr>
    </w:p>
    <w:p w:rsidR="004A22A3" w:rsidRPr="008E7D41" w:rsidRDefault="003F472C" w:rsidP="00B16556">
      <w:pPr>
        <w:numPr>
          <w:ilvl w:val="0"/>
          <w:numId w:val="3"/>
        </w:numPr>
        <w:tabs>
          <w:tab w:val="left" w:pos="1134"/>
        </w:tabs>
        <w:jc w:val="both"/>
        <w:rPr>
          <w:rFonts w:asciiTheme="minorHAnsi" w:hAnsiTheme="minorHAnsi"/>
          <w:b/>
          <w:color w:val="000000" w:themeColor="text1"/>
        </w:rPr>
      </w:pPr>
      <w:r>
        <w:t>Augustin Simon comme lieu d’immatriculation d’une société Offshore</w:t>
      </w:r>
    </w:p>
    <w:p w:rsidR="003F472C" w:rsidRPr="008E7D41" w:rsidRDefault="003F472C" w:rsidP="003F472C">
      <w:pPr>
        <w:tabs>
          <w:tab w:val="left" w:pos="1134"/>
        </w:tabs>
        <w:jc w:val="both"/>
        <w:rPr>
          <w:rFonts w:asciiTheme="minorHAnsi" w:hAnsiTheme="minorHAnsi"/>
          <w:b/>
          <w:color w:val="000000" w:themeColor="text1"/>
        </w:rPr>
      </w:pPr>
    </w:p>
    <w:p w:rsidR="003F472C" w:rsidRPr="008E7D41" w:rsidRDefault="003F472C" w:rsidP="00B16556">
      <w:pPr>
        <w:numPr>
          <w:ilvl w:val="0"/>
          <w:numId w:val="4"/>
        </w:numPr>
        <w:tabs>
          <w:tab w:val="left" w:pos="1134"/>
        </w:tabs>
        <w:jc w:val="both"/>
        <w:rPr>
          <w:rFonts w:ascii="Calibri" w:hAnsi="Calibri"/>
          <w:color w:val="000000" w:themeColor="text1"/>
        </w:rPr>
      </w:pPr>
      <w:r>
        <w:t>Impôt sur les sociétés</w:t>
      </w:r>
    </w:p>
    <w:p w:rsidR="003F472C" w:rsidRPr="008E7D41" w:rsidRDefault="003F472C" w:rsidP="003F472C">
      <w:pPr>
        <w:tabs>
          <w:tab w:val="left" w:pos="1134"/>
        </w:tabs>
        <w:jc w:val="both"/>
        <w:rPr>
          <w:rFonts w:ascii="Calibri" w:hAnsi="Calibri"/>
          <w:color w:val="000000" w:themeColor="text1"/>
        </w:rPr>
      </w:pPr>
    </w:p>
    <w:p w:rsidR="0044510E" w:rsidRPr="008E7D41" w:rsidRDefault="0044510E" w:rsidP="0044510E">
      <w:pPr>
        <w:tabs>
          <w:tab w:val="left" w:pos="1134"/>
        </w:tabs>
        <w:jc w:val="both"/>
        <w:rPr>
          <w:rFonts w:ascii="Calibri" w:hAnsi="Calibri"/>
          <w:color w:val="000000" w:themeColor="text1"/>
        </w:rPr>
      </w:pPr>
      <w:r>
        <w:t xml:space="preserve">Les sociétés (résidentes et non-résidentes) qui exploitent une entreprise à Singapour sont imposées sur leur revenu de source singapourienne et sur le revenu de source étrangère lorsque le dit revenu est imputable à une activité réalisée à Singapour. </w:t>
      </w:r>
    </w:p>
    <w:p w:rsidR="0044510E" w:rsidRPr="008E7D41" w:rsidRDefault="0044510E" w:rsidP="0044510E">
      <w:pPr>
        <w:tabs>
          <w:tab w:val="left" w:pos="1134"/>
        </w:tabs>
        <w:jc w:val="both"/>
        <w:rPr>
          <w:rFonts w:ascii="Calibri" w:hAnsi="Calibri"/>
          <w:color w:val="000000" w:themeColor="text1"/>
        </w:rPr>
      </w:pPr>
    </w:p>
    <w:p w:rsidR="003F472C" w:rsidRPr="008E7D41" w:rsidRDefault="0044510E" w:rsidP="0044510E">
      <w:pPr>
        <w:tabs>
          <w:tab w:val="left" w:pos="1134"/>
        </w:tabs>
        <w:jc w:val="both"/>
        <w:rPr>
          <w:rFonts w:ascii="Calibri" w:hAnsi="Calibri"/>
          <w:color w:val="000000" w:themeColor="text1"/>
        </w:rPr>
      </w:pPr>
      <w:r>
        <w:t>L'impôt sur le revenu des sociétés est imposé à un taux forfaitaire de 17%.</w:t>
      </w:r>
    </w:p>
    <w:p w:rsidR="0044510E" w:rsidRPr="008E7D41" w:rsidRDefault="0044510E" w:rsidP="0044510E">
      <w:pPr>
        <w:tabs>
          <w:tab w:val="left" w:pos="1134"/>
        </w:tabs>
        <w:jc w:val="both"/>
        <w:rPr>
          <w:rFonts w:ascii="Calibri" w:hAnsi="Calibri"/>
          <w:color w:val="000000" w:themeColor="text1"/>
        </w:rPr>
      </w:pPr>
    </w:p>
    <w:p w:rsidR="003F472C" w:rsidRPr="008E7D41" w:rsidRDefault="003F472C" w:rsidP="00B16556">
      <w:pPr>
        <w:numPr>
          <w:ilvl w:val="0"/>
          <w:numId w:val="4"/>
        </w:numPr>
        <w:tabs>
          <w:tab w:val="left" w:pos="1134"/>
        </w:tabs>
        <w:jc w:val="both"/>
        <w:rPr>
          <w:rFonts w:ascii="Calibri" w:hAnsi="Calibri"/>
          <w:color w:val="000000" w:themeColor="text1"/>
        </w:rPr>
      </w:pPr>
      <w:r>
        <w:t xml:space="preserve">Retenue à la source </w:t>
      </w:r>
    </w:p>
    <w:p w:rsidR="003F472C" w:rsidRPr="008E7D41" w:rsidRDefault="003F472C" w:rsidP="003F472C">
      <w:pPr>
        <w:tabs>
          <w:tab w:val="left" w:pos="1134"/>
        </w:tabs>
        <w:jc w:val="both"/>
        <w:rPr>
          <w:rFonts w:ascii="Calibri" w:hAnsi="Calibri"/>
          <w:color w:val="000000" w:themeColor="text1"/>
        </w:rPr>
      </w:pPr>
    </w:p>
    <w:p w:rsidR="00AD7FEF" w:rsidRPr="008E7D41" w:rsidRDefault="00AD7FEF" w:rsidP="00AD7FEF">
      <w:pPr>
        <w:tabs>
          <w:tab w:val="left" w:pos="1134"/>
        </w:tabs>
        <w:jc w:val="both"/>
        <w:rPr>
          <w:rFonts w:ascii="Calibri" w:hAnsi="Calibri"/>
          <w:color w:val="000000" w:themeColor="text1"/>
        </w:rPr>
      </w:pPr>
      <w:r>
        <w:t>Les revenus passifs (dividendes, intérêts, redevances) versés par des sociétés fiscales résidentes à Singapour à des non-résidents sont soumis à une retenue à la source dont le taux varie en fonction du revenu.</w:t>
      </w:r>
    </w:p>
    <w:p w:rsidR="00AD7FEF" w:rsidRPr="00B23806" w:rsidRDefault="00AD7FEF" w:rsidP="00AD7FEF">
      <w:pPr>
        <w:tabs>
          <w:tab w:val="left" w:pos="1134"/>
        </w:tabs>
        <w:jc w:val="both"/>
        <w:rPr>
          <w:rFonts w:ascii="Calibri" w:hAnsi="Calibri"/>
          <w:color w:val="000000" w:themeColor="text1"/>
        </w:rPr>
      </w:pPr>
    </w:p>
    <w:p w:rsidR="00030A0D" w:rsidRPr="00030A0D" w:rsidRDefault="00AD7FEF" w:rsidP="00030A0D">
      <w:pPr>
        <w:jc w:val="both"/>
        <w:rPr>
          <w:rFonts w:asciiTheme="minorHAnsi" w:hAnsiTheme="minorHAnsi" w:cstheme="minorHAnsi"/>
          <w:b/>
          <w:bCs/>
          <w:color w:val="FF0000"/>
        </w:rPr>
      </w:pPr>
      <w:r>
        <w:t>De façon générale, le taux de la retenue à la source est fixé à 5% du montant brut des dividendes si le bénéficiaire effectif est une société qui détient directement ou indirectement au moins 10 % du capital social de la société qui paie les dividendes</w:t>
      </w:r>
    </w:p>
    <w:p w:rsidR="003F472C" w:rsidRPr="00B23806" w:rsidRDefault="003F472C" w:rsidP="00AD7FEF">
      <w:pPr>
        <w:tabs>
          <w:tab w:val="left" w:pos="1134"/>
        </w:tabs>
        <w:jc w:val="both"/>
        <w:rPr>
          <w:rFonts w:ascii="Calibri" w:hAnsi="Calibri"/>
          <w:color w:val="000000" w:themeColor="text1"/>
        </w:rPr>
      </w:pPr>
    </w:p>
    <w:p w:rsidR="003F472C" w:rsidRPr="00B23806" w:rsidRDefault="003F472C" w:rsidP="00B16556">
      <w:pPr>
        <w:numPr>
          <w:ilvl w:val="0"/>
          <w:numId w:val="4"/>
        </w:numPr>
        <w:tabs>
          <w:tab w:val="left" w:pos="1134"/>
        </w:tabs>
        <w:jc w:val="both"/>
        <w:rPr>
          <w:rFonts w:ascii="Calibri" w:hAnsi="Calibri"/>
          <w:color w:val="000000" w:themeColor="text1"/>
        </w:rPr>
      </w:pPr>
      <w:r>
        <w:t>Plus-value sur cession</w:t>
      </w:r>
    </w:p>
    <w:p w:rsidR="003F472C" w:rsidRPr="00B23806" w:rsidRDefault="003F472C" w:rsidP="003F472C">
      <w:pPr>
        <w:tabs>
          <w:tab w:val="left" w:pos="1134"/>
        </w:tabs>
        <w:jc w:val="both"/>
        <w:rPr>
          <w:rFonts w:ascii="Calibri" w:hAnsi="Calibri"/>
          <w:color w:val="000000" w:themeColor="text1"/>
        </w:rPr>
      </w:pPr>
    </w:p>
    <w:p w:rsidR="003F472C" w:rsidRDefault="003F472C" w:rsidP="003F472C">
      <w:pPr>
        <w:tabs>
          <w:tab w:val="left" w:pos="1134"/>
        </w:tabs>
        <w:jc w:val="both"/>
        <w:rPr>
          <w:rFonts w:ascii="Calibri" w:hAnsi="Calibri"/>
          <w:color w:val="000000" w:themeColor="text1"/>
        </w:rPr>
      </w:pPr>
      <w:r>
        <w:t>Les plus-values réalisées sur des actions, des créances ou d’autres titres d’une société immatriculée à Singapour, sont intégralement exonérés.</w:t>
      </w:r>
    </w:p>
    <w:p w:rsidR="006D5FD9" w:rsidRPr="00B23806" w:rsidRDefault="006D5FD9" w:rsidP="003F472C">
      <w:pPr>
        <w:tabs>
          <w:tab w:val="left" w:pos="1134"/>
        </w:tabs>
        <w:jc w:val="both"/>
        <w:rPr>
          <w:rFonts w:ascii="Calibri" w:hAnsi="Calibri"/>
          <w:color w:val="000000" w:themeColor="text1"/>
        </w:rPr>
      </w:pPr>
    </w:p>
    <w:p w:rsidR="003F472C" w:rsidRPr="00B23806" w:rsidRDefault="003F472C" w:rsidP="003F472C">
      <w:pPr>
        <w:tabs>
          <w:tab w:val="left" w:pos="1134"/>
        </w:tabs>
        <w:jc w:val="both"/>
        <w:rPr>
          <w:rFonts w:ascii="Calibri" w:hAnsi="Calibri"/>
          <w:color w:val="000000" w:themeColor="text1"/>
        </w:rPr>
      </w:pPr>
    </w:p>
    <w:p w:rsidR="003F472C" w:rsidRPr="00B23806" w:rsidRDefault="003F472C" w:rsidP="00B16556">
      <w:pPr>
        <w:numPr>
          <w:ilvl w:val="0"/>
          <w:numId w:val="4"/>
        </w:numPr>
        <w:tabs>
          <w:tab w:val="left" w:pos="1134"/>
        </w:tabs>
        <w:jc w:val="both"/>
        <w:rPr>
          <w:rFonts w:ascii="Calibri" w:hAnsi="Calibri"/>
          <w:color w:val="000000" w:themeColor="text1"/>
        </w:rPr>
      </w:pPr>
      <w:r>
        <w:t>TVA</w:t>
      </w:r>
    </w:p>
    <w:p w:rsidR="003F472C" w:rsidRPr="00B23806" w:rsidRDefault="003F472C" w:rsidP="003F472C">
      <w:pPr>
        <w:tabs>
          <w:tab w:val="left" w:pos="1134"/>
        </w:tabs>
        <w:jc w:val="both"/>
        <w:rPr>
          <w:rFonts w:ascii="Calibri" w:hAnsi="Calibri"/>
          <w:b/>
          <w:color w:val="000000" w:themeColor="text1"/>
        </w:rPr>
      </w:pPr>
    </w:p>
    <w:p w:rsidR="003F472C" w:rsidRPr="00B23806" w:rsidRDefault="00661F8E" w:rsidP="003F472C">
      <w:pPr>
        <w:tabs>
          <w:tab w:val="left" w:pos="1134"/>
        </w:tabs>
        <w:jc w:val="both"/>
        <w:rPr>
          <w:rFonts w:ascii="Calibri" w:hAnsi="Calibri"/>
          <w:color w:val="000000" w:themeColor="text1"/>
        </w:rPr>
      </w:pPr>
      <w:r>
        <w:t>Adrien Andre Le Besnard applique une General Services Tax (GST) sur la vente de marchandise et la fourniture de marchandise au taux de 7%.</w:t>
      </w:r>
    </w:p>
    <w:p w:rsidR="003F472C" w:rsidRPr="00B23806" w:rsidRDefault="003F472C" w:rsidP="003F472C">
      <w:pPr>
        <w:tabs>
          <w:tab w:val="left" w:pos="1134"/>
        </w:tabs>
        <w:jc w:val="both"/>
        <w:rPr>
          <w:rFonts w:ascii="Calibri" w:hAnsi="Calibri"/>
          <w:color w:val="000000" w:themeColor="text1"/>
        </w:rPr>
      </w:pPr>
    </w:p>
    <w:p w:rsidR="003F472C" w:rsidRPr="00B23806" w:rsidRDefault="003F472C" w:rsidP="00B16556">
      <w:pPr>
        <w:numPr>
          <w:ilvl w:val="0"/>
          <w:numId w:val="4"/>
        </w:numPr>
        <w:tabs>
          <w:tab w:val="left" w:pos="1134"/>
        </w:tabs>
        <w:jc w:val="both"/>
        <w:rPr>
          <w:rFonts w:ascii="Calibri" w:hAnsi="Calibri"/>
          <w:color w:val="000000" w:themeColor="text1"/>
        </w:rPr>
      </w:pPr>
      <w:r>
        <w:t>Échange automatique d’information (CRS)</w:t>
      </w:r>
    </w:p>
    <w:p w:rsidR="003F472C" w:rsidRPr="00B23806" w:rsidRDefault="003F472C" w:rsidP="003F472C">
      <w:pPr>
        <w:tabs>
          <w:tab w:val="left" w:pos="1134"/>
        </w:tabs>
        <w:jc w:val="both"/>
        <w:rPr>
          <w:rFonts w:ascii="Calibri" w:hAnsi="Calibri"/>
          <w:color w:val="000000" w:themeColor="text1"/>
        </w:rPr>
      </w:pPr>
    </w:p>
    <w:p w:rsidR="003F472C" w:rsidRPr="00B23806" w:rsidRDefault="00123BEC" w:rsidP="003F472C">
      <w:pPr>
        <w:tabs>
          <w:tab w:val="left" w:pos="1134"/>
        </w:tabs>
        <w:jc w:val="both"/>
        <w:rPr>
          <w:rFonts w:ascii="Calibri" w:hAnsi="Calibri"/>
          <w:color w:val="000000" w:themeColor="text1"/>
        </w:rPr>
      </w:pPr>
      <w:r>
        <w:t>Singapour est parti prenant au dispositif international d’Échange d’information financières et fiscales depuis [DATE_TIME_CC54]. Manon Camus Alfred Carlier basés à Gilles Peltier-Ledoux doivent reporter chaque année les avoirs des clients à l’administration fiscale du lieu de résidence du bénéficiaire effectif du compte bancaire.</w:t>
      </w:r>
    </w:p>
    <w:p w:rsidR="003F472C" w:rsidRPr="00B23806" w:rsidRDefault="003F472C" w:rsidP="003F472C">
      <w:pPr>
        <w:tabs>
          <w:tab w:val="left" w:pos="1134"/>
        </w:tabs>
        <w:jc w:val="both"/>
        <w:rPr>
          <w:rFonts w:asciiTheme="minorHAnsi" w:hAnsiTheme="minorHAnsi"/>
          <w:b/>
          <w:color w:val="000000" w:themeColor="text1"/>
        </w:rPr>
      </w:pPr>
    </w:p>
    <w:p w:rsidR="003F472C" w:rsidRPr="00B23806" w:rsidRDefault="003F472C" w:rsidP="003F472C">
      <w:pPr>
        <w:tabs>
          <w:tab w:val="left" w:pos="1134"/>
        </w:tabs>
        <w:ind w:left="1500"/>
        <w:jc w:val="both"/>
        <w:rPr>
          <w:rFonts w:asciiTheme="minorHAnsi" w:hAnsiTheme="minorHAnsi"/>
          <w:b/>
          <w:color w:val="000000" w:themeColor="text1"/>
        </w:rPr>
      </w:pPr>
    </w:p>
    <w:p w:rsidR="003F472C" w:rsidRPr="00B23806" w:rsidRDefault="007865E0" w:rsidP="007865E0">
      <w:pPr>
        <w:tabs>
          <w:tab w:val="left" w:pos="1134"/>
        </w:tabs>
        <w:jc w:val="both"/>
        <w:rPr>
          <w:rFonts w:asciiTheme="minorHAnsi" w:hAnsiTheme="minorHAnsi"/>
          <w:b/>
          <w:color w:val="000000" w:themeColor="text1"/>
        </w:rPr>
      </w:pPr>
      <w:r>
        <w:t>II. Le mécanisme de gestion de la TVA des prestations électroniques</w:t>
      </w:r>
    </w:p>
    <w:p w:rsidR="007977C2" w:rsidRPr="00B23806" w:rsidRDefault="007977C2" w:rsidP="007865E0">
      <w:pPr>
        <w:tabs>
          <w:tab w:val="left" w:pos="1134"/>
        </w:tabs>
        <w:jc w:val="both"/>
        <w:rPr>
          <w:rFonts w:asciiTheme="minorHAnsi" w:hAnsiTheme="minorHAnsi"/>
          <w:b/>
          <w:color w:val="000000" w:themeColor="text1"/>
        </w:rPr>
      </w:pPr>
    </w:p>
    <w:p w:rsidR="007977C2" w:rsidRPr="00B23806" w:rsidRDefault="007977C2" w:rsidP="00B16556">
      <w:pPr>
        <w:numPr>
          <w:ilvl w:val="0"/>
          <w:numId w:val="7"/>
        </w:numPr>
        <w:jc w:val="both"/>
        <w:rPr>
          <w:rStyle w:val="txt"/>
          <w:rFonts w:asciiTheme="minorHAnsi" w:hAnsiTheme="minorHAnsi"/>
          <w:b/>
          <w:color w:val="000000" w:themeColor="text1"/>
          <w:bdr w:val="none" w:sz="0" w:space="0" w:color="auto" w:frame="1"/>
        </w:rPr>
      </w:pPr>
      <w:r>
        <w:t xml:space="preserve">Jeanne de De Oliveira intracommunautaire sur les prestations de services </w:t>
      </w:r>
    </w:p>
    <w:p w:rsidR="007977C2" w:rsidRPr="00B23806" w:rsidRDefault="007977C2" w:rsidP="007977C2">
      <w:pPr>
        <w:jc w:val="both"/>
        <w:rPr>
          <w:rStyle w:val="txt"/>
          <w:rFonts w:asciiTheme="minorHAnsi" w:hAnsiTheme="minorHAnsi"/>
          <w:color w:val="000000" w:themeColor="text1"/>
          <w:bdr w:val="none" w:sz="0" w:space="0" w:color="auto" w:frame="1"/>
        </w:rPr>
      </w:pPr>
    </w:p>
    <w:p w:rsidR="007977C2" w:rsidRPr="00B23806" w:rsidRDefault="007977C2" w:rsidP="007977C2">
      <w:pPr>
        <w:jc w:val="both"/>
        <w:rPr>
          <w:rStyle w:val="txt"/>
          <w:rFonts w:asciiTheme="minorHAnsi" w:hAnsiTheme="minorHAnsi"/>
          <w:color w:val="000000" w:themeColor="text1"/>
          <w:bdr w:val="none" w:sz="0" w:space="0" w:color="auto" w:frame="1"/>
        </w:rPr>
      </w:pPr>
      <w:r>
        <w:t>En ce qui concerne les prestations de services, les critères d'application territoriale de la TVA sont déterminés par référence au lieu où ces opérations sont réputées Susan Chrétien-Lacombe, Emmanuel Boulay 75, rue de Leleu, 09389 Sainte Dorothée.</w:t>
      </w:r>
    </w:p>
    <w:p w:rsidR="007977C2" w:rsidRPr="00B23806" w:rsidRDefault="007977C2" w:rsidP="007977C2">
      <w:pPr>
        <w:jc w:val="both"/>
        <w:rPr>
          <w:rStyle w:val="txtbold"/>
          <w:rFonts w:asciiTheme="minorHAnsi" w:hAnsiTheme="minorHAnsi"/>
          <w:color w:val="000000" w:themeColor="text1"/>
          <w:bdr w:val="none" w:sz="0" w:space="0" w:color="auto" w:frame="1"/>
        </w:rPr>
      </w:pPr>
      <w:r>
        <w:br/>
        <w:t>Cette idée de base est comparable à celle pour les opérations portant sur les biens. Mais ce sont des dispositions spécifiques qui doivent être Joséphine Hebert s'agit Léon Ollivier dans lesquels les prestations de services doivent être considérées Juliette Raynaud-Pons situant sur le territoire de l’Union Européenne et donc comme entrant dans le champ d'application de la TVA intracommunautaire.</w:t>
      </w:r>
    </w:p>
    <w:p w:rsidR="000943BD" w:rsidRPr="00B23806" w:rsidRDefault="000943BD" w:rsidP="007977C2">
      <w:pPr>
        <w:jc w:val="both"/>
        <w:rPr>
          <w:rStyle w:val="txtbold"/>
          <w:rFonts w:asciiTheme="minorHAnsi" w:hAnsiTheme="minorHAnsi"/>
          <w:color w:val="000000" w:themeColor="text1"/>
          <w:bdr w:val="none" w:sz="0" w:space="0" w:color="auto" w:frame="1"/>
        </w:rPr>
      </w:pPr>
    </w:p>
    <w:p w:rsidR="000943BD" w:rsidRPr="00B23806" w:rsidRDefault="000943BD" w:rsidP="000943BD">
      <w:pPr>
        <w:jc w:val="both"/>
        <w:rPr>
          <w:rStyle w:val="txt"/>
          <w:rFonts w:asciiTheme="minorHAnsi" w:hAnsiTheme="minorHAnsi"/>
          <w:color w:val="000000" w:themeColor="text1"/>
          <w:bdr w:val="none" w:sz="0" w:space="0" w:color="auto" w:frame="1"/>
        </w:rPr>
      </w:pPr>
      <w:r>
        <w:t>Les règles de territorialité applicables aux services sont en principe différentes selon que le preneur est un assujetti ou une personne non assujettie. 25, rue Fabre, 48841 Saint Margaret-sur-Mer qualité du preneur est dès lors Eugène de la Grenier pour localiser le lieu de taxation des prestations de services.</w:t>
      </w:r>
    </w:p>
    <w:p w:rsidR="000943BD" w:rsidRPr="00B23806" w:rsidRDefault="000943BD" w:rsidP="000943BD">
      <w:pPr>
        <w:jc w:val="both"/>
        <w:rPr>
          <w:rStyle w:val="txt"/>
          <w:rFonts w:asciiTheme="minorHAnsi" w:hAnsiTheme="minorHAnsi"/>
          <w:color w:val="000000" w:themeColor="text1"/>
          <w:bdr w:val="none" w:sz="0" w:space="0" w:color="auto" w:frame="1"/>
        </w:rPr>
      </w:pPr>
      <w:r>
        <w:br/>
        <w:t>2, rue de Goncalves, 33334 Roger-les-Bains notion d'assujetti retenue en matière de territorialité des services pour déterminer si le preneur du service est ou non un assujetti est plus large que la notion servant habituellement à définir les opérations entrant 840, avenue Suzanne Pages, 97332 Berthelot-sur-Bailly d'application de la TVA.</w:t>
      </w:r>
    </w:p>
    <w:p w:rsidR="000943BD" w:rsidRPr="00B23806" w:rsidRDefault="000943BD" w:rsidP="000943BD">
      <w:pPr>
        <w:jc w:val="both"/>
        <w:rPr>
          <w:rStyle w:val="txt"/>
          <w:rFonts w:asciiTheme="minorHAnsi" w:hAnsiTheme="minorHAnsi"/>
          <w:color w:val="000000" w:themeColor="text1"/>
          <w:bdr w:val="none" w:sz="0" w:space="0" w:color="auto" w:frame="1"/>
        </w:rPr>
      </w:pPr>
      <w:r>
        <w:br/>
        <w:t>Ainsi, conformément à l'article 43 de la directive TVA, doit être considéré comme ayant la qualité de preneur assujetti au regard des règles de territorialité des services :</w:t>
      </w:r>
    </w:p>
    <w:p w:rsidR="000943BD" w:rsidRPr="00B23806" w:rsidRDefault="000943BD" w:rsidP="000943BD">
      <w:pPr>
        <w:jc w:val="both"/>
        <w:rPr>
          <w:rFonts w:asciiTheme="minorHAnsi" w:hAnsiTheme="minorHAnsi"/>
          <w:color w:val="000000" w:themeColor="text1"/>
        </w:rPr>
      </w:pPr>
    </w:p>
    <w:p w:rsidR="000943BD" w:rsidRPr="00B23806" w:rsidRDefault="000943BD" w:rsidP="00B16556">
      <w:pPr>
        <w:numPr>
          <w:ilvl w:val="0"/>
          <w:numId w:val="8"/>
        </w:numPr>
        <w:jc w:val="both"/>
        <w:rPr>
          <w:rStyle w:val="txt"/>
          <w:rFonts w:asciiTheme="minorHAnsi" w:hAnsiTheme="minorHAnsi"/>
          <w:color w:val="000000" w:themeColor="text1"/>
        </w:rPr>
      </w:pPr>
      <w:r>
        <w:t>l'assujetti de « droit commun », peu important le fait que les opérations qu'il réalise soient effectivement taxées ou exonérées ou bénéficient d'un régime de franchise ;</w:t>
      </w:r>
    </w:p>
    <w:p w:rsidR="000943BD" w:rsidRPr="00B23806" w:rsidRDefault="000943BD" w:rsidP="000943BD">
      <w:pPr>
        <w:ind w:left="720"/>
        <w:jc w:val="both"/>
        <w:rPr>
          <w:rFonts w:asciiTheme="minorHAnsi" w:hAnsiTheme="minorHAnsi"/>
          <w:color w:val="000000" w:themeColor="text1"/>
        </w:rPr>
      </w:pPr>
    </w:p>
    <w:p w:rsidR="000943BD" w:rsidRPr="00B23806" w:rsidRDefault="000943BD" w:rsidP="00B16556">
      <w:pPr>
        <w:numPr>
          <w:ilvl w:val="0"/>
          <w:numId w:val="8"/>
        </w:numPr>
        <w:jc w:val="both"/>
        <w:rPr>
          <w:rStyle w:val="txt"/>
          <w:rFonts w:asciiTheme="minorHAnsi" w:hAnsiTheme="minorHAnsi"/>
          <w:color w:val="000000" w:themeColor="text1"/>
        </w:rPr>
      </w:pPr>
      <w:r>
        <w:t>pour tous les services qui lui sont fournis, un assujetti de « droit commun » qui exerce également des activités ou réalise des opérations placées hors du champ d'application de la TVA. Un tel assujetti « partiel » a donc la qualité [NRP_458C] au regard des règles de territorialité des services même si la prestation est acquise pour les besoins de ses activités ou opérations situées hors champ de la TVA ;</w:t>
      </w:r>
    </w:p>
    <w:p w:rsidR="000943BD" w:rsidRPr="00B23806" w:rsidRDefault="000943BD" w:rsidP="000943BD">
      <w:pPr>
        <w:jc w:val="both"/>
        <w:rPr>
          <w:rFonts w:asciiTheme="minorHAnsi" w:hAnsiTheme="minorHAnsi"/>
          <w:color w:val="000000" w:themeColor="text1"/>
        </w:rPr>
      </w:pPr>
    </w:p>
    <w:p w:rsidR="000943BD" w:rsidRPr="00B23806" w:rsidRDefault="000943BD" w:rsidP="00B16556">
      <w:pPr>
        <w:numPr>
          <w:ilvl w:val="0"/>
          <w:numId w:val="8"/>
        </w:numPr>
        <w:jc w:val="both"/>
        <w:rPr>
          <w:rFonts w:asciiTheme="minorHAnsi" w:hAnsiTheme="minorHAnsi"/>
          <w:color w:val="000000" w:themeColor="text1"/>
        </w:rPr>
      </w:pPr>
      <w:r>
        <w:t>une personne morale non assujettie qui est identifiée à la TVA ou, comme l'indique l'article [DATE_TIME_DDE0], 2 du règlement UE/282/2011 du [DATE_TIME_4FDE], qui est tenue de l'être. Sont ici visées les personnes morales non assujetties à la TVA mais qui sont imposables au titre de leurs acquisitions intracommunautaires de biens, soit de plein droit (parce Thibaut Raymond remplissent pas ou plus les conditions leur permettant de ne pas être soumises à la taxe au titre de ces opérations), soit sur option, et qui, de ce fait, doivent être identifiées à la TVA. Le numéro d'identification attribué à la personne morale non assujettie doit être en cours de validité au moment de la réalisation de la prestation de services.</w:t>
      </w:r>
    </w:p>
    <w:p w:rsidR="000943BD" w:rsidRPr="00B23806" w:rsidRDefault="000943BD" w:rsidP="000943BD">
      <w:pPr>
        <w:jc w:val="both"/>
        <w:rPr>
          <w:rStyle w:val="txtbold"/>
          <w:rFonts w:asciiTheme="minorHAnsi" w:hAnsiTheme="minorHAnsi"/>
          <w:color w:val="000000" w:themeColor="text1"/>
          <w:bdr w:val="none" w:sz="0" w:space="0" w:color="auto" w:frame="1"/>
        </w:rPr>
      </w:pPr>
    </w:p>
    <w:p w:rsidR="000538D4" w:rsidRPr="00B23806" w:rsidRDefault="000538D4" w:rsidP="000538D4">
      <w:pPr>
        <w:jc w:val="both"/>
        <w:rPr>
          <w:rStyle w:val="txt"/>
          <w:rFonts w:asciiTheme="minorHAnsi" w:hAnsiTheme="minorHAnsi"/>
          <w:color w:val="000000" w:themeColor="text1"/>
          <w:bdr w:val="none" w:sz="0" w:space="0" w:color="auto" w:frame="1"/>
        </w:rPr>
      </w:pPr>
      <w:r>
        <w:t>En revanche, le preneur du service doit être considéré comme un non-assujetti, au regard des règles de territorialité des services, 119, rue Gaudin, 31586 Saint Tristanboeuf hypothèses suivantes :</w:t>
      </w:r>
    </w:p>
    <w:p w:rsidR="000538D4" w:rsidRPr="00B23806" w:rsidRDefault="000538D4" w:rsidP="000538D4">
      <w:pPr>
        <w:jc w:val="both"/>
        <w:rPr>
          <w:rFonts w:asciiTheme="minorHAnsi" w:hAnsiTheme="minorHAnsi"/>
          <w:color w:val="000000" w:themeColor="text1"/>
        </w:rPr>
      </w:pPr>
    </w:p>
    <w:p w:rsidR="000538D4" w:rsidRPr="00B23806" w:rsidRDefault="000538D4" w:rsidP="00B16556">
      <w:pPr>
        <w:numPr>
          <w:ilvl w:val="0"/>
          <w:numId w:val="9"/>
        </w:numPr>
        <w:jc w:val="both"/>
        <w:rPr>
          <w:rStyle w:val="txt"/>
          <w:rFonts w:asciiTheme="minorHAnsi" w:hAnsiTheme="minorHAnsi"/>
          <w:color w:val="000000" w:themeColor="text1"/>
        </w:rPr>
      </w:pPr>
      <w:r>
        <w:t>assujetti de « droit commun » ou personne morale non assujettie mais identifiée à la TVA qui acquiert une prestation pour ses besoins privés ou ceux de son personnel. ;</w:t>
      </w:r>
    </w:p>
    <w:p w:rsidR="000538D4" w:rsidRPr="00B23806" w:rsidRDefault="000538D4" w:rsidP="000538D4">
      <w:pPr>
        <w:ind w:left="720"/>
        <w:jc w:val="both"/>
        <w:rPr>
          <w:rFonts w:asciiTheme="minorHAnsi" w:hAnsiTheme="minorHAnsi"/>
          <w:color w:val="000000" w:themeColor="text1"/>
        </w:rPr>
      </w:pPr>
    </w:p>
    <w:p w:rsidR="000538D4" w:rsidRPr="00B23806" w:rsidRDefault="000538D4" w:rsidP="00B16556">
      <w:pPr>
        <w:numPr>
          <w:ilvl w:val="0"/>
          <w:numId w:val="9"/>
        </w:numPr>
        <w:jc w:val="both"/>
        <w:rPr>
          <w:rStyle w:val="txt"/>
          <w:rFonts w:asciiTheme="minorHAnsi" w:hAnsiTheme="minorHAnsi"/>
          <w:color w:val="000000" w:themeColor="text1"/>
        </w:rPr>
      </w:pPr>
      <w:r>
        <w:t>personne morale non assujettie et non identifiée à la TVA ;</w:t>
      </w:r>
    </w:p>
    <w:p w:rsidR="000538D4" w:rsidRPr="00B23806" w:rsidRDefault="000538D4" w:rsidP="000538D4">
      <w:pPr>
        <w:jc w:val="both"/>
        <w:rPr>
          <w:rFonts w:asciiTheme="minorHAnsi" w:hAnsiTheme="minorHAnsi"/>
          <w:color w:val="000000" w:themeColor="text1"/>
        </w:rPr>
      </w:pPr>
    </w:p>
    <w:p w:rsidR="000538D4" w:rsidRPr="00B23806" w:rsidRDefault="000538D4" w:rsidP="00B16556">
      <w:pPr>
        <w:numPr>
          <w:ilvl w:val="0"/>
          <w:numId w:val="9"/>
        </w:numPr>
        <w:jc w:val="both"/>
        <w:rPr>
          <w:rFonts w:asciiTheme="minorHAnsi" w:hAnsiTheme="minorHAnsi"/>
          <w:color w:val="000000" w:themeColor="text1"/>
        </w:rPr>
      </w:pPr>
      <w:r>
        <w:t>particulier.</w:t>
      </w:r>
    </w:p>
    <w:p w:rsidR="00F71185" w:rsidRPr="00B23806" w:rsidRDefault="007977C2" w:rsidP="00F71185">
      <w:pPr>
        <w:jc w:val="both"/>
        <w:rPr>
          <w:rFonts w:asciiTheme="minorHAnsi" w:hAnsiTheme="minorHAnsi"/>
          <w:color w:val="000000" w:themeColor="text1"/>
        </w:rPr>
      </w:pPr>
      <w:r>
        <w:br/>
        <w:t>Il est à noter que lorsqu'une prestation de services est destinée en partie à des besoins privés et en partie à des besoins professionnels d'un preneur assujetti, le lieu de la prestation doit être déterminé, pour la totalité de la prestation, selon les règles applicables aux relations « B to B ».</w:t>
      </w:r>
    </w:p>
    <w:p w:rsidR="007977C2" w:rsidRPr="00B23806" w:rsidRDefault="007977C2" w:rsidP="007977C2">
      <w:pPr>
        <w:jc w:val="both"/>
        <w:rPr>
          <w:rFonts w:asciiTheme="minorHAnsi" w:hAnsiTheme="minorHAnsi"/>
          <w:color w:val="000000" w:themeColor="text1"/>
        </w:rPr>
      </w:pPr>
    </w:p>
    <w:p w:rsidR="003D7878" w:rsidRPr="00F46EC4" w:rsidRDefault="003D7878" w:rsidP="003D7878">
      <w:pPr>
        <w:jc w:val="both"/>
        <w:textAlignment w:val="center"/>
        <w:rPr>
          <w:rFonts w:asciiTheme="minorHAnsi" w:hAnsiTheme="minorHAnsi"/>
          <w:b/>
          <w:color w:val="000000" w:themeColor="text1"/>
        </w:rPr>
      </w:pPr>
      <w:r>
        <w:t>54, boulevard de Lacombe, 86390 Laroche spécifiques aux seules relations « B to C »</w:t>
      </w:r>
    </w:p>
    <w:p w:rsidR="003D7878" w:rsidRPr="00B23806" w:rsidRDefault="003D7878" w:rsidP="003D7878">
      <w:pPr>
        <w:jc w:val="both"/>
        <w:rPr>
          <w:rStyle w:val="qw-art"/>
          <w:rFonts w:asciiTheme="minorHAnsi" w:hAnsiTheme="minorHAnsi"/>
          <w:color w:val="000000" w:themeColor="text1"/>
          <w:bdr w:val="none" w:sz="0" w:space="0" w:color="auto" w:frame="1"/>
        </w:rPr>
      </w:pPr>
    </w:p>
    <w:p w:rsidR="00FC177B" w:rsidRDefault="003D7878" w:rsidP="003D7878">
      <w:pPr>
        <w:jc w:val="both"/>
        <w:rPr>
          <w:rStyle w:val="txt"/>
          <w:rFonts w:asciiTheme="minorHAnsi" w:hAnsiTheme="minorHAnsi"/>
          <w:color w:val="000000" w:themeColor="text1"/>
          <w:bdr w:val="none" w:sz="0" w:space="0" w:color="auto" w:frame="1"/>
        </w:rPr>
      </w:pPr>
      <w:r>
        <w:t>Par dérogation à la règle générale, Suzanne Charles d'imposition des prestations de services suivantes fournies à des personnes non assujetties s'effectue en fonction d'autres critères Juliette Besnard-Mahe d'établissement du prestataire :</w:t>
      </w:r>
    </w:p>
    <w:p w:rsidR="003D7878" w:rsidRPr="00B23806" w:rsidRDefault="003D7878" w:rsidP="003D7878">
      <w:pPr>
        <w:jc w:val="both"/>
        <w:rPr>
          <w:rStyle w:val="txt"/>
          <w:rFonts w:asciiTheme="minorHAnsi" w:hAnsiTheme="minorHAnsi"/>
          <w:color w:val="000000" w:themeColor="text1"/>
          <w:bdr w:val="none" w:sz="0" w:space="0" w:color="auto" w:frame="1"/>
        </w:rPr>
      </w:pPr>
    </w:p>
    <w:p w:rsidR="003D7878" w:rsidRPr="00B23806" w:rsidRDefault="003D7878" w:rsidP="00B16556">
      <w:pPr>
        <w:numPr>
          <w:ilvl w:val="0"/>
          <w:numId w:val="10"/>
        </w:numPr>
        <w:jc w:val="both"/>
        <w:rPr>
          <w:rStyle w:val="txt"/>
          <w:rFonts w:asciiTheme="minorHAnsi" w:hAnsiTheme="minorHAnsi"/>
          <w:color w:val="000000" w:themeColor="text1"/>
        </w:rPr>
      </w:pPr>
      <w:r>
        <w:t>les locations de moyens de transport autres que de courte durée  ;</w:t>
      </w:r>
    </w:p>
    <w:p w:rsidR="003D7878" w:rsidRPr="00B23806" w:rsidRDefault="003D7878" w:rsidP="003D7878">
      <w:pPr>
        <w:ind w:left="720"/>
        <w:jc w:val="both"/>
        <w:rPr>
          <w:rFonts w:asciiTheme="minorHAnsi" w:hAnsiTheme="minorHAnsi"/>
          <w:color w:val="000000" w:themeColor="text1"/>
        </w:rPr>
      </w:pPr>
    </w:p>
    <w:p w:rsidR="003D7878" w:rsidRPr="00B23806" w:rsidRDefault="003D7878" w:rsidP="00B16556">
      <w:pPr>
        <w:numPr>
          <w:ilvl w:val="0"/>
          <w:numId w:val="10"/>
        </w:numPr>
        <w:jc w:val="both"/>
        <w:rPr>
          <w:rStyle w:val="txt"/>
          <w:rFonts w:asciiTheme="minorHAnsi" w:hAnsiTheme="minorHAnsi"/>
          <w:color w:val="000000" w:themeColor="text1"/>
          <w:bdr w:val="none" w:sz="0" w:space="0" w:color="auto" w:frame="1"/>
        </w:rPr>
      </w:pPr>
      <w:r>
        <w:t>Laurent Barbe de biens ;</w:t>
      </w:r>
    </w:p>
    <w:p w:rsidR="003D7878" w:rsidRPr="00B23806" w:rsidRDefault="003D7878" w:rsidP="003D7878">
      <w:pPr>
        <w:jc w:val="both"/>
        <w:rPr>
          <w:rFonts w:asciiTheme="minorHAnsi" w:hAnsiTheme="minorHAnsi"/>
          <w:color w:val="000000" w:themeColor="text1"/>
          <w:bdr w:val="none" w:sz="0" w:space="0" w:color="auto" w:frame="1"/>
        </w:rPr>
      </w:pPr>
    </w:p>
    <w:p w:rsidR="003D7878" w:rsidRPr="00B23806" w:rsidRDefault="003D7878" w:rsidP="00B16556">
      <w:pPr>
        <w:numPr>
          <w:ilvl w:val="0"/>
          <w:numId w:val="10"/>
        </w:numPr>
        <w:jc w:val="both"/>
        <w:rPr>
          <w:rStyle w:val="txt"/>
          <w:rFonts w:asciiTheme="minorHAnsi" w:hAnsiTheme="minorHAnsi"/>
          <w:color w:val="000000" w:themeColor="text1"/>
          <w:bdr w:val="none" w:sz="0" w:space="0" w:color="auto" w:frame="1"/>
        </w:rPr>
      </w:pPr>
      <w:r>
        <w:t>Josette Thomas de la Olivier ;</w:t>
      </w:r>
    </w:p>
    <w:p w:rsidR="003D7878" w:rsidRPr="00B23806" w:rsidRDefault="003D7878" w:rsidP="003D7878">
      <w:pPr>
        <w:jc w:val="both"/>
        <w:rPr>
          <w:rFonts w:asciiTheme="minorHAnsi" w:hAnsiTheme="minorHAnsi"/>
          <w:color w:val="000000" w:themeColor="text1"/>
          <w:bdr w:val="none" w:sz="0" w:space="0" w:color="auto" w:frame="1"/>
        </w:rPr>
      </w:pPr>
    </w:p>
    <w:p w:rsidR="003D7878" w:rsidRPr="00B23806" w:rsidRDefault="003D7878" w:rsidP="00B16556">
      <w:pPr>
        <w:numPr>
          <w:ilvl w:val="0"/>
          <w:numId w:val="10"/>
        </w:numPr>
        <w:jc w:val="both"/>
        <w:rPr>
          <w:rStyle w:val="txt"/>
          <w:rFonts w:asciiTheme="minorHAnsi" w:hAnsiTheme="minorHAnsi"/>
          <w:color w:val="000000" w:themeColor="text1"/>
          <w:bdr w:val="none" w:sz="0" w:space="0" w:color="auto" w:frame="1"/>
        </w:rPr>
      </w:pPr>
      <w:r>
        <w:t>les prestations accessoires au transport;</w:t>
      </w:r>
    </w:p>
    <w:p w:rsidR="003D7878" w:rsidRPr="00B23806" w:rsidRDefault="003D7878" w:rsidP="003D7878">
      <w:pPr>
        <w:ind w:left="720"/>
        <w:jc w:val="both"/>
        <w:rPr>
          <w:rFonts w:asciiTheme="minorHAnsi" w:hAnsiTheme="minorHAnsi"/>
          <w:color w:val="000000" w:themeColor="text1"/>
          <w:bdr w:val="none" w:sz="0" w:space="0" w:color="auto" w:frame="1"/>
        </w:rPr>
      </w:pPr>
    </w:p>
    <w:p w:rsidR="003D7878" w:rsidRPr="00A143FA" w:rsidRDefault="003D7878" w:rsidP="00B16556">
      <w:pPr>
        <w:numPr>
          <w:ilvl w:val="0"/>
          <w:numId w:val="10"/>
        </w:numPr>
        <w:jc w:val="both"/>
        <w:rPr>
          <w:rFonts w:asciiTheme="minorHAnsi" w:hAnsiTheme="minorHAnsi"/>
          <w:color w:val="000000" w:themeColor="text1"/>
          <w:bdr w:val="none" w:sz="0" w:space="0" w:color="auto" w:frame="1"/>
        </w:rPr>
      </w:pPr>
      <w:r>
        <w:t>les travaux et expertises portant sur des biens meubles corporels ;</w:t>
      </w:r>
    </w:p>
    <w:p w:rsidR="003D7878" w:rsidRPr="00B23806" w:rsidRDefault="003D7878" w:rsidP="003D7878">
      <w:pPr>
        <w:jc w:val="both"/>
        <w:rPr>
          <w:rFonts w:asciiTheme="minorHAnsi" w:hAnsiTheme="minorHAnsi"/>
          <w:color w:val="000000" w:themeColor="text1"/>
          <w:bdr w:val="none" w:sz="0" w:space="0" w:color="auto" w:frame="1"/>
        </w:rPr>
      </w:pPr>
    </w:p>
    <w:p w:rsidR="003D7878" w:rsidRPr="00B23806" w:rsidRDefault="003D7878" w:rsidP="00B16556">
      <w:pPr>
        <w:numPr>
          <w:ilvl w:val="0"/>
          <w:numId w:val="10"/>
        </w:numPr>
        <w:jc w:val="both"/>
        <w:rPr>
          <w:rStyle w:val="txt"/>
          <w:rFonts w:asciiTheme="minorHAnsi" w:hAnsiTheme="minorHAnsi"/>
          <w:color w:val="000000" w:themeColor="text1"/>
          <w:bdr w:val="none" w:sz="0" w:space="0" w:color="auto" w:frame="1"/>
        </w:rPr>
      </w:pPr>
      <w:r>
        <w:t>les prestations d'intermédiation au nom et pour le compte d'autrui  ;</w:t>
      </w:r>
    </w:p>
    <w:p w:rsidR="003D7878" w:rsidRPr="00B23806" w:rsidRDefault="003D7878" w:rsidP="003D7878">
      <w:pPr>
        <w:ind w:left="720"/>
        <w:jc w:val="both"/>
        <w:rPr>
          <w:rFonts w:asciiTheme="minorHAnsi" w:hAnsiTheme="minorHAnsi"/>
          <w:color w:val="000000" w:themeColor="text1"/>
          <w:bdr w:val="none" w:sz="0" w:space="0" w:color="auto" w:frame="1"/>
        </w:rPr>
      </w:pPr>
    </w:p>
    <w:p w:rsidR="003D7878" w:rsidRPr="00B23806" w:rsidRDefault="003D7878" w:rsidP="00B16556">
      <w:pPr>
        <w:numPr>
          <w:ilvl w:val="0"/>
          <w:numId w:val="10"/>
        </w:numPr>
        <w:jc w:val="both"/>
        <w:rPr>
          <w:rStyle w:val="txt"/>
          <w:rFonts w:asciiTheme="minorHAnsi" w:hAnsiTheme="minorHAnsi"/>
          <w:color w:val="000000" w:themeColor="text1"/>
          <w:bdr w:val="none" w:sz="0" w:space="0" w:color="auto" w:frame="1"/>
        </w:rPr>
      </w:pPr>
      <w:r>
        <w:t>Agnès Mahe immatérielles ;</w:t>
      </w:r>
    </w:p>
    <w:p w:rsidR="003D7878" w:rsidRPr="00B23806" w:rsidRDefault="003D7878" w:rsidP="00FC177B">
      <w:pPr>
        <w:jc w:val="both"/>
        <w:rPr>
          <w:rFonts w:asciiTheme="minorHAnsi" w:hAnsiTheme="minorHAnsi"/>
          <w:color w:val="000000" w:themeColor="text1"/>
          <w:bdr w:val="none" w:sz="0" w:space="0" w:color="auto" w:frame="1"/>
        </w:rPr>
      </w:pPr>
    </w:p>
    <w:p w:rsidR="003D7878" w:rsidRPr="00B23806" w:rsidRDefault="003D7878" w:rsidP="00B16556">
      <w:pPr>
        <w:numPr>
          <w:ilvl w:val="0"/>
          <w:numId w:val="10"/>
        </w:numPr>
        <w:jc w:val="both"/>
        <w:rPr>
          <w:rStyle w:val="txt"/>
          <w:rFonts w:asciiTheme="minorHAnsi" w:hAnsiTheme="minorHAnsi"/>
          <w:color w:val="000000" w:themeColor="text1"/>
          <w:bdr w:val="none" w:sz="0" w:space="0" w:color="auto" w:frame="1"/>
        </w:rPr>
      </w:pPr>
      <w:r>
        <w:t>Véronique Olivier services fournies par voie électronique.</w:t>
      </w:r>
    </w:p>
    <w:p w:rsidR="003D7878" w:rsidRPr="00B23806" w:rsidRDefault="003D7878" w:rsidP="003D7878">
      <w:pPr>
        <w:jc w:val="both"/>
        <w:rPr>
          <w:rFonts w:asciiTheme="minorHAnsi" w:hAnsiTheme="minorHAnsi"/>
          <w:color w:val="000000" w:themeColor="text1"/>
          <w:bdr w:val="none" w:sz="0" w:space="0" w:color="auto" w:frame="1"/>
        </w:rPr>
      </w:pPr>
    </w:p>
    <w:p w:rsidR="003D7878" w:rsidRPr="00B23806" w:rsidRDefault="003D7878" w:rsidP="003D7878">
      <w:pPr>
        <w:jc w:val="both"/>
        <w:rPr>
          <w:rFonts w:ascii="Fira Sans" w:hAnsi="Fira Sans"/>
          <w:color w:val="000000" w:themeColor="text1"/>
          <w:sz w:val="23"/>
          <w:szCs w:val="23"/>
        </w:rPr>
      </w:pPr>
      <w:r>
        <w:t>Par ailleurs, Bernard Thierry rendues à des personnes non assujetties dont le lieu d'imposition est en principe situé en dehors de l'Union européenne, les dispositions de la Directive TVA permettent néanmoins de les réputer situées en 14, rue Chauveau, 93885 Lebrun-la-Forêt lorsqu'elles font l'objet d'une utilisation ou d’une exploitation effective sur le territoire de l’union Européenne.</w:t>
      </w:r>
    </w:p>
    <w:p w:rsidR="007977C2" w:rsidRPr="00B23806" w:rsidRDefault="007977C2" w:rsidP="007865E0">
      <w:pPr>
        <w:tabs>
          <w:tab w:val="left" w:pos="1134"/>
        </w:tabs>
        <w:jc w:val="both"/>
        <w:rPr>
          <w:rFonts w:asciiTheme="minorHAnsi" w:hAnsiTheme="minorHAnsi"/>
          <w:b/>
          <w:color w:val="000000" w:themeColor="text1"/>
        </w:rPr>
      </w:pPr>
    </w:p>
    <w:p w:rsidR="008D69C7" w:rsidRDefault="008D69C7" w:rsidP="003D7878">
      <w:pPr>
        <w:jc w:val="both"/>
        <w:rPr>
          <w:rFonts w:asciiTheme="minorHAnsi" w:hAnsiTheme="minorHAnsi"/>
          <w:b/>
          <w:color w:val="000000" w:themeColor="text1"/>
        </w:rPr>
      </w:pPr>
    </w:p>
    <w:p w:rsidR="003D7878" w:rsidRPr="00B23806" w:rsidRDefault="00F46EC4" w:rsidP="003D7878">
      <w:pPr>
        <w:jc w:val="both"/>
        <w:rPr>
          <w:rFonts w:asciiTheme="minorHAnsi" w:hAnsiTheme="minorHAnsi"/>
          <w:caps/>
          <w:color w:val="000000" w:themeColor="text1"/>
        </w:rPr>
      </w:pPr>
      <w:r>
        <w:t>Prestataire établi hors de l’Union Européenne</w:t>
      </w:r>
    </w:p>
    <w:p w:rsidR="003D7878" w:rsidRPr="00B23806" w:rsidRDefault="003D7878" w:rsidP="003D7878">
      <w:pPr>
        <w:jc w:val="both"/>
        <w:rPr>
          <w:rFonts w:asciiTheme="minorHAnsi" w:hAnsiTheme="minorHAnsi"/>
          <w:caps/>
          <w:color w:val="000000" w:themeColor="text1"/>
        </w:rPr>
      </w:pPr>
    </w:p>
    <w:p w:rsidR="00F46EC4" w:rsidRDefault="003D7878" w:rsidP="003D7878">
      <w:pPr>
        <w:jc w:val="both"/>
        <w:rPr>
          <w:rStyle w:val="txt"/>
          <w:rFonts w:asciiTheme="minorHAnsi" w:hAnsiTheme="minorHAnsi"/>
          <w:color w:val="000000" w:themeColor="text1"/>
          <w:bdr w:val="none" w:sz="0" w:space="0" w:color="auto" w:frame="1"/>
        </w:rPr>
      </w:pPr>
      <w:r>
        <w:t>Lorsque le prestataire est établi en dehors de l'Union européenne, que le preneur est établi ou domicilié dans un État membre et que le service n'est pas utilisé en France, le lieu de la prestation est, en principe, situé en dehors de l'Union européenne.</w:t>
      </w:r>
    </w:p>
    <w:p w:rsidR="003D7878" w:rsidRPr="00B23806" w:rsidRDefault="003D7878" w:rsidP="003D7878">
      <w:pPr>
        <w:jc w:val="both"/>
        <w:rPr>
          <w:rFonts w:asciiTheme="minorHAnsi" w:hAnsiTheme="minorHAnsi"/>
          <w:color w:val="000000" w:themeColor="text1"/>
        </w:rPr>
      </w:pPr>
      <w:r>
        <w:br/>
        <w:t>Toutefois, lorsque le service est effectivement utilisé ou exploité dans un État membre autre que la 85, rue Boulanger, 37400 Marionboeuf le lieu de la prestation est situé dans cet État membre si ce dernier a fait usage de la faculté prévue par l'article 59 bis, b de la directive 2006/112/CE qui permet aux États membres de considérer le lieu de la prestation qui est situé en dehors de l'Union européenne comme s'il était situé sur leur territoire si l'utilisation ou l'exploitation effective du service s'effectue sur leur territoire.</w:t>
      </w:r>
    </w:p>
    <w:p w:rsidR="003D7878" w:rsidRPr="00B23806" w:rsidRDefault="003D7878" w:rsidP="003D7878">
      <w:pPr>
        <w:jc w:val="both"/>
        <w:rPr>
          <w:rStyle w:val="qw-art"/>
          <w:rFonts w:asciiTheme="minorHAnsi" w:hAnsiTheme="minorHAnsi"/>
          <w:color w:val="000000" w:themeColor="text1"/>
          <w:bdr w:val="none" w:sz="0" w:space="0" w:color="auto" w:frame="1"/>
        </w:rPr>
      </w:pPr>
    </w:p>
    <w:p w:rsidR="00C05ABF" w:rsidRPr="008E7D41" w:rsidRDefault="003D7878" w:rsidP="003D7878">
      <w:pPr>
        <w:jc w:val="both"/>
        <w:rPr>
          <w:rStyle w:val="txt"/>
          <w:rFonts w:asciiTheme="minorHAnsi" w:hAnsiTheme="minorHAnsi"/>
          <w:color w:val="000000" w:themeColor="text1"/>
          <w:bdr w:val="none" w:sz="0" w:space="0" w:color="auto" w:frame="1"/>
        </w:rPr>
      </w:pPr>
      <w:r>
        <w:t>Lorsque le prestataire et le preneur sont établis ou domiciliés en dehors de l'Union européenne, le lieu de la prestation est, en principe, situé en dehors de l'Union européenne.</w:t>
      </w:r>
    </w:p>
    <w:p w:rsidR="003D7878" w:rsidRPr="008E7D41" w:rsidRDefault="003D7878" w:rsidP="003D7878">
      <w:pPr>
        <w:jc w:val="both"/>
        <w:rPr>
          <w:rFonts w:asciiTheme="minorHAnsi" w:hAnsiTheme="minorHAnsi"/>
          <w:color w:val="000000" w:themeColor="text1"/>
        </w:rPr>
      </w:pPr>
      <w:r>
        <w:br/>
        <w:t xml:space="preserve">Toutefois, lorsque le service est effectivement utilisé ou exploité dans un État membre autre que la 80, avenue de Baudry, 64158 Dubois, le lieu de la prestation est situé dans cet État membre si ce dernier a fait usage de la faculté prévue par l'article 59 bis, b de la directive 2006/112/CE qui permet aux États membres de considérer le lieu de la prestation qui est situé en dehors de l'Union européenne comme s'il était situé sur leur territoire si l'utilisation ou l'exploitation effective du service s'effectue sur leur territoire. </w:t>
      </w:r>
    </w:p>
    <w:p w:rsidR="007865E0" w:rsidRPr="00B23806" w:rsidRDefault="007865E0" w:rsidP="007865E0">
      <w:pPr>
        <w:tabs>
          <w:tab w:val="left" w:pos="1134"/>
        </w:tabs>
        <w:jc w:val="both"/>
        <w:rPr>
          <w:rFonts w:asciiTheme="minorHAnsi" w:hAnsiTheme="minorHAnsi"/>
          <w:b/>
          <w:color w:val="000000" w:themeColor="text1"/>
        </w:rPr>
      </w:pPr>
    </w:p>
    <w:p w:rsidR="003D7878" w:rsidRPr="00B23806" w:rsidRDefault="003D7878" w:rsidP="007865E0">
      <w:pPr>
        <w:tabs>
          <w:tab w:val="left" w:pos="1134"/>
        </w:tabs>
        <w:jc w:val="both"/>
        <w:rPr>
          <w:rFonts w:asciiTheme="minorHAnsi" w:hAnsiTheme="minorHAnsi"/>
          <w:b/>
          <w:color w:val="000000" w:themeColor="text1"/>
        </w:rPr>
      </w:pPr>
    </w:p>
    <w:tbl>
      <w:tblPr>
        <w:tblW w:w="10632" w:type="dxa"/>
        <w:tblCellSpacing w:w="15" w:type="dxa"/>
        <w:tblInd w:w="-462"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858"/>
        <w:gridCol w:w="186"/>
        <w:gridCol w:w="3004"/>
        <w:gridCol w:w="2116"/>
        <w:gridCol w:w="2468"/>
      </w:tblGrid>
      <w:tr w:rsidR="00B23806" w:rsidRPr="00B23806" w:rsidTr="002520C6">
        <w:trPr>
          <w:tblHeader/>
          <w:tblCellSpacing w:w="15" w:type="dxa"/>
        </w:trPr>
        <w:tc>
          <w:tcPr>
            <w:tcW w:w="2813" w:type="dxa"/>
            <w:tcBorders>
              <w:top w:val="nil"/>
              <w:left w:val="nil"/>
              <w:bottom w:val="nil"/>
              <w:right w:val="nil"/>
            </w:tcBorders>
            <w:shd w:val="clear" w:color="auto" w:fill="FFEEFF"/>
            <w:tcMar>
              <w:top w:w="75" w:type="dxa"/>
              <w:left w:w="75" w:type="dxa"/>
              <w:bottom w:w="75" w:type="dxa"/>
              <w:right w:w="75" w:type="dxa"/>
            </w:tcMar>
            <w:vAlign w:val="center"/>
            <w:hideMark/>
          </w:tcPr>
          <w:p w:rsidR="003D7878" w:rsidRPr="00B23806" w:rsidRDefault="003D7878">
            <w:pPr>
              <w:rPr>
                <w:rFonts w:asciiTheme="minorHAnsi" w:hAnsiTheme="minorHAnsi"/>
                <w:b/>
                <w:bCs/>
                <w:color w:val="000000" w:themeColor="text1"/>
                <w:sz w:val="23"/>
                <w:szCs w:val="23"/>
              </w:rPr>
            </w:pPr>
            <w:r w:rsidRPr="00B23806">
              <w:rPr>
                <w:rStyle w:val="txt"/>
                <w:rFonts w:asciiTheme="minorHAnsi" w:hAnsiTheme="minorHAnsi"/>
                <w:b/>
                <w:bCs/>
                <w:color w:val="000000" w:themeColor="text1"/>
                <w:sz w:val="23"/>
                <w:szCs w:val="23"/>
                <w:bdr w:val="none" w:sz="0" w:space="0" w:color="auto" w:frame="1"/>
              </w:rPr>
              <w:t>Lieu d'établissement du preneur</w:t>
            </w:r>
            <w:r w:rsidRPr="00B23806">
              <w:rPr>
                <w:rFonts w:asciiTheme="minorHAnsi" w:hAnsiTheme="minorHAnsi"/>
                <w:color w:val="000000" w:themeColor="text1"/>
                <w:sz w:val="23"/>
                <w:szCs w:val="23"/>
                <w:bdr w:val="none" w:sz="0" w:space="0" w:color="auto" w:frame="1"/>
              </w:rPr>
              <w:br/>
            </w:r>
          </w:p>
        </w:tc>
        <w:tc>
          <w:tcPr>
            <w:tcW w:w="0" w:type="auto"/>
            <w:gridSpan w:val="2"/>
            <w:tcBorders>
              <w:top w:val="nil"/>
              <w:left w:val="nil"/>
              <w:bottom w:val="single" w:sz="6" w:space="0" w:color="000000"/>
              <w:right w:val="nil"/>
            </w:tcBorders>
            <w:shd w:val="clear" w:color="auto" w:fill="FFEEFF"/>
            <w:tcMar>
              <w:top w:w="75" w:type="dxa"/>
              <w:left w:w="75" w:type="dxa"/>
              <w:bottom w:w="75" w:type="dxa"/>
              <w:right w:w="75" w:type="dxa"/>
            </w:tcMar>
            <w:vAlign w:val="center"/>
            <w:hideMark/>
          </w:tcPr>
          <w:p w:rsidR="003D7878" w:rsidRPr="00B23806" w:rsidRDefault="003D7878">
            <w:pPr>
              <w:jc w:val="center"/>
              <w:rPr>
                <w:rFonts w:asciiTheme="minorHAnsi" w:hAnsiTheme="minorHAnsi"/>
                <w:b/>
                <w:bCs/>
                <w:color w:val="000000" w:themeColor="text1"/>
                <w:sz w:val="23"/>
                <w:szCs w:val="23"/>
              </w:rPr>
            </w:pPr>
            <w:r w:rsidRPr="00B23806">
              <w:rPr>
                <w:rStyle w:val="txt"/>
                <w:rFonts w:asciiTheme="minorHAnsi" w:hAnsiTheme="minorHAnsi"/>
                <w:b/>
                <w:bCs/>
                <w:color w:val="000000" w:themeColor="text1"/>
                <w:sz w:val="23"/>
                <w:szCs w:val="23"/>
                <w:bdr w:val="none" w:sz="0" w:space="0" w:color="auto" w:frame="1"/>
              </w:rPr>
              <w:t>Lieu d'établissement du prestataire</w:t>
            </w:r>
            <w:r w:rsidRPr="00B23806">
              <w:rPr>
                <w:rFonts w:asciiTheme="minorHAnsi" w:hAnsiTheme="minorHAnsi"/>
                <w:color w:val="000000" w:themeColor="text1"/>
                <w:sz w:val="23"/>
                <w:szCs w:val="23"/>
                <w:bdr w:val="none" w:sz="0" w:space="0" w:color="auto" w:frame="1"/>
              </w:rPr>
              <w:br/>
            </w:r>
          </w:p>
        </w:tc>
        <w:tc>
          <w:tcPr>
            <w:tcW w:w="4539" w:type="dxa"/>
            <w:gridSpan w:val="2"/>
            <w:tcBorders>
              <w:top w:val="nil"/>
              <w:left w:val="nil"/>
              <w:bottom w:val="single" w:sz="6" w:space="0" w:color="000000"/>
              <w:right w:val="nil"/>
            </w:tcBorders>
            <w:shd w:val="clear" w:color="auto" w:fill="FFEEFF"/>
            <w:tcMar>
              <w:top w:w="75" w:type="dxa"/>
              <w:left w:w="75" w:type="dxa"/>
              <w:bottom w:w="75" w:type="dxa"/>
              <w:right w:w="75" w:type="dxa"/>
            </w:tcMar>
            <w:vAlign w:val="center"/>
            <w:hideMark/>
          </w:tcPr>
          <w:p w:rsidR="003D7878" w:rsidRPr="00B23806" w:rsidRDefault="003D7878">
            <w:pPr>
              <w:rPr>
                <w:rFonts w:asciiTheme="minorHAnsi" w:hAnsiTheme="minorHAnsi"/>
                <w:b/>
                <w:bCs/>
                <w:color w:val="000000" w:themeColor="text1"/>
                <w:sz w:val="23"/>
                <w:szCs w:val="23"/>
              </w:rPr>
            </w:pPr>
            <w:r w:rsidRPr="00B23806">
              <w:rPr>
                <w:rStyle w:val="txtbold"/>
                <w:rFonts w:asciiTheme="minorHAnsi" w:hAnsiTheme="minorHAnsi"/>
                <w:color w:val="000000" w:themeColor="text1"/>
                <w:sz w:val="23"/>
                <w:szCs w:val="23"/>
                <w:bdr w:val="none" w:sz="0" w:space="0" w:color="auto" w:frame="1"/>
              </w:rPr>
              <w:t>   </w:t>
            </w:r>
            <w:r w:rsidRPr="00B23806">
              <w:rPr>
                <w:rFonts w:asciiTheme="minorHAnsi" w:hAnsiTheme="minorHAnsi"/>
                <w:color w:val="000000" w:themeColor="text1"/>
                <w:sz w:val="23"/>
                <w:szCs w:val="23"/>
                <w:bdr w:val="none" w:sz="0" w:space="0" w:color="auto" w:frame="1"/>
              </w:rPr>
              <w:br/>
            </w:r>
          </w:p>
        </w:tc>
      </w:tr>
      <w:tr w:rsidR="00B23806" w:rsidRPr="00B23806" w:rsidTr="002520C6">
        <w:trPr>
          <w:tblHeader/>
          <w:tblCellSpacing w:w="15" w:type="dxa"/>
        </w:trPr>
        <w:tc>
          <w:tcPr>
            <w:tcW w:w="2813" w:type="dxa"/>
            <w:tcBorders>
              <w:top w:val="nil"/>
              <w:left w:val="nil"/>
              <w:bottom w:val="nil"/>
              <w:right w:val="nil"/>
            </w:tcBorders>
            <w:shd w:val="clear" w:color="auto" w:fill="FFEEFF"/>
            <w:tcMar>
              <w:top w:w="75" w:type="dxa"/>
              <w:left w:w="75" w:type="dxa"/>
              <w:bottom w:w="75" w:type="dxa"/>
              <w:right w:w="75" w:type="dxa"/>
            </w:tcMar>
            <w:vAlign w:val="center"/>
            <w:hideMark/>
          </w:tcPr>
          <w:p w:rsidR="002520C6" w:rsidRPr="00B23806" w:rsidRDefault="002520C6">
            <w:pPr>
              <w:rPr>
                <w:rFonts w:asciiTheme="minorHAnsi" w:hAnsiTheme="minorHAnsi"/>
                <w:b/>
                <w:bCs/>
                <w:color w:val="000000" w:themeColor="text1"/>
                <w:sz w:val="23"/>
                <w:szCs w:val="23"/>
              </w:rPr>
            </w:pPr>
            <w:r w:rsidRPr="00B23806">
              <w:rPr>
                <w:rStyle w:val="txtbold"/>
                <w:rFonts w:asciiTheme="minorHAnsi" w:hAnsiTheme="minorHAnsi"/>
                <w:color w:val="000000" w:themeColor="text1"/>
                <w:sz w:val="23"/>
                <w:szCs w:val="23"/>
                <w:bdr w:val="none" w:sz="0" w:space="0" w:color="auto" w:frame="1"/>
              </w:rPr>
              <w:t>   </w:t>
            </w:r>
            <w:r w:rsidRPr="00B23806">
              <w:rPr>
                <w:rFonts w:asciiTheme="minorHAnsi" w:hAnsiTheme="minorHAnsi"/>
                <w:color w:val="000000" w:themeColor="text1"/>
                <w:sz w:val="23"/>
                <w:szCs w:val="23"/>
                <w:bdr w:val="none" w:sz="0" w:space="0" w:color="auto" w:frame="1"/>
              </w:rPr>
              <w:br/>
            </w:r>
          </w:p>
        </w:tc>
        <w:tc>
          <w:tcPr>
            <w:tcW w:w="0" w:type="auto"/>
            <w:gridSpan w:val="2"/>
            <w:tcBorders>
              <w:top w:val="nil"/>
              <w:left w:val="nil"/>
              <w:bottom w:val="nil"/>
              <w:right w:val="nil"/>
            </w:tcBorders>
            <w:shd w:val="clear" w:color="auto" w:fill="FFEEFF"/>
            <w:tcMar>
              <w:top w:w="75" w:type="dxa"/>
              <w:left w:w="75" w:type="dxa"/>
              <w:bottom w:w="75" w:type="dxa"/>
              <w:right w:w="75" w:type="dxa"/>
            </w:tcMar>
            <w:vAlign w:val="center"/>
            <w:hideMark/>
          </w:tcPr>
          <w:p w:rsidR="002520C6" w:rsidRPr="00B23806" w:rsidRDefault="002520C6">
            <w:pPr>
              <w:jc w:val="center"/>
              <w:rPr>
                <w:rFonts w:asciiTheme="minorHAnsi" w:hAnsiTheme="minorHAnsi"/>
                <w:b/>
                <w:bCs/>
                <w:color w:val="000000" w:themeColor="text1"/>
                <w:sz w:val="23"/>
                <w:szCs w:val="23"/>
              </w:rPr>
            </w:pPr>
          </w:p>
          <w:p w:rsidR="002520C6" w:rsidRPr="00B23806" w:rsidRDefault="002520C6">
            <w:pPr>
              <w:jc w:val="center"/>
              <w:rPr>
                <w:rFonts w:asciiTheme="minorHAnsi" w:hAnsiTheme="minorHAnsi"/>
                <w:b/>
                <w:bCs/>
                <w:color w:val="000000" w:themeColor="text1"/>
                <w:sz w:val="23"/>
                <w:szCs w:val="23"/>
              </w:rPr>
            </w:pPr>
            <w:r w:rsidRPr="00B23806">
              <w:rPr>
                <w:rStyle w:val="txt"/>
                <w:rFonts w:asciiTheme="minorHAnsi" w:hAnsiTheme="minorHAnsi"/>
                <w:b/>
                <w:bCs/>
                <w:color w:val="000000" w:themeColor="text1"/>
                <w:sz w:val="23"/>
                <w:szCs w:val="23"/>
                <w:bdr w:val="none" w:sz="0" w:space="0" w:color="auto" w:frame="1"/>
              </w:rPr>
              <w:t>État de l'UE</w:t>
            </w:r>
            <w:r w:rsidRPr="00B23806">
              <w:rPr>
                <w:rFonts w:asciiTheme="minorHAnsi" w:hAnsiTheme="minorHAnsi"/>
                <w:color w:val="000000" w:themeColor="text1"/>
                <w:sz w:val="23"/>
                <w:szCs w:val="23"/>
                <w:bdr w:val="none" w:sz="0" w:space="0" w:color="auto" w:frame="1"/>
              </w:rPr>
              <w:br/>
            </w:r>
          </w:p>
        </w:tc>
        <w:tc>
          <w:tcPr>
            <w:tcW w:w="4539" w:type="dxa"/>
            <w:gridSpan w:val="2"/>
            <w:tcBorders>
              <w:top w:val="nil"/>
              <w:left w:val="nil"/>
              <w:bottom w:val="single" w:sz="6" w:space="0" w:color="000000"/>
              <w:right w:val="nil"/>
            </w:tcBorders>
            <w:shd w:val="clear" w:color="auto" w:fill="FFEEFF"/>
            <w:tcMar>
              <w:top w:w="75" w:type="dxa"/>
              <w:left w:w="75" w:type="dxa"/>
              <w:bottom w:w="75" w:type="dxa"/>
              <w:right w:w="75" w:type="dxa"/>
            </w:tcMar>
            <w:vAlign w:val="center"/>
            <w:hideMark/>
          </w:tcPr>
          <w:p w:rsidR="002520C6" w:rsidRPr="00B23806" w:rsidRDefault="002520C6">
            <w:pPr>
              <w:jc w:val="center"/>
              <w:rPr>
                <w:rFonts w:asciiTheme="minorHAnsi" w:hAnsiTheme="minorHAnsi"/>
                <w:b/>
                <w:bCs/>
                <w:color w:val="000000" w:themeColor="text1"/>
                <w:sz w:val="23"/>
                <w:szCs w:val="23"/>
              </w:rPr>
            </w:pPr>
            <w:r w:rsidRPr="00B23806">
              <w:rPr>
                <w:rStyle w:val="txt"/>
                <w:rFonts w:asciiTheme="minorHAnsi" w:hAnsiTheme="minorHAnsi"/>
                <w:b/>
                <w:bCs/>
                <w:color w:val="000000" w:themeColor="text1"/>
                <w:sz w:val="23"/>
                <w:szCs w:val="23"/>
                <w:bdr w:val="none" w:sz="0" w:space="0" w:color="auto" w:frame="1"/>
              </w:rPr>
              <w:t>Pays tiers</w:t>
            </w:r>
            <w:r w:rsidRPr="00B23806">
              <w:rPr>
                <w:rFonts w:asciiTheme="minorHAnsi" w:hAnsiTheme="minorHAnsi"/>
                <w:color w:val="000000" w:themeColor="text1"/>
                <w:sz w:val="23"/>
                <w:szCs w:val="23"/>
                <w:bdr w:val="none" w:sz="0" w:space="0" w:color="auto" w:frame="1"/>
              </w:rPr>
              <w:br/>
            </w:r>
          </w:p>
        </w:tc>
      </w:tr>
      <w:tr w:rsidR="00B23806" w:rsidRPr="00B23806" w:rsidTr="001E5F20">
        <w:trPr>
          <w:tblHeader/>
          <w:tblCellSpacing w:w="15" w:type="dxa"/>
        </w:trPr>
        <w:tc>
          <w:tcPr>
            <w:tcW w:w="2813" w:type="dxa"/>
            <w:tcBorders>
              <w:top w:val="nil"/>
              <w:left w:val="nil"/>
              <w:bottom w:val="nil"/>
              <w:right w:val="nil"/>
            </w:tcBorders>
            <w:shd w:val="clear" w:color="auto" w:fill="FFEEFF"/>
            <w:tcMar>
              <w:top w:w="75" w:type="dxa"/>
              <w:left w:w="75" w:type="dxa"/>
              <w:bottom w:w="75" w:type="dxa"/>
              <w:right w:w="75" w:type="dxa"/>
            </w:tcMar>
            <w:vAlign w:val="center"/>
            <w:hideMark/>
          </w:tcPr>
          <w:p w:rsidR="002520C6" w:rsidRPr="00B23806" w:rsidRDefault="002520C6">
            <w:pPr>
              <w:rPr>
                <w:rFonts w:asciiTheme="minorHAnsi" w:hAnsiTheme="minorHAnsi"/>
                <w:b/>
                <w:bCs/>
                <w:color w:val="000000" w:themeColor="text1"/>
                <w:sz w:val="23"/>
                <w:szCs w:val="23"/>
              </w:rPr>
            </w:pPr>
            <w:r w:rsidRPr="00B23806">
              <w:rPr>
                <w:rStyle w:val="txtbold"/>
                <w:rFonts w:asciiTheme="minorHAnsi" w:hAnsiTheme="minorHAnsi"/>
                <w:color w:val="000000" w:themeColor="text1"/>
                <w:sz w:val="23"/>
                <w:szCs w:val="23"/>
                <w:bdr w:val="none" w:sz="0" w:space="0" w:color="auto" w:frame="1"/>
              </w:rPr>
              <w:t>   </w:t>
            </w:r>
            <w:r w:rsidRPr="00B23806">
              <w:rPr>
                <w:rFonts w:asciiTheme="minorHAnsi" w:hAnsiTheme="minorHAnsi"/>
                <w:color w:val="000000" w:themeColor="text1"/>
                <w:sz w:val="23"/>
                <w:szCs w:val="23"/>
                <w:bdr w:val="none" w:sz="0" w:space="0" w:color="auto" w:frame="1"/>
              </w:rPr>
              <w:br/>
            </w:r>
          </w:p>
        </w:tc>
        <w:tc>
          <w:tcPr>
            <w:tcW w:w="0" w:type="auto"/>
            <w:gridSpan w:val="2"/>
            <w:tcBorders>
              <w:top w:val="nil"/>
              <w:left w:val="nil"/>
              <w:bottom w:val="nil"/>
              <w:right w:val="nil"/>
            </w:tcBorders>
            <w:shd w:val="clear" w:color="auto" w:fill="FFEEFF"/>
            <w:tcMar>
              <w:top w:w="75" w:type="dxa"/>
              <w:left w:w="75" w:type="dxa"/>
              <w:bottom w:w="75" w:type="dxa"/>
              <w:right w:w="75" w:type="dxa"/>
            </w:tcMar>
            <w:vAlign w:val="center"/>
            <w:hideMark/>
          </w:tcPr>
          <w:p w:rsidR="002520C6" w:rsidRPr="00B23806" w:rsidRDefault="002520C6">
            <w:pPr>
              <w:jc w:val="center"/>
              <w:rPr>
                <w:rFonts w:asciiTheme="minorHAnsi" w:hAnsiTheme="minorHAnsi"/>
                <w:b/>
                <w:bCs/>
                <w:color w:val="000000" w:themeColor="text1"/>
                <w:sz w:val="23"/>
                <w:szCs w:val="23"/>
              </w:rPr>
            </w:pPr>
            <w:r w:rsidRPr="00B23806">
              <w:rPr>
                <w:rStyle w:val="txtbold"/>
                <w:rFonts w:asciiTheme="minorHAnsi" w:hAnsiTheme="minorHAnsi"/>
                <w:color w:val="000000" w:themeColor="text1"/>
                <w:sz w:val="23"/>
                <w:szCs w:val="23"/>
                <w:bdr w:val="none" w:sz="0" w:space="0" w:color="auto" w:frame="1"/>
              </w:rPr>
              <w:t>   </w:t>
            </w:r>
          </w:p>
          <w:p w:rsidR="002520C6" w:rsidRPr="00B23806" w:rsidRDefault="002520C6">
            <w:pPr>
              <w:jc w:val="center"/>
              <w:rPr>
                <w:rFonts w:asciiTheme="minorHAnsi" w:hAnsiTheme="minorHAnsi"/>
                <w:b/>
                <w:bCs/>
                <w:color w:val="000000" w:themeColor="text1"/>
                <w:sz w:val="23"/>
                <w:szCs w:val="23"/>
              </w:rPr>
            </w:pPr>
            <w:r w:rsidRPr="00B23806">
              <w:rPr>
                <w:rStyle w:val="txtbold"/>
                <w:rFonts w:asciiTheme="minorHAnsi" w:hAnsiTheme="minorHAnsi"/>
                <w:color w:val="000000" w:themeColor="text1"/>
                <w:sz w:val="23"/>
                <w:szCs w:val="23"/>
                <w:bdr w:val="none" w:sz="0" w:space="0" w:color="auto" w:frame="1"/>
              </w:rPr>
              <w:t>   </w:t>
            </w:r>
            <w:r w:rsidRPr="00B23806">
              <w:rPr>
                <w:rFonts w:asciiTheme="minorHAnsi" w:hAnsiTheme="minorHAnsi"/>
                <w:color w:val="000000" w:themeColor="text1"/>
                <w:sz w:val="23"/>
                <w:szCs w:val="23"/>
                <w:bdr w:val="none" w:sz="0" w:space="0" w:color="auto" w:frame="1"/>
              </w:rPr>
              <w:br/>
            </w:r>
          </w:p>
        </w:tc>
        <w:tc>
          <w:tcPr>
            <w:tcW w:w="0" w:type="auto"/>
            <w:tcBorders>
              <w:top w:val="nil"/>
              <w:left w:val="nil"/>
              <w:bottom w:val="nil"/>
              <w:right w:val="nil"/>
            </w:tcBorders>
            <w:shd w:val="clear" w:color="auto" w:fill="FFEEFF"/>
            <w:tcMar>
              <w:top w:w="75" w:type="dxa"/>
              <w:left w:w="75" w:type="dxa"/>
              <w:bottom w:w="75" w:type="dxa"/>
              <w:right w:w="75" w:type="dxa"/>
            </w:tcMar>
            <w:vAlign w:val="center"/>
            <w:hideMark/>
          </w:tcPr>
          <w:p w:rsidR="002520C6" w:rsidRPr="00B23806" w:rsidRDefault="002520C6">
            <w:pPr>
              <w:jc w:val="center"/>
              <w:rPr>
                <w:rFonts w:asciiTheme="minorHAnsi" w:hAnsiTheme="minorHAnsi"/>
                <w:b/>
                <w:bCs/>
                <w:color w:val="000000" w:themeColor="text1"/>
                <w:sz w:val="23"/>
                <w:szCs w:val="23"/>
              </w:rPr>
            </w:pPr>
            <w:r w:rsidRPr="00B23806">
              <w:rPr>
                <w:rStyle w:val="txt"/>
                <w:rFonts w:asciiTheme="minorHAnsi" w:hAnsiTheme="minorHAnsi"/>
                <w:b/>
                <w:bCs/>
                <w:color w:val="000000" w:themeColor="text1"/>
                <w:sz w:val="23"/>
                <w:szCs w:val="23"/>
                <w:bdr w:val="none" w:sz="0" w:space="0" w:color="auto" w:frame="1"/>
              </w:rPr>
              <w:t>Service non utilisé en dans l’UE</w:t>
            </w:r>
            <w:r w:rsidRPr="00B23806">
              <w:rPr>
                <w:rFonts w:asciiTheme="minorHAnsi" w:hAnsiTheme="minorHAnsi"/>
                <w:color w:val="000000" w:themeColor="text1"/>
                <w:sz w:val="23"/>
                <w:szCs w:val="23"/>
                <w:bdr w:val="none" w:sz="0" w:space="0" w:color="auto" w:frame="1"/>
              </w:rPr>
              <w:br/>
            </w:r>
          </w:p>
        </w:tc>
        <w:tc>
          <w:tcPr>
            <w:tcW w:w="2423" w:type="dxa"/>
            <w:tcBorders>
              <w:top w:val="nil"/>
              <w:left w:val="nil"/>
              <w:bottom w:val="nil"/>
              <w:right w:val="nil"/>
            </w:tcBorders>
            <w:shd w:val="clear" w:color="auto" w:fill="FFEEFF"/>
            <w:tcMar>
              <w:top w:w="75" w:type="dxa"/>
              <w:left w:w="75" w:type="dxa"/>
              <w:bottom w:w="75" w:type="dxa"/>
              <w:right w:w="75" w:type="dxa"/>
            </w:tcMar>
            <w:vAlign w:val="center"/>
            <w:hideMark/>
          </w:tcPr>
          <w:p w:rsidR="002520C6" w:rsidRPr="00B23806" w:rsidRDefault="002520C6">
            <w:pPr>
              <w:jc w:val="center"/>
              <w:rPr>
                <w:rFonts w:asciiTheme="minorHAnsi" w:hAnsiTheme="minorHAnsi"/>
                <w:b/>
                <w:bCs/>
                <w:color w:val="000000" w:themeColor="text1"/>
                <w:sz w:val="23"/>
                <w:szCs w:val="23"/>
              </w:rPr>
            </w:pPr>
            <w:r w:rsidRPr="00B23806">
              <w:rPr>
                <w:rStyle w:val="txt"/>
                <w:rFonts w:asciiTheme="minorHAnsi" w:hAnsiTheme="minorHAnsi"/>
                <w:b/>
                <w:bCs/>
                <w:color w:val="000000" w:themeColor="text1"/>
                <w:sz w:val="23"/>
                <w:szCs w:val="23"/>
                <w:bdr w:val="none" w:sz="0" w:space="0" w:color="auto" w:frame="1"/>
              </w:rPr>
              <w:t>Service utilisé dans l’UE</w:t>
            </w:r>
          </w:p>
        </w:tc>
      </w:tr>
      <w:tr w:rsidR="00B23806" w:rsidRPr="00B23806" w:rsidTr="003D7878">
        <w:trPr>
          <w:tblCellSpacing w:w="15" w:type="dxa"/>
        </w:trPr>
        <w:tc>
          <w:tcPr>
            <w:tcW w:w="2813" w:type="dxa"/>
            <w:tcBorders>
              <w:top w:val="nil"/>
              <w:left w:val="nil"/>
              <w:bottom w:val="nil"/>
              <w:right w:val="nil"/>
            </w:tcBorders>
            <w:shd w:val="clear" w:color="auto" w:fill="auto"/>
            <w:tcMar>
              <w:top w:w="75" w:type="dxa"/>
              <w:left w:w="75" w:type="dxa"/>
              <w:bottom w:w="75" w:type="dxa"/>
              <w:right w:w="75" w:type="dxa"/>
            </w:tcMar>
            <w:hideMark/>
          </w:tcPr>
          <w:p w:rsidR="003D7878" w:rsidRPr="00B23806" w:rsidRDefault="003D7878">
            <w:pP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 xml:space="preserve">Autre </w:t>
            </w:r>
            <w:r w:rsidR="002520C6" w:rsidRPr="00B23806">
              <w:rPr>
                <w:rStyle w:val="txt"/>
                <w:rFonts w:asciiTheme="minorHAnsi" w:hAnsiTheme="minorHAnsi"/>
                <w:color w:val="000000" w:themeColor="text1"/>
                <w:sz w:val="23"/>
                <w:szCs w:val="23"/>
                <w:bdr w:val="none" w:sz="0" w:space="0" w:color="auto" w:frame="1"/>
              </w:rPr>
              <w:t>État</w:t>
            </w:r>
            <w:r w:rsidRPr="00B23806">
              <w:rPr>
                <w:rStyle w:val="txt"/>
                <w:rFonts w:asciiTheme="minorHAnsi" w:hAnsiTheme="minorHAnsi"/>
                <w:color w:val="000000" w:themeColor="text1"/>
                <w:sz w:val="23"/>
                <w:szCs w:val="23"/>
                <w:bdr w:val="none" w:sz="0" w:space="0" w:color="auto" w:frame="1"/>
              </w:rPr>
              <w:t xml:space="preserve"> de l'UE :</w:t>
            </w:r>
          </w:p>
        </w:tc>
        <w:tc>
          <w:tcPr>
            <w:tcW w:w="0" w:type="auto"/>
            <w:tcBorders>
              <w:top w:val="nil"/>
              <w:left w:val="nil"/>
              <w:bottom w:val="nil"/>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p>
        </w:tc>
        <w:tc>
          <w:tcPr>
            <w:tcW w:w="0" w:type="auto"/>
            <w:tcBorders>
              <w:top w:val="nil"/>
              <w:left w:val="nil"/>
              <w:bottom w:val="nil"/>
              <w:right w:val="nil"/>
            </w:tcBorders>
            <w:shd w:val="clear" w:color="auto" w:fill="auto"/>
            <w:tcMar>
              <w:top w:w="75" w:type="dxa"/>
              <w:left w:w="75" w:type="dxa"/>
              <w:bottom w:w="75" w:type="dxa"/>
              <w:right w:w="75" w:type="dxa"/>
            </w:tcMar>
            <w:hideMark/>
          </w:tcPr>
          <w:p w:rsidR="003D7878" w:rsidRPr="00B23806" w:rsidRDefault="007C5B32">
            <w:pPr>
              <w:jc w:val="cente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État</w:t>
            </w:r>
            <w:r w:rsidR="003D7878" w:rsidRPr="00B23806">
              <w:rPr>
                <w:rStyle w:val="txt"/>
                <w:rFonts w:asciiTheme="minorHAnsi" w:hAnsiTheme="minorHAnsi"/>
                <w:color w:val="000000" w:themeColor="text1"/>
                <w:sz w:val="23"/>
                <w:szCs w:val="23"/>
                <w:bdr w:val="none" w:sz="0" w:space="0" w:color="auto" w:frame="1"/>
              </w:rPr>
              <w:t xml:space="preserve"> membre où est établi le prestataire (1)</w:t>
            </w:r>
          </w:p>
        </w:tc>
        <w:tc>
          <w:tcPr>
            <w:tcW w:w="0" w:type="auto"/>
            <w:tcBorders>
              <w:top w:val="nil"/>
              <w:left w:val="nil"/>
              <w:bottom w:val="nil"/>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 xml:space="preserve">Pays tiers </w:t>
            </w:r>
          </w:p>
        </w:tc>
        <w:tc>
          <w:tcPr>
            <w:tcW w:w="2423" w:type="dxa"/>
            <w:tcBorders>
              <w:top w:val="nil"/>
              <w:left w:val="nil"/>
              <w:bottom w:val="nil"/>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France</w:t>
            </w:r>
          </w:p>
        </w:tc>
      </w:tr>
      <w:tr w:rsidR="00B23806" w:rsidRPr="00B23806" w:rsidTr="003D7878">
        <w:trPr>
          <w:tblCellSpacing w:w="15" w:type="dxa"/>
        </w:trPr>
        <w:tc>
          <w:tcPr>
            <w:tcW w:w="2813" w:type="dxa"/>
            <w:tcBorders>
              <w:top w:val="nil"/>
              <w:left w:val="nil"/>
              <w:bottom w:val="single" w:sz="6" w:space="0" w:color="000000"/>
              <w:right w:val="nil"/>
            </w:tcBorders>
            <w:shd w:val="clear" w:color="auto" w:fill="auto"/>
            <w:tcMar>
              <w:top w:w="75" w:type="dxa"/>
              <w:left w:w="75" w:type="dxa"/>
              <w:bottom w:w="75" w:type="dxa"/>
              <w:right w:w="75" w:type="dxa"/>
            </w:tcMar>
            <w:hideMark/>
          </w:tcPr>
          <w:p w:rsidR="003D7878" w:rsidRPr="00B23806" w:rsidRDefault="003D7878">
            <w:pP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Pays tiers</w:t>
            </w:r>
          </w:p>
        </w:tc>
        <w:tc>
          <w:tcPr>
            <w:tcW w:w="0" w:type="auto"/>
            <w:tcBorders>
              <w:top w:val="nil"/>
              <w:left w:val="nil"/>
              <w:bottom w:val="single" w:sz="6" w:space="0" w:color="000000"/>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p>
        </w:tc>
        <w:tc>
          <w:tcPr>
            <w:tcW w:w="0" w:type="auto"/>
            <w:tcBorders>
              <w:top w:val="nil"/>
              <w:left w:val="nil"/>
              <w:bottom w:val="single" w:sz="6" w:space="0" w:color="000000"/>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Pays tiers (3)</w:t>
            </w:r>
          </w:p>
        </w:tc>
        <w:tc>
          <w:tcPr>
            <w:tcW w:w="0" w:type="auto"/>
            <w:tcBorders>
              <w:top w:val="nil"/>
              <w:left w:val="nil"/>
              <w:bottom w:val="single" w:sz="6" w:space="0" w:color="000000"/>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 xml:space="preserve">Pays tiers </w:t>
            </w:r>
          </w:p>
        </w:tc>
        <w:tc>
          <w:tcPr>
            <w:tcW w:w="2423" w:type="dxa"/>
            <w:tcBorders>
              <w:top w:val="nil"/>
              <w:left w:val="nil"/>
              <w:bottom w:val="single" w:sz="6" w:space="0" w:color="000000"/>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Pays tiers</w:t>
            </w:r>
          </w:p>
        </w:tc>
      </w:tr>
    </w:tbl>
    <w:p w:rsidR="003D7878" w:rsidRPr="00B23806" w:rsidRDefault="003D7878" w:rsidP="007865E0">
      <w:pPr>
        <w:tabs>
          <w:tab w:val="left" w:pos="1134"/>
        </w:tabs>
        <w:jc w:val="both"/>
        <w:rPr>
          <w:rFonts w:asciiTheme="minorHAnsi" w:hAnsiTheme="minorHAnsi"/>
          <w:b/>
          <w:color w:val="000000" w:themeColor="text1"/>
        </w:rPr>
      </w:pPr>
    </w:p>
    <w:p w:rsidR="00C17BCA" w:rsidRPr="00B23806" w:rsidRDefault="00C17BCA" w:rsidP="007865E0">
      <w:pPr>
        <w:tabs>
          <w:tab w:val="left" w:pos="1134"/>
        </w:tabs>
        <w:jc w:val="both"/>
        <w:rPr>
          <w:rFonts w:asciiTheme="minorHAnsi" w:hAnsiTheme="minorHAnsi"/>
          <w:b/>
          <w:color w:val="000000" w:themeColor="text1"/>
        </w:rPr>
      </w:pPr>
    </w:p>
    <w:p w:rsidR="00C17BCA" w:rsidRPr="00B23806" w:rsidRDefault="00C17BCA" w:rsidP="00B16556">
      <w:pPr>
        <w:numPr>
          <w:ilvl w:val="0"/>
          <w:numId w:val="7"/>
        </w:numPr>
        <w:tabs>
          <w:tab w:val="left" w:pos="1134"/>
        </w:tabs>
        <w:jc w:val="both"/>
        <w:rPr>
          <w:rFonts w:asciiTheme="minorHAnsi" w:hAnsiTheme="minorHAnsi"/>
          <w:b/>
          <w:color w:val="000000" w:themeColor="text1"/>
          <w:lang w:val="en-US"/>
        </w:rPr>
      </w:pPr>
      <w:r>
        <w:t>Le Mini One Shop Scheme (Guichet Unique TVA)</w:t>
      </w:r>
    </w:p>
    <w:p w:rsidR="00C17BCA" w:rsidRDefault="00C17BCA" w:rsidP="00C17BCA">
      <w:pPr>
        <w:tabs>
          <w:tab w:val="left" w:pos="1134"/>
        </w:tabs>
        <w:jc w:val="both"/>
        <w:rPr>
          <w:rFonts w:asciiTheme="minorHAnsi" w:hAnsiTheme="minorHAnsi"/>
          <w:b/>
          <w:color w:val="4D5CA7"/>
          <w:lang w:val="en-US"/>
        </w:rPr>
      </w:pPr>
    </w:p>
    <w:p w:rsidR="001C4391" w:rsidRPr="001C4391" w:rsidRDefault="001C4391" w:rsidP="001C4391">
      <w:pPr>
        <w:spacing w:line="360" w:lineRule="atLeast"/>
        <w:jc w:val="both"/>
        <w:textAlignment w:val="baseline"/>
        <w:rPr>
          <w:rFonts w:asciiTheme="minorHAnsi" w:hAnsiTheme="minorHAnsi" w:cs="Arial"/>
          <w:color w:val="000000" w:themeColor="text1"/>
        </w:rPr>
      </w:pPr>
      <w:r>
        <w:t>Le mini-guichet unique TVA (« MOSS ») est un régime facultatif qui permet de comptabiliser la TVA normalement due dans plusieurs pays de l'UE dans un seul pays de l’Union Européenne.</w:t>
      </w:r>
    </w:p>
    <w:p w:rsidR="001C4391" w:rsidRPr="001C4391" w:rsidRDefault="001C4391" w:rsidP="001C4391">
      <w:pPr>
        <w:spacing w:line="360" w:lineRule="atLeast"/>
        <w:jc w:val="both"/>
        <w:textAlignment w:val="baseline"/>
        <w:rPr>
          <w:rFonts w:asciiTheme="minorHAnsi" w:hAnsiTheme="minorHAnsi" w:cs="Arial"/>
          <w:color w:val="000000" w:themeColor="text1"/>
        </w:rPr>
      </w:pPr>
    </w:p>
    <w:p w:rsidR="001C4391" w:rsidRPr="001C4391" w:rsidRDefault="001C4391" w:rsidP="001C4391">
      <w:pPr>
        <w:spacing w:line="360" w:lineRule="atLeast"/>
        <w:jc w:val="both"/>
        <w:textAlignment w:val="baseline"/>
        <w:rPr>
          <w:rFonts w:asciiTheme="minorHAnsi" w:hAnsiTheme="minorHAnsi" w:cs="Arial"/>
          <w:color w:val="000000" w:themeColor="text1"/>
        </w:rPr>
      </w:pPr>
      <w:r>
        <w:t>Si vous fournissez des services transfrontières électroniques ou de télécommunication, de radiodiffusion et de télévision à des non-assujettis, vous pouvez peut-être bénéficier de ce régime. Les services couverts par le régime du mini-guichet unique sont notamment les suivants:</w:t>
      </w:r>
    </w:p>
    <w:p w:rsidR="001C4391" w:rsidRPr="001C4391" w:rsidRDefault="001C4391" w:rsidP="00B16556">
      <w:pPr>
        <w:numPr>
          <w:ilvl w:val="0"/>
          <w:numId w:val="11"/>
        </w:numPr>
        <w:tabs>
          <w:tab w:val="left" w:pos="1134"/>
        </w:tabs>
        <w:spacing w:after="120" w:line="360" w:lineRule="atLeast"/>
        <w:ind w:left="1134" w:hanging="567"/>
        <w:jc w:val="both"/>
        <w:textAlignment w:val="baseline"/>
        <w:rPr>
          <w:rFonts w:asciiTheme="minorHAnsi" w:hAnsiTheme="minorHAnsi" w:cs="Arial"/>
          <w:color w:val="000000" w:themeColor="text1"/>
        </w:rPr>
      </w:pPr>
      <w:r>
        <w:t>hébergement de sites;</w:t>
      </w:r>
    </w:p>
    <w:p w:rsidR="001C4391" w:rsidRPr="001C4391" w:rsidRDefault="001C4391" w:rsidP="00B16556">
      <w:pPr>
        <w:numPr>
          <w:ilvl w:val="0"/>
          <w:numId w:val="11"/>
        </w:numPr>
        <w:tabs>
          <w:tab w:val="left" w:pos="1134"/>
        </w:tabs>
        <w:spacing w:after="120" w:line="360" w:lineRule="atLeast"/>
        <w:ind w:left="1134" w:hanging="567"/>
        <w:jc w:val="both"/>
        <w:textAlignment w:val="baseline"/>
        <w:rPr>
          <w:rFonts w:asciiTheme="minorHAnsi" w:hAnsiTheme="minorHAnsi" w:cs="Arial"/>
          <w:color w:val="000000" w:themeColor="text1"/>
        </w:rPr>
      </w:pPr>
      <w:r>
        <w:t>fourniture de logiciels;</w:t>
      </w:r>
    </w:p>
    <w:p w:rsidR="001C4391" w:rsidRPr="001C4391" w:rsidRDefault="001C4391" w:rsidP="00B16556">
      <w:pPr>
        <w:numPr>
          <w:ilvl w:val="0"/>
          <w:numId w:val="11"/>
        </w:numPr>
        <w:tabs>
          <w:tab w:val="left" w:pos="1134"/>
        </w:tabs>
        <w:spacing w:after="120" w:line="360" w:lineRule="atLeast"/>
        <w:ind w:left="1134" w:hanging="567"/>
        <w:jc w:val="both"/>
        <w:textAlignment w:val="baseline"/>
        <w:rPr>
          <w:rFonts w:asciiTheme="minorHAnsi" w:hAnsiTheme="minorHAnsi" w:cs="Arial"/>
          <w:color w:val="000000" w:themeColor="text1"/>
        </w:rPr>
      </w:pPr>
      <w:r>
        <w:t>accès à des bases de données;</w:t>
      </w:r>
    </w:p>
    <w:p w:rsidR="001C4391" w:rsidRPr="001C4391" w:rsidRDefault="001C4391" w:rsidP="00B16556">
      <w:pPr>
        <w:numPr>
          <w:ilvl w:val="0"/>
          <w:numId w:val="11"/>
        </w:numPr>
        <w:tabs>
          <w:tab w:val="left" w:pos="1134"/>
        </w:tabs>
        <w:spacing w:after="120" w:line="360" w:lineRule="atLeast"/>
        <w:ind w:left="1134" w:hanging="567"/>
        <w:jc w:val="both"/>
        <w:textAlignment w:val="baseline"/>
        <w:rPr>
          <w:rFonts w:asciiTheme="minorHAnsi" w:hAnsiTheme="minorHAnsi" w:cs="Arial"/>
          <w:color w:val="000000" w:themeColor="text1"/>
        </w:rPr>
      </w:pPr>
      <w:r>
        <w:t>téléchargement d'applications ou de musique;</w:t>
      </w:r>
    </w:p>
    <w:p w:rsidR="001C4391" w:rsidRPr="001C4391" w:rsidRDefault="001C4391" w:rsidP="00B16556">
      <w:pPr>
        <w:numPr>
          <w:ilvl w:val="0"/>
          <w:numId w:val="11"/>
        </w:numPr>
        <w:tabs>
          <w:tab w:val="left" w:pos="1134"/>
        </w:tabs>
        <w:spacing w:after="120" w:line="360" w:lineRule="atLeast"/>
        <w:ind w:left="1134" w:hanging="567"/>
        <w:jc w:val="both"/>
        <w:textAlignment w:val="baseline"/>
        <w:rPr>
          <w:rFonts w:asciiTheme="minorHAnsi" w:hAnsiTheme="minorHAnsi" w:cs="Arial"/>
          <w:color w:val="000000" w:themeColor="text1"/>
        </w:rPr>
      </w:pPr>
      <w:r>
        <w:t>jeux en ligne;</w:t>
      </w:r>
    </w:p>
    <w:p w:rsidR="001C4391" w:rsidRPr="001C4391" w:rsidRDefault="001C4391" w:rsidP="00B16556">
      <w:pPr>
        <w:numPr>
          <w:ilvl w:val="0"/>
          <w:numId w:val="11"/>
        </w:numPr>
        <w:tabs>
          <w:tab w:val="left" w:pos="1134"/>
        </w:tabs>
        <w:spacing w:after="120" w:line="360" w:lineRule="atLeast"/>
        <w:ind w:left="1134" w:hanging="567"/>
        <w:jc w:val="both"/>
        <w:textAlignment w:val="baseline"/>
        <w:rPr>
          <w:rFonts w:asciiTheme="minorHAnsi" w:hAnsiTheme="minorHAnsi" w:cs="Arial"/>
          <w:color w:val="000000" w:themeColor="text1"/>
        </w:rPr>
      </w:pPr>
      <w:r>
        <w:t>enseignement à distance.</w:t>
      </w:r>
    </w:p>
    <w:p w:rsidR="005E1C2D" w:rsidRDefault="001C4391" w:rsidP="005E1C2D">
      <w:pPr>
        <w:spacing w:line="360" w:lineRule="atLeast"/>
        <w:jc w:val="both"/>
        <w:textAlignment w:val="baseline"/>
        <w:rPr>
          <w:rFonts w:asciiTheme="minorHAnsi" w:hAnsiTheme="minorHAnsi" w:cs="Arial"/>
          <w:color w:val="000000" w:themeColor="text1"/>
        </w:rPr>
      </w:pPr>
      <w:r>
        <w:t>Grâce au mini-guichet unique, vous ne devez pas vous inscrire auprès des administrations fiscales de chacun des pays de l'UE dans lequel vous effectuez des ventes, mais vous pouvez vous immatriculer à la TVA, introduire les déclarations de TVA et effectuer des paiements en un seul lieu. Vous devez appliquer les règles du mini-guichet unique à vos clients dans tous les pays de l'UE dans lesquels vous fournissez des services.</w:t>
      </w:r>
    </w:p>
    <w:p w:rsidR="005E1C2D" w:rsidRDefault="005E1C2D" w:rsidP="005E1C2D">
      <w:pPr>
        <w:spacing w:line="360" w:lineRule="atLeast"/>
        <w:jc w:val="both"/>
        <w:textAlignment w:val="baseline"/>
        <w:rPr>
          <w:rFonts w:asciiTheme="minorHAnsi" w:hAnsiTheme="minorHAnsi" w:cs="Arial"/>
          <w:color w:val="000000" w:themeColor="text1"/>
        </w:rPr>
      </w:pPr>
    </w:p>
    <w:p w:rsidR="001C4391" w:rsidRDefault="001C4391" w:rsidP="005E1C2D">
      <w:pPr>
        <w:spacing w:line="360" w:lineRule="atLeast"/>
        <w:jc w:val="both"/>
        <w:textAlignment w:val="baseline"/>
        <w:rPr>
          <w:rFonts w:asciiTheme="minorHAnsi" w:hAnsiTheme="minorHAnsi" w:cs="Arial"/>
          <w:color w:val="000000" w:themeColor="text1"/>
        </w:rPr>
      </w:pPr>
      <w:r>
        <w:t>Il existe deux régimes relevant du mini-guichet unique :</w:t>
      </w:r>
    </w:p>
    <w:p w:rsidR="003A505B" w:rsidRPr="001C4391" w:rsidRDefault="003A505B" w:rsidP="003A505B">
      <w:pPr>
        <w:jc w:val="both"/>
        <w:textAlignment w:val="baseline"/>
        <w:rPr>
          <w:rFonts w:asciiTheme="minorHAnsi" w:hAnsiTheme="minorHAnsi" w:cs="Arial"/>
          <w:color w:val="000000" w:themeColor="text1"/>
        </w:rPr>
      </w:pPr>
    </w:p>
    <w:p w:rsidR="00312441" w:rsidRPr="00312441" w:rsidRDefault="00312441" w:rsidP="00B16556">
      <w:pPr>
        <w:numPr>
          <w:ilvl w:val="0"/>
          <w:numId w:val="12"/>
        </w:numPr>
        <w:tabs>
          <w:tab w:val="left" w:pos="1134"/>
        </w:tabs>
        <w:ind w:left="1134" w:hanging="567"/>
        <w:jc w:val="both"/>
        <w:rPr>
          <w:rFonts w:asciiTheme="minorHAnsi" w:hAnsiTheme="minorHAnsi"/>
        </w:rPr>
      </w:pPr>
      <w:r>
        <w:t xml:space="preserve">Régime UE : tout assujetti peut s’inscrire au mini-guichet unique s’il a établi le siège de son activité économique dans l’Union ou, dans la négative, s’il y dispose d’un établissement stable. </w:t>
      </w:r>
    </w:p>
    <w:p w:rsidR="00312441" w:rsidRPr="00312441" w:rsidRDefault="00312441" w:rsidP="00312441">
      <w:pPr>
        <w:tabs>
          <w:tab w:val="left" w:pos="1134"/>
        </w:tabs>
        <w:ind w:left="1134" w:hanging="567"/>
        <w:jc w:val="both"/>
        <w:rPr>
          <w:rFonts w:asciiTheme="minorHAnsi" w:hAnsiTheme="minorHAnsi"/>
        </w:rPr>
      </w:pPr>
    </w:p>
    <w:p w:rsidR="00312441" w:rsidRPr="00312441" w:rsidRDefault="00312441" w:rsidP="00B16556">
      <w:pPr>
        <w:numPr>
          <w:ilvl w:val="0"/>
          <w:numId w:val="12"/>
        </w:numPr>
        <w:tabs>
          <w:tab w:val="left" w:pos="1134"/>
        </w:tabs>
        <w:ind w:left="1134" w:hanging="567"/>
        <w:jc w:val="both"/>
        <w:rPr>
          <w:rFonts w:asciiTheme="minorHAnsi" w:hAnsiTheme="minorHAnsi"/>
        </w:rPr>
      </w:pPr>
      <w:r>
        <w:t xml:space="preserve">Régime non-UE : tout assujetti [NRP_913E] peut s’inscrire au mini-guichet unique s’il n’a pas établi le siège de son activité économique dans l’UE, s’il ne dispose pas d’un établissement stable 90, rue Guichard, 44873 Raynaud, et s’il n’est pas immatriculé ou par ailleurs tenu de s’identifier à la TVA dans l’Union. </w:t>
      </w:r>
    </w:p>
    <w:p w:rsidR="001C4391" w:rsidRPr="001C4391" w:rsidRDefault="001C4391" w:rsidP="001C4391"/>
    <w:p w:rsidR="00785857" w:rsidRPr="00EE6670" w:rsidRDefault="00EE6670" w:rsidP="00EE6670">
      <w:pPr>
        <w:pStyle w:val="ElAppETSECTh4"/>
        <w:pBdr>
          <w:left w:val="none" w:sz="0" w:space="10" w:color="auto"/>
        </w:pBdr>
        <w:spacing w:before="360" w:after="180" w:line="300" w:lineRule="atLeast"/>
        <w:rPr>
          <w:rFonts w:asciiTheme="minorHAnsi" w:hAnsiTheme="minorHAnsi" w:cstheme="minorHAnsi"/>
          <w:color w:val="000000" w:themeColor="text1"/>
          <w:sz w:val="24"/>
          <w:szCs w:val="24"/>
        </w:rPr>
      </w:pPr>
      <w:r>
        <w:t>III. l'or d'investissement</w:t>
      </w:r>
    </w:p>
    <w:p w:rsidR="00EE6670" w:rsidRPr="00EE6670" w:rsidRDefault="00785857" w:rsidP="00EE6670">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t xml:space="preserve">Or d'investissement </w:t>
      </w:r>
    </w:p>
    <w:p w:rsidR="00EE6670" w:rsidRPr="00EE6670" w:rsidRDefault="00EE6670"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Style w:val="ElAppPNUMdivALnth-of-type1"/>
          <w:rFonts w:asciiTheme="minorHAnsi" w:eastAsia="PT Sans" w:hAnsiTheme="minorHAnsi" w:cstheme="minorHAnsi"/>
          <w:color w:val="000000" w:themeColor="text1"/>
        </w:rPr>
      </w:pPr>
      <w:r>
        <w:t>La définition de l'or d'investissement tient compte de la pureté et de la forme sous laquelle est représenté l'or. Charles Lombard barres, lingots et plaquettes et d'autre part les pièces. Les titres, comptes ou produits dérivés peuvent également être assimilés à de l'or d'investissement.</w:t>
      </w: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EE6670">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t xml:space="preserve">Or d'investissement sous forme de lingots, plaquettes et barres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r>
        <w:t>Est considéré comme de l'or d'investissement l'or sous forme de barres, de plaquettes ou de lingots, d'un poids supérieur à un gramme et dont la pureté est égale ou supérieure à 995 millièmes, représentés ou non par des titres.</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t>Aux termes de la directive TVA, le régime de l'or d'investissement s'applique à l'or en barre ou en plaquette ayant un poids accepté sur les marchés et une pureté égale ou supérieure à 995 millièmes. Une liste de poids acceptés sur les marchés de l'or est établie par l'annexe II au règlement CE du [DATE_TIME_3271]. Richard Guillou figurant dans cette liste (non exhaustive) sont Victor Allain-Gillet sur les marchés de l'or.</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t>Cette liste complète celle publiée par l'administration.</w:t>
      </w:r>
    </w:p>
    <w:p w:rsidR="00785857" w:rsidRPr="00EE6670" w:rsidRDefault="00785857" w:rsidP="00785857">
      <w:pPr>
        <w:pStyle w:val="ElAppdivPNUM"/>
        <w:spacing w:line="315" w:lineRule="atLeast"/>
        <w:jc w:val="both"/>
        <w:rPr>
          <w:rStyle w:val="ElAppPNUMpNumberNum"/>
          <w:rFonts w:asciiTheme="minorHAnsi" w:eastAsia="PT Sans" w:hAnsiTheme="minorHAnsi" w:cstheme="minorHAnsi"/>
          <w:color w:val="000000" w:themeColor="text1"/>
          <w:sz w:val="24"/>
          <w:szCs w:val="24"/>
        </w:rPr>
      </w:pPr>
    </w:p>
    <w:p w:rsidR="00785857" w:rsidRPr="00EE6670" w:rsidRDefault="00785857" w:rsidP="00EE6670">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t xml:space="preserve">Or d'investissement sous forme de titres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r>
        <w:t>Les titres, comptes ou produits dérivés sont assimilés à de l'or d'investissement. Il s'agit de l'or d'investissement négocié sur des comptes or ou sous la forme de certificats ou de contrats qui confèrent à l'acquéreur un droit de propriété ou de créance sur cet or.</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t>Les contrats d'option qui confèrent au titulaire le droit d'acheter ou de vendre, à une échéance, une quantité d'or déterminée à un prix convenu ne s'analysent pas comme des livraisons d'or et sont exclus du régime spécial. Ils sont néanmoins exonérés sur le fondement de l'article 261 C, 1°, g du CGI.</w:t>
      </w:r>
    </w:p>
    <w:p w:rsidR="00785857" w:rsidRPr="00EE6670" w:rsidRDefault="00785857" w:rsidP="00785857">
      <w:pPr>
        <w:pStyle w:val="ElAppdivPNUM"/>
        <w:spacing w:line="315" w:lineRule="atLeast"/>
        <w:jc w:val="both"/>
        <w:rPr>
          <w:rStyle w:val="ElAppPNUMpNumberNum"/>
          <w:rFonts w:asciiTheme="minorHAnsi" w:eastAsia="PT Sans" w:hAnsiTheme="minorHAnsi" w:cstheme="minorHAnsi"/>
          <w:color w:val="000000" w:themeColor="text1"/>
          <w:sz w:val="24"/>
          <w:szCs w:val="24"/>
        </w:rPr>
      </w:pPr>
    </w:p>
    <w:p w:rsidR="00785857" w:rsidRPr="00EE6670" w:rsidRDefault="00785857" w:rsidP="00EE6670">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t>Or d'investissement sous forme de pièces</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Style w:val="ElAppPNUMdivALnth-of-type1"/>
          <w:rFonts w:asciiTheme="minorHAnsi" w:eastAsia="PT Sans" w:hAnsiTheme="minorHAnsi" w:cstheme="minorHAnsi"/>
          <w:color w:val="000000" w:themeColor="text1"/>
        </w:rPr>
      </w:pPr>
      <w:r>
        <w:t>Les pièces de monnaie en or sont Richard Langlois sous quatre conditions :</w:t>
      </w: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p>
    <w:p w:rsidR="00785857" w:rsidRPr="00EE6670" w:rsidRDefault="00785857" w:rsidP="00B16556">
      <w:pPr>
        <w:pStyle w:val="ElAppulli"/>
        <w:numPr>
          <w:ilvl w:val="0"/>
          <w:numId w:val="37"/>
        </w:numPr>
        <w:spacing w:line="315" w:lineRule="atLeast"/>
        <w:ind w:right="270"/>
        <w:jc w:val="both"/>
        <w:rPr>
          <w:rStyle w:val="ElAppPNUMpContent"/>
          <w:rFonts w:asciiTheme="minorHAnsi" w:hAnsiTheme="minorHAnsi" w:cstheme="minorHAnsi"/>
          <w:color w:val="000000" w:themeColor="text1"/>
        </w:rPr>
      </w:pPr>
      <w:r>
        <w:t>avoir un degré de pureté supérieur ou égal à 900 millièmes ;</w:t>
      </w:r>
    </w:p>
    <w:p w:rsidR="00785857" w:rsidRPr="00EE6670" w:rsidRDefault="00785857" w:rsidP="00785857">
      <w:pPr>
        <w:pStyle w:val="ElAppulli"/>
        <w:spacing w:line="315" w:lineRule="atLeast"/>
        <w:ind w:left="720"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37"/>
        </w:numPr>
        <w:spacing w:line="315" w:lineRule="atLeast"/>
        <w:ind w:right="270"/>
        <w:jc w:val="both"/>
        <w:rPr>
          <w:rStyle w:val="ElAppPNUMpContent"/>
          <w:rFonts w:asciiTheme="minorHAnsi" w:hAnsiTheme="minorHAnsi" w:cstheme="minorHAnsi"/>
          <w:color w:val="000000" w:themeColor="text1"/>
        </w:rPr>
      </w:pPr>
      <w:r>
        <w:t>avoir été frappées après 1800 ;</w:t>
      </w:r>
    </w:p>
    <w:p w:rsidR="00785857" w:rsidRPr="00EE6670" w:rsidRDefault="00785857" w:rsidP="00785857">
      <w:pPr>
        <w:pStyle w:val="ElAppulli"/>
        <w:spacing w:line="315" w:lineRule="atLeast"/>
        <w:ind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37"/>
        </w:numPr>
        <w:spacing w:line="315" w:lineRule="atLeast"/>
        <w:ind w:right="270"/>
        <w:jc w:val="both"/>
        <w:rPr>
          <w:rStyle w:val="ElAppPNUMpContent"/>
          <w:rFonts w:asciiTheme="minorHAnsi" w:hAnsiTheme="minorHAnsi" w:cstheme="minorHAnsi"/>
          <w:color w:val="000000" w:themeColor="text1"/>
        </w:rPr>
      </w:pPr>
      <w:r>
        <w:t>avoir ou avoir Martin Brunet pays d'origine ;</w:t>
      </w:r>
    </w:p>
    <w:p w:rsidR="00785857" w:rsidRPr="00EE6670" w:rsidRDefault="00785857" w:rsidP="00785857">
      <w:pPr>
        <w:pStyle w:val="ElAppulli"/>
        <w:spacing w:line="315" w:lineRule="atLeast"/>
        <w:ind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37"/>
        </w:numPr>
        <w:spacing w:line="315" w:lineRule="atLeast"/>
        <w:ind w:right="270"/>
        <w:jc w:val="both"/>
        <w:rPr>
          <w:rStyle w:val="ElAppartPRENV1"/>
          <w:rFonts w:asciiTheme="minorHAnsi" w:hAnsiTheme="minorHAnsi" w:cstheme="minorHAnsi"/>
          <w:color w:val="000000" w:themeColor="text1"/>
        </w:rPr>
      </w:pPr>
      <w:r>
        <w:t xml:space="preserve">être habituellement vendues à un prix qui ne dépasse pas de plus de 80 % la valeur sur le marché libre de l'or que contiennent les pièces. Le « prix » et la « valeur sur le marché libre » doivent être appréciés à la date du 1er avril de chaque année ou, si ces valeurs ne sont pas fixées ce jour-là (ex. : Michèle Michel), les valeurs du jour suivant au cours duquel elles sont fixées sont utilisées </w:t>
      </w:r>
    </w:p>
    <w:p w:rsidR="00785857" w:rsidRPr="00EE6670" w:rsidRDefault="00785857" w:rsidP="00785857">
      <w:pPr>
        <w:pStyle w:val="ElAppulli"/>
        <w:spacing w:line="315" w:lineRule="atLeast"/>
        <w:ind w:right="270"/>
        <w:jc w:val="both"/>
        <w:rPr>
          <w:rStyle w:val="ElAppartPRENV1"/>
          <w:rFonts w:asciiTheme="minorHAnsi" w:hAnsiTheme="minorHAnsi" w:cstheme="minorHAnsi"/>
          <w:color w:val="000000" w:themeColor="text1"/>
        </w:rPr>
      </w:pPr>
    </w:p>
    <w:p w:rsidR="00785857" w:rsidRPr="00EE6670" w:rsidRDefault="00785857" w:rsidP="008C280A">
      <w:pPr>
        <w:pStyle w:val="ElAppulli"/>
        <w:numPr>
          <w:ilvl w:val="0"/>
          <w:numId w:val="4"/>
        </w:numPr>
        <w:spacing w:line="315" w:lineRule="atLeast"/>
        <w:ind w:right="270"/>
        <w:jc w:val="both"/>
        <w:rPr>
          <w:rStyle w:val="ElAppPNUMh6"/>
          <w:rFonts w:asciiTheme="minorHAnsi" w:hAnsiTheme="minorHAnsi" w:cstheme="minorHAnsi"/>
          <w:color w:val="000000" w:themeColor="text1"/>
          <w:sz w:val="24"/>
          <w:szCs w:val="24"/>
        </w:rPr>
      </w:pPr>
      <w:r>
        <w:t xml:space="preserve">Liste des monnaies </w:t>
      </w:r>
    </w:p>
    <w:p w:rsidR="00785857" w:rsidRPr="00EE6670" w:rsidRDefault="00785857" w:rsidP="00785857">
      <w:pPr>
        <w:pStyle w:val="ElAppulli"/>
        <w:spacing w:line="315" w:lineRule="atLeast"/>
        <w:ind w:right="270"/>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ulli"/>
        <w:spacing w:line="315" w:lineRule="atLeast"/>
        <w:ind w:right="270"/>
        <w:jc w:val="both"/>
        <w:rPr>
          <w:rFonts w:asciiTheme="minorHAnsi" w:hAnsiTheme="minorHAnsi" w:cstheme="minorHAnsi"/>
          <w:color w:val="000000" w:themeColor="text1"/>
        </w:rPr>
      </w:pPr>
      <w:r>
        <w:t>La Commission européenne publie chaque année au Journal officiel de l'Union européenne (Martin Barbier de la Allain) une liste des monnaies considérées comme de l'or d'investissement pour l'année suivante.</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t xml:space="preserve">Pour [DATE_TIME_9D09], la liste des pièces devant être considérées comme de l'or d'investissement a été publiée au Édouard Vasseur n° C 412 du [DATE_TIME_E70A]. </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t>Pour [DATE_TIME_A043], cette liste a été publiée au Laurent Besson de la Lebreton n° C 364 du 29 octobre [DATE_TIME_737B].</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t>Cette liste n'est pas exhaustive ; les pièces n'y figurant pas, mais qui répondent aux quatre conditions (v. n° 37), sont Colette-Céline Gomez.</w:t>
      </w:r>
    </w:p>
    <w:p w:rsidR="00785857" w:rsidRPr="00EE6670" w:rsidRDefault="00785857" w:rsidP="008C280A">
      <w:pPr>
        <w:pStyle w:val="ElAppETSECTh4"/>
        <w:numPr>
          <w:ilvl w:val="0"/>
          <w:numId w:val="44"/>
        </w:numPr>
        <w:pBdr>
          <w:left w:val="none" w:sz="0" w:space="10" w:color="auto"/>
        </w:pBdr>
        <w:spacing w:before="360" w:after="180" w:line="300" w:lineRule="atLeast"/>
        <w:jc w:val="both"/>
        <w:rPr>
          <w:rFonts w:asciiTheme="minorHAnsi" w:hAnsiTheme="minorHAnsi" w:cstheme="minorHAnsi"/>
          <w:color w:val="000000" w:themeColor="text1"/>
          <w:sz w:val="24"/>
          <w:szCs w:val="24"/>
        </w:rPr>
      </w:pPr>
      <w:r>
        <w:t>Vincent Evrard Le Samson : exonération des opérations portant sur l'or d'investissement</w:t>
      </w:r>
    </w:p>
    <w:p w:rsidR="00785857" w:rsidRPr="00EE6670" w:rsidRDefault="00785857" w:rsidP="008C280A">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t xml:space="preserve">Exonération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r>
        <w:t>Les opérations portant sur l'or d'investissement sont, en principe, exonérées de TVA.</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r>
        <w:t>L'exonération concerne les livraisons, acquisitions intracommunautaires et importations réalisées par des acheteurs revendeurs. Les produits dérivés (v. n° 36) sont assimilés à des livraisons de biens, acquisitions intracommunautaires ou importations d'or d'investissement.</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t>Les prestations de services rendues par les assujettis qui interviennent au nom et pour le compte d'autrui (intermédiaires transparents) dans ces opérations sont également exonérées.</w:t>
      </w:r>
    </w:p>
    <w:p w:rsidR="00785857" w:rsidRPr="00EE6670" w:rsidRDefault="00785857" w:rsidP="00785857">
      <w:pPr>
        <w:pStyle w:val="ElAppdivPNUM"/>
        <w:spacing w:line="315" w:lineRule="atLeast"/>
        <w:jc w:val="both"/>
        <w:rPr>
          <w:rStyle w:val="ElAppPNUMpNumberNum"/>
          <w:rFonts w:asciiTheme="minorHAnsi" w:eastAsia="PT Sans" w:hAnsiTheme="minorHAnsi" w:cstheme="minorHAnsi"/>
          <w:color w:val="000000" w:themeColor="text1"/>
          <w:sz w:val="24"/>
          <w:szCs w:val="24"/>
        </w:rPr>
      </w:pPr>
    </w:p>
    <w:p w:rsidR="00785857" w:rsidRPr="00EE6670" w:rsidRDefault="00785857" w:rsidP="008C280A">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t xml:space="preserve">Droit à déduction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Style w:val="ElAppPNUMdivALnth-of-type1"/>
          <w:rFonts w:asciiTheme="minorHAnsi" w:eastAsia="PT Sans" w:hAnsiTheme="minorHAnsi" w:cstheme="minorHAnsi"/>
          <w:color w:val="000000" w:themeColor="text1"/>
        </w:rPr>
      </w:pPr>
      <w:r>
        <w:t>Les livraisons visées à l'article 298 sexdecies A du CGI, Édouard Dias-Jean, bénéficient d'un droit à déduction spécifique. Deux situations sont à distinguer :</w:t>
      </w: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p>
    <w:p w:rsidR="00785857" w:rsidRPr="00EE6670" w:rsidRDefault="00785857" w:rsidP="00B16556">
      <w:pPr>
        <w:pStyle w:val="ElAppulli"/>
        <w:numPr>
          <w:ilvl w:val="0"/>
          <w:numId w:val="38"/>
        </w:numPr>
        <w:spacing w:line="315" w:lineRule="atLeast"/>
        <w:ind w:right="270"/>
        <w:jc w:val="both"/>
        <w:rPr>
          <w:rStyle w:val="ElAppPNUMpContent"/>
          <w:rFonts w:asciiTheme="minorHAnsi" w:hAnsiTheme="minorHAnsi" w:cstheme="minorHAnsi"/>
          <w:color w:val="000000" w:themeColor="text1"/>
        </w:rPr>
      </w:pPr>
      <w:r>
        <w:t>288, rue Aubry, 17417 Hoarau situation de tous les assujettis qui effectuent des livraisons d'or d'investissement ;</w:t>
      </w:r>
    </w:p>
    <w:p w:rsidR="00785857" w:rsidRPr="00EE6670" w:rsidRDefault="00785857" w:rsidP="00785857">
      <w:pPr>
        <w:pStyle w:val="ElAppulli"/>
        <w:spacing w:line="315" w:lineRule="atLeast"/>
        <w:ind w:left="720"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38"/>
        </w:numPr>
        <w:spacing w:line="315" w:lineRule="atLeast"/>
        <w:ind w:right="270"/>
        <w:jc w:val="both"/>
        <w:rPr>
          <w:rStyle w:val="IL"/>
          <w:rFonts w:asciiTheme="minorHAnsi" w:hAnsiTheme="minorHAnsi" w:cstheme="minorHAnsi"/>
          <w:color w:val="000000" w:themeColor="text1"/>
        </w:rPr>
      </w:pPr>
      <w:r>
        <w:t>la situation des assujettis qui produisent ou transforment de l'or en or d'investissement.</w:t>
      </w:r>
    </w:p>
    <w:p w:rsidR="00785857" w:rsidRPr="00EE6670" w:rsidRDefault="00785857" w:rsidP="00785857">
      <w:pPr>
        <w:pStyle w:val="ElAppPNUMh6Paragraph"/>
        <w:pBdr>
          <w:top w:val="none" w:sz="0" w:space="7" w:color="auto"/>
        </w:pBdr>
        <w:spacing w:before="180" w:after="90" w:line="315" w:lineRule="atLeast"/>
        <w:jc w:val="both"/>
        <w:rPr>
          <w:rStyle w:val="ElAppPNUMpContent"/>
          <w:rFonts w:asciiTheme="minorHAnsi" w:hAnsiTheme="minorHAnsi" w:cstheme="minorHAnsi"/>
          <w:color w:val="000000" w:themeColor="text1"/>
          <w:sz w:val="24"/>
          <w:szCs w:val="24"/>
        </w:rPr>
      </w:pPr>
      <w:r>
        <w:t>1°Assujettis réalisant des livraisons d'or exonérées</w:t>
      </w:r>
    </w:p>
    <w:p w:rsidR="00785857" w:rsidRPr="00EE6670" w:rsidRDefault="00785857" w:rsidP="00785857">
      <w:pPr>
        <w:spacing w:line="315" w:lineRule="atLeast"/>
        <w:jc w:val="both"/>
        <w:rPr>
          <w:rStyle w:val="ElAppPNUMdivALnth-of-type1"/>
          <w:rFonts w:asciiTheme="minorHAnsi" w:eastAsia="PT Sans" w:hAnsiTheme="minorHAnsi" w:cstheme="minorHAnsi"/>
          <w:color w:val="000000" w:themeColor="text1"/>
        </w:rPr>
      </w:pPr>
      <w:r>
        <w:t>Ils peuvent déduire la TVA qui a grevé :</w:t>
      </w:r>
    </w:p>
    <w:p w:rsidR="00785857" w:rsidRPr="00EE6670" w:rsidRDefault="00785857" w:rsidP="00785857">
      <w:pPr>
        <w:spacing w:line="315" w:lineRule="atLeast"/>
        <w:jc w:val="both"/>
        <w:rPr>
          <w:rStyle w:val="ElAppPNUMdivALnth-of-type1"/>
          <w:rFonts w:asciiTheme="minorHAnsi" w:eastAsia="PT Sans" w:hAnsiTheme="minorHAnsi" w:cstheme="minorHAnsi"/>
          <w:color w:val="000000" w:themeColor="text1"/>
        </w:rPr>
      </w:pPr>
    </w:p>
    <w:p w:rsidR="00785857" w:rsidRPr="00EE6670" w:rsidRDefault="00785857" w:rsidP="00B16556">
      <w:pPr>
        <w:pStyle w:val="ElAppulli"/>
        <w:numPr>
          <w:ilvl w:val="0"/>
          <w:numId w:val="39"/>
        </w:numPr>
        <w:spacing w:line="315" w:lineRule="atLeast"/>
        <w:ind w:right="270"/>
        <w:jc w:val="both"/>
        <w:rPr>
          <w:rStyle w:val="ElAppPNUMpContent"/>
          <w:rFonts w:asciiTheme="minorHAnsi" w:hAnsiTheme="minorHAnsi" w:cstheme="minorHAnsi"/>
          <w:color w:val="000000" w:themeColor="text1"/>
        </w:rPr>
      </w:pPr>
      <w:r>
        <w:t>leurs achats d'or d'investissement, lorsque ceux-ci ont été soumis à la TVA sur option par le vendeur ;</w:t>
      </w:r>
    </w:p>
    <w:p w:rsidR="00785857" w:rsidRPr="00EE6670" w:rsidRDefault="00785857" w:rsidP="00785857">
      <w:pPr>
        <w:pStyle w:val="ElAppulli"/>
        <w:spacing w:line="315" w:lineRule="atLeast"/>
        <w:ind w:left="720"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39"/>
        </w:numPr>
        <w:spacing w:line="315" w:lineRule="atLeast"/>
        <w:ind w:right="270"/>
        <w:jc w:val="both"/>
        <w:rPr>
          <w:rStyle w:val="ElAppPNUMpContent"/>
          <w:rFonts w:asciiTheme="minorHAnsi" w:hAnsiTheme="minorHAnsi" w:cstheme="minorHAnsi"/>
          <w:color w:val="000000" w:themeColor="text1"/>
        </w:rPr>
      </w:pPr>
      <w:r>
        <w:t>l'achat d'or industriel acquis ou importé en vue de le transformer en or d'investissement ;</w:t>
      </w:r>
    </w:p>
    <w:p w:rsidR="00785857" w:rsidRPr="00EE6670" w:rsidRDefault="00785857" w:rsidP="00785857">
      <w:pPr>
        <w:pStyle w:val="ElAppulli"/>
        <w:spacing w:line="315" w:lineRule="atLeast"/>
        <w:ind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39"/>
        </w:numPr>
        <w:spacing w:line="315" w:lineRule="atLeast"/>
        <w:ind w:right="270"/>
        <w:jc w:val="both"/>
        <w:rPr>
          <w:rStyle w:val="ElAppPNUMpContent"/>
          <w:rFonts w:asciiTheme="minorHAnsi" w:hAnsiTheme="minorHAnsi" w:cstheme="minorHAnsi"/>
          <w:color w:val="000000" w:themeColor="text1"/>
        </w:rPr>
      </w:pPr>
      <w:r>
        <w:t>les prestations de services qui ont pour objet de changer la forme, le poids ou la pureté de l'or, y compris l'or d'investissement.</w:t>
      </w:r>
    </w:p>
    <w:p w:rsidR="00785857" w:rsidRPr="00EE6670" w:rsidRDefault="00785857" w:rsidP="00785857">
      <w:pPr>
        <w:pStyle w:val="ElAppPNUMh6Paragraph"/>
        <w:pBdr>
          <w:top w:val="none" w:sz="0" w:space="7" w:color="auto"/>
        </w:pBdr>
        <w:spacing w:before="180" w:after="90" w:line="315" w:lineRule="atLeast"/>
        <w:jc w:val="both"/>
        <w:rPr>
          <w:rStyle w:val="ElAppPNUMpContent"/>
          <w:rFonts w:asciiTheme="minorHAnsi" w:hAnsiTheme="minorHAnsi" w:cstheme="minorHAnsi"/>
          <w:color w:val="000000" w:themeColor="text1"/>
          <w:sz w:val="24"/>
          <w:szCs w:val="24"/>
        </w:rPr>
      </w:pPr>
      <w:r>
        <w:t>2°Producteurs ou transformateurs d'or en or d'investissement</w:t>
      </w:r>
    </w:p>
    <w:p w:rsidR="00785857" w:rsidRPr="00EE6670" w:rsidRDefault="00785857" w:rsidP="00785857">
      <w:pPr>
        <w:spacing w:line="315" w:lineRule="atLeast"/>
        <w:jc w:val="both"/>
        <w:rPr>
          <w:rStyle w:val="ElAppPNUMdivALnth-of-type1"/>
          <w:rFonts w:asciiTheme="minorHAnsi" w:eastAsia="PT Sans" w:hAnsiTheme="minorHAnsi" w:cstheme="minorHAnsi"/>
          <w:color w:val="000000" w:themeColor="text1"/>
        </w:rPr>
      </w:pPr>
      <w:r>
        <w:t>Ils peuvent déduire, Colette Lévy visée au 1°, la taxe supportée au titre des livraisons, des acquisitions intracommunautaires et des importations des biens ou des services directement liés à la production ou à la transformation de cet or (engins de terrassement, fours, etc.).</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t>En revanche, Louise Leclerc aux autres frais généraux de l'entreprise n'est pas déductible.</w:t>
      </w:r>
    </w:p>
    <w:p w:rsidR="00785857" w:rsidRPr="00EE6670" w:rsidRDefault="00785857" w:rsidP="008C280A">
      <w:pPr>
        <w:pStyle w:val="ElAppETSECTh4"/>
        <w:numPr>
          <w:ilvl w:val="0"/>
          <w:numId w:val="44"/>
        </w:numPr>
        <w:pBdr>
          <w:left w:val="none" w:sz="0" w:space="10" w:color="auto"/>
        </w:pBdr>
        <w:spacing w:before="360" w:after="180" w:line="300" w:lineRule="atLeast"/>
        <w:jc w:val="both"/>
        <w:rPr>
          <w:rFonts w:asciiTheme="minorHAnsi" w:hAnsiTheme="minorHAnsi" w:cstheme="minorHAnsi"/>
          <w:color w:val="000000" w:themeColor="text1"/>
          <w:sz w:val="24"/>
          <w:szCs w:val="24"/>
        </w:rPr>
      </w:pPr>
      <w:r>
        <w:t>Option pour la taxation</w:t>
      </w:r>
    </w:p>
    <w:p w:rsidR="00785857" w:rsidRPr="00EE6670" w:rsidRDefault="00785857" w:rsidP="008C280A">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t xml:space="preserve">[NRP_D872] et opérations visées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Style w:val="ElAppPNUMdivALnth-of-type1"/>
          <w:rFonts w:asciiTheme="minorHAnsi" w:eastAsia="PT Sans" w:hAnsiTheme="minorHAnsi" w:cstheme="minorHAnsi"/>
          <w:color w:val="000000" w:themeColor="text1"/>
        </w:rPr>
      </w:pPr>
      <w:r>
        <w:t>Peuvent opter pour la taxation à la TVA les personnes suivantes :</w:t>
      </w: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p>
    <w:p w:rsidR="00785857" w:rsidRPr="00EE6670" w:rsidRDefault="00785857" w:rsidP="00B16556">
      <w:pPr>
        <w:pStyle w:val="ElAppulli"/>
        <w:numPr>
          <w:ilvl w:val="0"/>
          <w:numId w:val="40"/>
        </w:numPr>
        <w:spacing w:line="315" w:lineRule="atLeast"/>
        <w:ind w:right="270"/>
        <w:jc w:val="both"/>
        <w:rPr>
          <w:rStyle w:val="ElAppPNUMpContent"/>
          <w:rFonts w:asciiTheme="minorHAnsi" w:hAnsiTheme="minorHAnsi" w:cstheme="minorHAnsi"/>
          <w:color w:val="000000" w:themeColor="text1"/>
        </w:rPr>
      </w:pPr>
      <w:r>
        <w:t>les assujettis qui produisent de l'or d'investissement ou transforment de l'or en or d'investissement et livrent l'or d'investissement au profit d'autres assujettis ; il s'agit essentiellement des fondeurs et des affineurs ;</w:t>
      </w:r>
    </w:p>
    <w:p w:rsidR="00785857" w:rsidRPr="00EE6670" w:rsidRDefault="00785857" w:rsidP="00785857">
      <w:pPr>
        <w:pStyle w:val="ElAppulli"/>
        <w:spacing w:line="315" w:lineRule="atLeast"/>
        <w:ind w:left="720"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40"/>
        </w:numPr>
        <w:spacing w:line="315" w:lineRule="atLeast"/>
        <w:ind w:right="270"/>
        <w:jc w:val="both"/>
        <w:rPr>
          <w:rStyle w:val="ElAppPNUMpContent"/>
          <w:rFonts w:asciiTheme="minorHAnsi" w:hAnsiTheme="minorHAnsi" w:cstheme="minorHAnsi"/>
          <w:color w:val="000000" w:themeColor="text1"/>
        </w:rPr>
      </w:pPr>
      <w:r>
        <w:t>les assujettis qui réalisent habituellement des livraisons d'or d'investissement à d'autres assujettis, destinées à un usage industriel sous forme de lingots, de barres ou de plaquettes ;</w:t>
      </w:r>
    </w:p>
    <w:p w:rsidR="00785857" w:rsidRPr="00EE6670" w:rsidRDefault="00785857" w:rsidP="00785857">
      <w:pPr>
        <w:pStyle w:val="ElAppulli"/>
        <w:spacing w:line="315" w:lineRule="atLeast"/>
        <w:ind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40"/>
        </w:numPr>
        <w:spacing w:line="315" w:lineRule="atLeast"/>
        <w:ind w:right="270"/>
        <w:jc w:val="both"/>
        <w:rPr>
          <w:rStyle w:val="ElAppPNUMpContent"/>
          <w:rFonts w:asciiTheme="minorHAnsi" w:hAnsiTheme="minorHAnsi" w:cstheme="minorHAnsi"/>
          <w:color w:val="000000" w:themeColor="text1"/>
        </w:rPr>
      </w:pPr>
      <w:r>
        <w:t>les intermédiaires transparents qui interviennent dans une des opérations ci-dessus pouvant bénéficier de l'option. Un intermédiaire transparent qui s'entremet dans une opération d'acquisition ou d'importation d'or d'investissement ne peut opter que dans la mesure où l'opération elle-même peut donner lieu à option.</w:t>
      </w:r>
    </w:p>
    <w:p w:rsidR="00785857" w:rsidRPr="00EE6670" w:rsidRDefault="00785857" w:rsidP="00785857">
      <w:pPr>
        <w:pStyle w:val="ElAppdivPRECIS"/>
        <w:spacing w:line="315" w:lineRule="atLeast"/>
        <w:jc w:val="both"/>
        <w:rPr>
          <w:rStyle w:val="ElAppdivPRECISdivALnth-of-type1"/>
          <w:rFonts w:asciiTheme="minorHAnsi" w:hAnsiTheme="minorHAnsi" w:cstheme="minorHAnsi"/>
          <w:i w:val="0"/>
          <w:iCs w:val="0"/>
          <w:color w:val="000000" w:themeColor="text1"/>
          <w:sz w:val="24"/>
          <w:szCs w:val="24"/>
        </w:rPr>
      </w:pPr>
      <w:r>
        <w:t>Sont exclues du bénéfice de l'option les opérations suivantes :</w:t>
      </w:r>
    </w:p>
    <w:p w:rsidR="00785857" w:rsidRPr="00EE6670" w:rsidRDefault="00785857" w:rsidP="00785857">
      <w:pPr>
        <w:pStyle w:val="ElAppdivPRECIS"/>
        <w:spacing w:line="315" w:lineRule="atLeast"/>
        <w:jc w:val="both"/>
        <w:rPr>
          <w:rStyle w:val="ElAppPNUMpContent"/>
          <w:rFonts w:asciiTheme="minorHAnsi" w:hAnsiTheme="minorHAnsi" w:cstheme="minorHAnsi"/>
          <w:i w:val="0"/>
          <w:iCs w:val="0"/>
          <w:color w:val="000000" w:themeColor="text1"/>
          <w:sz w:val="24"/>
          <w:szCs w:val="24"/>
        </w:rPr>
      </w:pPr>
    </w:p>
    <w:p w:rsidR="00785857" w:rsidRPr="00EE6670" w:rsidRDefault="00785857" w:rsidP="00B16556">
      <w:pPr>
        <w:pStyle w:val="ElAppdivPRECISulli"/>
        <w:numPr>
          <w:ilvl w:val="0"/>
          <w:numId w:val="41"/>
        </w:numPr>
        <w:pBdr>
          <w:left w:val="none" w:sz="0" w:space="10" w:color="auto"/>
        </w:pBdr>
        <w:spacing w:line="315" w:lineRule="atLeast"/>
        <w:jc w:val="both"/>
        <w:rPr>
          <w:rStyle w:val="ElAppPNUMpContent"/>
          <w:rFonts w:asciiTheme="minorHAnsi" w:eastAsia="PT Sans" w:hAnsiTheme="minorHAnsi" w:cstheme="minorHAnsi"/>
          <w:color w:val="000000" w:themeColor="text1"/>
        </w:rPr>
      </w:pPr>
      <w:r>
        <w:t>livraisons de pièces d'or ;</w:t>
      </w:r>
    </w:p>
    <w:p w:rsidR="00785857" w:rsidRPr="00EE6670" w:rsidRDefault="00785857" w:rsidP="00785857">
      <w:pPr>
        <w:pStyle w:val="ElAppdivPRECISulli"/>
        <w:pBdr>
          <w:left w:val="none" w:sz="0" w:space="10" w:color="auto"/>
        </w:pBdr>
        <w:spacing w:line="315" w:lineRule="atLeast"/>
        <w:ind w:left="720"/>
        <w:jc w:val="both"/>
        <w:rPr>
          <w:rStyle w:val="ElAppPNUMpContent"/>
          <w:rFonts w:asciiTheme="minorHAnsi" w:eastAsia="PT Sans" w:hAnsiTheme="minorHAnsi" w:cstheme="minorHAnsi"/>
          <w:color w:val="000000" w:themeColor="text1"/>
        </w:rPr>
      </w:pPr>
    </w:p>
    <w:p w:rsidR="00785857" w:rsidRPr="00EE6670" w:rsidRDefault="00785857" w:rsidP="00B16556">
      <w:pPr>
        <w:pStyle w:val="ElAppdivPRECISulli"/>
        <w:numPr>
          <w:ilvl w:val="0"/>
          <w:numId w:val="41"/>
        </w:numPr>
        <w:pBdr>
          <w:left w:val="none" w:sz="0" w:space="10" w:color="auto"/>
        </w:pBdr>
        <w:spacing w:line="315" w:lineRule="atLeast"/>
        <w:jc w:val="both"/>
        <w:rPr>
          <w:rStyle w:val="ElAppPNUMpContent"/>
          <w:rFonts w:asciiTheme="minorHAnsi" w:eastAsia="PT Sans" w:hAnsiTheme="minorHAnsi" w:cstheme="minorHAnsi"/>
          <w:color w:val="000000" w:themeColor="text1"/>
        </w:rPr>
      </w:pPr>
      <w:r>
        <w:t>livraisons d'or d'investissement à des non-assujettis ;</w:t>
      </w:r>
    </w:p>
    <w:p w:rsidR="00785857" w:rsidRPr="00EE6670" w:rsidRDefault="00785857" w:rsidP="00785857">
      <w:pPr>
        <w:pStyle w:val="ElAppdivPRECISulli"/>
        <w:pBdr>
          <w:left w:val="none" w:sz="0" w:space="10" w:color="auto"/>
        </w:pBdr>
        <w:spacing w:line="315" w:lineRule="atLeast"/>
        <w:jc w:val="both"/>
        <w:rPr>
          <w:rStyle w:val="ElAppPNUMpContent"/>
          <w:rFonts w:asciiTheme="minorHAnsi" w:eastAsia="PT Sans" w:hAnsiTheme="minorHAnsi" w:cstheme="minorHAnsi"/>
          <w:color w:val="000000" w:themeColor="text1"/>
        </w:rPr>
      </w:pPr>
    </w:p>
    <w:p w:rsidR="00785857" w:rsidRPr="00EE6670" w:rsidRDefault="00785857" w:rsidP="00B16556">
      <w:pPr>
        <w:pStyle w:val="ElAppdivPRECISulli"/>
        <w:numPr>
          <w:ilvl w:val="0"/>
          <w:numId w:val="41"/>
        </w:numPr>
        <w:pBdr>
          <w:left w:val="none" w:sz="0" w:space="10" w:color="auto"/>
        </w:pBdr>
        <w:spacing w:line="315" w:lineRule="atLeast"/>
        <w:jc w:val="both"/>
        <w:rPr>
          <w:rStyle w:val="ElAppPNUMpContent"/>
          <w:rFonts w:asciiTheme="minorHAnsi" w:eastAsia="PT Sans" w:hAnsiTheme="minorHAnsi" w:cstheme="minorHAnsi"/>
          <w:color w:val="000000" w:themeColor="text1"/>
        </w:rPr>
      </w:pPr>
      <w:r>
        <w:t>acquisitions intracommunautaires d'or ;</w:t>
      </w:r>
    </w:p>
    <w:p w:rsidR="00785857" w:rsidRPr="00EE6670" w:rsidRDefault="00785857" w:rsidP="00785857">
      <w:pPr>
        <w:pStyle w:val="ElAppdivPRECISulli"/>
        <w:pBdr>
          <w:left w:val="none" w:sz="0" w:space="10" w:color="auto"/>
        </w:pBdr>
        <w:spacing w:line="315" w:lineRule="atLeast"/>
        <w:jc w:val="both"/>
        <w:rPr>
          <w:rStyle w:val="ElAppPNUMpContent"/>
          <w:rFonts w:asciiTheme="minorHAnsi" w:eastAsia="PT Sans" w:hAnsiTheme="minorHAnsi" w:cstheme="minorHAnsi"/>
          <w:color w:val="000000" w:themeColor="text1"/>
        </w:rPr>
      </w:pPr>
    </w:p>
    <w:p w:rsidR="00785857" w:rsidRPr="00EE6670" w:rsidRDefault="00785857" w:rsidP="00B16556">
      <w:pPr>
        <w:pStyle w:val="ElAppdivPRECISulli"/>
        <w:numPr>
          <w:ilvl w:val="0"/>
          <w:numId w:val="41"/>
        </w:numPr>
        <w:pBdr>
          <w:left w:val="none" w:sz="0" w:space="10" w:color="auto"/>
        </w:pBdr>
        <w:spacing w:line="315" w:lineRule="atLeast"/>
        <w:jc w:val="both"/>
        <w:rPr>
          <w:rStyle w:val="ElAppPNUMpContent"/>
          <w:rFonts w:asciiTheme="minorHAnsi" w:eastAsia="PT Sans" w:hAnsiTheme="minorHAnsi" w:cstheme="minorHAnsi"/>
          <w:color w:val="000000" w:themeColor="text1"/>
        </w:rPr>
      </w:pPr>
      <w:r>
        <w:t>importations d'or.</w:t>
      </w:r>
    </w:p>
    <w:p w:rsidR="00785857" w:rsidRPr="00EE6670" w:rsidRDefault="00785857" w:rsidP="00785857">
      <w:pPr>
        <w:pStyle w:val="ElAppdivPRECISulli"/>
        <w:pBdr>
          <w:left w:val="none" w:sz="0" w:space="10" w:color="auto"/>
        </w:pBdr>
        <w:spacing w:line="315" w:lineRule="atLeast"/>
        <w:jc w:val="both"/>
        <w:rPr>
          <w:rStyle w:val="ElAppPNUMpContent"/>
          <w:rFonts w:asciiTheme="minorHAnsi" w:eastAsia="PT Sans" w:hAnsiTheme="minorHAnsi" w:cstheme="minorHAnsi"/>
          <w:color w:val="000000" w:themeColor="text1"/>
        </w:rPr>
      </w:pPr>
    </w:p>
    <w:p w:rsidR="00B15665" w:rsidRPr="00EE6670" w:rsidRDefault="00B15665"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8C280A">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t xml:space="preserve">Caroline Carlier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r>
        <w:t>L'option peut être exercée pour chaque livraison (option au « coup par coup »). Il n'y a pas de modalités particulières, Jérôme de Raymond exercée directement sur la facture qui doit Monique Roger : « application des articles 348 à 351 de la directive 2006/112/CE du Conseil du 28 novembre 2006 ».</w:t>
      </w:r>
    </w:p>
    <w:p w:rsidR="00785857" w:rsidRDefault="00785857" w:rsidP="00785857">
      <w:pPr>
        <w:pStyle w:val="ElAppdivAL"/>
        <w:spacing w:before="60"/>
        <w:jc w:val="both"/>
        <w:rPr>
          <w:rStyle w:val="ElAppPNUMpContent"/>
          <w:rFonts w:asciiTheme="minorHAnsi" w:eastAsia="PT Sans" w:hAnsiTheme="minorHAnsi" w:cstheme="minorHAnsi"/>
          <w:color w:val="000000" w:themeColor="text1"/>
        </w:rPr>
      </w:pPr>
      <w:r>
        <w:t>L'absence d'une telle mention indique que l'option n'a pas été exercée.</w:t>
      </w:r>
    </w:p>
    <w:p w:rsidR="008C280A" w:rsidRDefault="008C280A" w:rsidP="00785857">
      <w:pPr>
        <w:pStyle w:val="ElAppdivAL"/>
        <w:spacing w:before="60"/>
        <w:jc w:val="both"/>
        <w:rPr>
          <w:rStyle w:val="ElAppPNUMpContent"/>
          <w:rFonts w:asciiTheme="minorHAnsi" w:eastAsia="PT Sans" w:hAnsiTheme="minorHAnsi" w:cstheme="minorHAnsi"/>
          <w:color w:val="000000" w:themeColor="text1"/>
        </w:rPr>
      </w:pPr>
    </w:p>
    <w:p w:rsidR="008C280A" w:rsidRDefault="008C280A" w:rsidP="00785857">
      <w:pPr>
        <w:pStyle w:val="ElAppdivAL"/>
        <w:spacing w:before="60"/>
        <w:jc w:val="both"/>
        <w:rPr>
          <w:rStyle w:val="ElAppPNUMpContent"/>
          <w:rFonts w:asciiTheme="minorHAnsi" w:eastAsia="PT Sans" w:hAnsiTheme="minorHAnsi" w:cstheme="minorHAnsi"/>
          <w:color w:val="000000" w:themeColor="text1"/>
        </w:rPr>
      </w:pPr>
    </w:p>
    <w:p w:rsidR="008C280A" w:rsidRPr="00EE6670" w:rsidRDefault="008C280A" w:rsidP="00785857">
      <w:pPr>
        <w:pStyle w:val="ElAppdivAL"/>
        <w:spacing w:before="60"/>
        <w:jc w:val="both"/>
        <w:rPr>
          <w:rStyle w:val="ElAppPNUMpContent"/>
          <w:rFonts w:asciiTheme="minorHAnsi" w:eastAsia="PT Sans" w:hAnsiTheme="minorHAnsi" w:cstheme="minorHAnsi"/>
          <w:color w:val="000000" w:themeColor="text1"/>
        </w:rPr>
      </w:pPr>
    </w:p>
    <w:p w:rsidR="00785857" w:rsidRPr="00EE6670" w:rsidRDefault="00785857" w:rsidP="00785857">
      <w:pPr>
        <w:pStyle w:val="ElAppdivPNUM"/>
        <w:spacing w:line="315" w:lineRule="atLeast"/>
        <w:jc w:val="both"/>
        <w:rPr>
          <w:rStyle w:val="ElAppPNUMpNumberNum"/>
          <w:rFonts w:asciiTheme="minorHAnsi" w:eastAsia="PT Sans" w:hAnsiTheme="minorHAnsi" w:cstheme="minorHAnsi"/>
          <w:color w:val="000000" w:themeColor="text1"/>
          <w:sz w:val="24"/>
          <w:szCs w:val="24"/>
        </w:rPr>
      </w:pPr>
    </w:p>
    <w:p w:rsidR="00785857" w:rsidRPr="00EE6670" w:rsidRDefault="00785857" w:rsidP="008C280A">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t xml:space="preserve">Conséquences de l'option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r>
        <w:t>L'exercice de l'option entraîne l'application de la TVA dans les conditions de droit commun. La TVA d'amont est entièrement déductible ; le fait générateur et l'exigibilité se déterminent dans les conditions de droit commun. La base d'imposition est constituée par le prix total. L'assujetti fait mention de l'option sur ses factures.</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t>Thomas Parent-Navarro payée par le destinataire (dispositif d'autoliquidation), le vendeur étant solidairement tenu au paiement.</w:t>
      </w:r>
    </w:p>
    <w:p w:rsidR="008E27D3" w:rsidRDefault="008E27D3" w:rsidP="00785857">
      <w:pPr>
        <w:pStyle w:val="ElAppdivPNUM"/>
        <w:spacing w:line="315" w:lineRule="atLeast"/>
        <w:jc w:val="both"/>
        <w:rPr>
          <w:rStyle w:val="ElAppPNUMdivALnth-of-type1"/>
          <w:rFonts w:asciiTheme="minorHAnsi" w:eastAsia="PT Sans" w:hAnsiTheme="minorHAnsi" w:cstheme="minorHAnsi"/>
          <w:color w:val="333333"/>
        </w:rPr>
      </w:pPr>
    </w:p>
    <w:p w:rsidR="008E27D3" w:rsidRPr="008E27D3" w:rsidRDefault="00EE6670" w:rsidP="00785857">
      <w:pPr>
        <w:pStyle w:val="ElAppdivPNUM"/>
        <w:spacing w:line="315" w:lineRule="atLeast"/>
        <w:jc w:val="both"/>
        <w:rPr>
          <w:rStyle w:val="ElAppPNUMdivALnth-of-type1"/>
          <w:rFonts w:asciiTheme="minorHAnsi" w:eastAsia="PT Sans" w:hAnsiTheme="minorHAnsi" w:cstheme="minorHAnsi"/>
          <w:b/>
          <w:bCs/>
          <w:color w:val="333333"/>
        </w:rPr>
      </w:pPr>
      <w:r>
        <w:t>IV. Régime de la Taxe sur les métaux précieux</w:t>
      </w:r>
    </w:p>
    <w:p w:rsidR="008E27D3" w:rsidRDefault="008E27D3" w:rsidP="00785857">
      <w:pPr>
        <w:pStyle w:val="ElAppdivPNUM"/>
        <w:spacing w:line="315" w:lineRule="atLeast"/>
        <w:jc w:val="both"/>
        <w:rPr>
          <w:rStyle w:val="ElAppPNUMdivALnth-of-type1"/>
          <w:rFonts w:asciiTheme="minorHAnsi" w:eastAsia="PT Sans" w:hAnsiTheme="minorHAnsi" w:cstheme="minorHAnsi"/>
          <w:color w:val="333333"/>
        </w:rPr>
      </w:pP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589"/>
        <w:gridCol w:w="1342"/>
        <w:gridCol w:w="3222"/>
        <w:gridCol w:w="2897"/>
      </w:tblGrid>
      <w:tr w:rsidR="008E27D3" w:rsidRPr="00687EE6" w:rsidTr="00EE27FF">
        <w:trPr>
          <w:tblHeader/>
        </w:trPr>
        <w:tc>
          <w:tcPr>
            <w:tcW w:w="1688"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Domicile fiscal du vendeur ou de l'exportateur</w:t>
            </w:r>
          </w:p>
        </w:tc>
        <w:tc>
          <w:tcPr>
            <w:tcW w:w="142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Nature de l'objet cédé ou exporté</w:t>
            </w: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Opération</w:t>
            </w:r>
          </w:p>
        </w:tc>
        <w:tc>
          <w:tcPr>
            <w:tcW w:w="3402"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Taxe forfaitaire sur les métaux précieux, bijoux, objets d'art, de collection et d'antiquité</w:t>
            </w:r>
          </w:p>
        </w:tc>
      </w:tr>
      <w:tr w:rsidR="008E27D3" w:rsidTr="00EE27FF">
        <w:tc>
          <w:tcPr>
            <w:tcW w:w="1688"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France</w:t>
            </w:r>
          </w:p>
        </w:tc>
        <w:tc>
          <w:tcPr>
            <w:tcW w:w="1420"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Métal précieux, bijoux, objets d'art, de collection et d'antiquité</w:t>
            </w: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Cession en France ou CE</w:t>
            </w:r>
          </w:p>
        </w:tc>
        <w:tc>
          <w:tcPr>
            <w:tcW w:w="3402"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Oui</w:t>
            </w:r>
          </w:p>
        </w:tc>
      </w:tr>
      <w:tr w:rsidR="008E27D3" w:rsidRPr="00687EE6" w:rsidTr="00EE27FF">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Exportation (hors CE) autre que temporaire</w:t>
            </w:r>
          </w:p>
        </w:tc>
        <w:tc>
          <w:tcPr>
            <w:tcW w:w="3402" w:type="dxa"/>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r>
      <w:tr w:rsidR="008E27D3" w:rsidTr="00EE27FF">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Introduction en France en provenance d'un autre État membre de la CE</w:t>
            </w:r>
          </w:p>
        </w:tc>
        <w:tc>
          <w:tcPr>
            <w:tcW w:w="3402"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Non</w:t>
            </w:r>
          </w:p>
        </w:tc>
      </w:tr>
      <w:tr w:rsidR="008E27D3" w:rsidRPr="00687EE6" w:rsidTr="00EE27FF">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20" w:after="120"/>
              <w:jc w:val="center"/>
              <w:rPr>
                <w:rFonts w:ascii="Calibri" w:hAnsi="Calibri" w:cs="Calibri"/>
                <w:sz w:val="22"/>
                <w:szCs w:val="22"/>
              </w:rPr>
            </w:pPr>
            <w:r w:rsidRPr="00ED5C53">
              <w:rPr>
                <w:rFonts w:ascii="Calibri" w:hAnsi="Calibri" w:cs="Calibri"/>
                <w:sz w:val="22"/>
                <w:szCs w:val="22"/>
              </w:rPr>
              <w:t>Transfert de France vers un État membre de la CE</w:t>
            </w:r>
          </w:p>
        </w:tc>
        <w:tc>
          <w:tcPr>
            <w:tcW w:w="3402" w:type="dxa"/>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Autospacing="1" w:afterAutospacing="1"/>
              <w:rPr>
                <w:rFonts w:ascii="Calibri" w:hAnsi="Calibri" w:cs="Calibri"/>
                <w:sz w:val="22"/>
                <w:szCs w:val="22"/>
              </w:rPr>
            </w:pPr>
          </w:p>
        </w:tc>
      </w:tr>
      <w:tr w:rsidR="008E27D3" w:rsidTr="00EE27FF">
        <w:tc>
          <w:tcPr>
            <w:tcW w:w="1688"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Étranger</w:t>
            </w:r>
          </w:p>
        </w:tc>
        <w:tc>
          <w:tcPr>
            <w:tcW w:w="1420"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Métal précieux, bijoux, objets d'art, de collection et d'antiquité</w:t>
            </w: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Cession en France</w:t>
            </w:r>
          </w:p>
        </w:tc>
        <w:tc>
          <w:tcPr>
            <w:tcW w:w="3402"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Non</w:t>
            </w:r>
          </w:p>
        </w:tc>
      </w:tr>
      <w:tr w:rsidR="008E27D3" w:rsidRPr="00687EE6" w:rsidTr="00EE27FF">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Autospacing="1" w:afterAutospacing="1"/>
              <w:rPr>
                <w:rFonts w:ascii="Calibri" w:hAnsi="Calibri" w:cs="Calibri"/>
                <w:sz w:val="22"/>
                <w:szCs w:val="22"/>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Autospacing="1" w:afterAutospacing="1"/>
              <w:rPr>
                <w:rFonts w:ascii="Calibri" w:hAnsi="Calibri" w:cs="Calibri"/>
                <w:sz w:val="22"/>
                <w:szCs w:val="22"/>
              </w:rPr>
            </w:pP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Exportation (hors CE) autre que temporaire</w:t>
            </w:r>
          </w:p>
        </w:tc>
        <w:tc>
          <w:tcPr>
            <w:tcW w:w="3402"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Non, si l'objet a été préalablement importé ou introduit en France par l'exportateur</w:t>
            </w:r>
          </w:p>
        </w:tc>
      </w:tr>
      <w:tr w:rsidR="008E27D3" w:rsidTr="00EE27FF">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Autospacing="1" w:afterAutospacing="1"/>
              <w:rPr>
                <w:rFonts w:ascii="Calibri" w:hAnsi="Calibri" w:cs="Calibri"/>
                <w:sz w:val="22"/>
                <w:szCs w:val="22"/>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Autospacing="1" w:afterAutospacing="1"/>
              <w:rPr>
                <w:rFonts w:ascii="Calibri" w:hAnsi="Calibri" w:cs="Calibri"/>
                <w:sz w:val="22"/>
                <w:szCs w:val="22"/>
              </w:rPr>
            </w:pP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Introduction en France en provenance d'un autre État membre de la CE</w:t>
            </w:r>
          </w:p>
        </w:tc>
        <w:tc>
          <w:tcPr>
            <w:tcW w:w="3402"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Non</w:t>
            </w:r>
          </w:p>
        </w:tc>
      </w:tr>
      <w:tr w:rsidR="008E27D3" w:rsidRPr="00687EE6" w:rsidTr="00EE27FF">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Default="008E27D3" w:rsidP="00EE27FF">
            <w:pPr>
              <w:spacing w:beforeAutospacing="1" w:afterAutospacing="1"/>
              <w:rPr>
                <w:rFonts w:ascii="Verdana" w:hAnsi="Verdana"/>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Default="008E27D3" w:rsidP="00EE27FF">
            <w:pPr>
              <w:spacing w:beforeAutospacing="1" w:afterAutospacing="1"/>
              <w:rPr>
                <w:rFonts w:ascii="Verdana" w:hAnsi="Verdana"/>
              </w:rPr>
            </w:pP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20" w:after="120"/>
              <w:jc w:val="center"/>
              <w:rPr>
                <w:rFonts w:asciiTheme="minorHAnsi" w:hAnsiTheme="minorHAnsi" w:cstheme="minorHAnsi"/>
                <w:sz w:val="20"/>
                <w:szCs w:val="20"/>
              </w:rPr>
            </w:pPr>
            <w:r w:rsidRPr="00ED5C53">
              <w:rPr>
                <w:rFonts w:asciiTheme="minorHAnsi" w:hAnsiTheme="minorHAnsi" w:cstheme="minorHAnsi"/>
                <w:sz w:val="20"/>
                <w:szCs w:val="20"/>
              </w:rPr>
              <w:t>Transfert de France vers un État membre de la CE</w:t>
            </w:r>
          </w:p>
        </w:tc>
        <w:tc>
          <w:tcPr>
            <w:tcW w:w="3402" w:type="dxa"/>
            <w:vMerge/>
            <w:tcBorders>
              <w:top w:val="single" w:sz="6" w:space="0" w:color="CCCCCC"/>
              <w:left w:val="single" w:sz="6" w:space="0" w:color="CCCCCC"/>
              <w:bottom w:val="single" w:sz="6" w:space="0" w:color="CCCCCC"/>
              <w:right w:val="single" w:sz="6" w:space="0" w:color="CCCCCC"/>
            </w:tcBorders>
            <w:vAlign w:val="center"/>
            <w:hideMark/>
          </w:tcPr>
          <w:p w:rsidR="008E27D3" w:rsidRPr="00687EE6" w:rsidRDefault="008E27D3" w:rsidP="00EE27FF">
            <w:pPr>
              <w:spacing w:beforeAutospacing="1" w:afterAutospacing="1"/>
              <w:rPr>
                <w:rFonts w:ascii="Verdana" w:hAnsi="Verdana"/>
              </w:rPr>
            </w:pPr>
          </w:p>
        </w:tc>
      </w:tr>
    </w:tbl>
    <w:p w:rsidR="008E27D3" w:rsidRDefault="008E27D3" w:rsidP="00785857">
      <w:pPr>
        <w:pStyle w:val="ElAppdivPNUM"/>
        <w:spacing w:line="315" w:lineRule="atLeast"/>
        <w:jc w:val="both"/>
        <w:rPr>
          <w:rFonts w:asciiTheme="minorHAnsi" w:eastAsia="PT Sans" w:hAnsiTheme="minorHAnsi" w:cstheme="minorHAnsi"/>
          <w:color w:val="333333"/>
        </w:rPr>
      </w:pPr>
    </w:p>
    <w:p w:rsidR="00B405E6" w:rsidRPr="00B405E6" w:rsidRDefault="00B405E6" w:rsidP="00B405E6">
      <w:pPr>
        <w:spacing w:before="100" w:beforeAutospacing="1" w:after="100" w:afterAutospacing="1"/>
        <w:jc w:val="both"/>
        <w:rPr>
          <w:rFonts w:ascii="Calibri" w:hAnsi="Calibri" w:cs="Calibri"/>
          <w:b/>
          <w:bCs/>
          <w:color w:val="FF0000"/>
          <w:sz w:val="22"/>
          <w:szCs w:val="22"/>
        </w:rPr>
      </w:pPr>
      <w:r>
        <w:t>Dans le cadre de la vente d’or d’investissement de la société basée à Dubaï vers un client basé en 5, avenue Anne De Sousa, 68132 Rousseldan, l’or importé ne sera pas soumis à la Taxe forfaitaire sur les métaux précieux, bijoux, objets d'art, de collection et d'antiquité.</w:t>
      </w:r>
    </w:p>
    <w:p w:rsidR="00B405E6" w:rsidRPr="008E27D3" w:rsidRDefault="00B405E6" w:rsidP="00785857">
      <w:pPr>
        <w:pStyle w:val="ElAppdivPNUM"/>
        <w:spacing w:line="315" w:lineRule="atLeast"/>
        <w:jc w:val="both"/>
        <w:rPr>
          <w:rFonts w:asciiTheme="minorHAnsi" w:eastAsia="PT Sans" w:hAnsiTheme="minorHAnsi" w:cstheme="minorHAnsi"/>
          <w:color w:val="333333"/>
        </w:rPr>
      </w:pPr>
    </w:p>
    <w:p w:rsidR="00523219" w:rsidRDefault="00523219" w:rsidP="00C17BCA">
      <w:pPr>
        <w:tabs>
          <w:tab w:val="left" w:pos="1134"/>
        </w:tabs>
        <w:jc w:val="both"/>
        <w:rPr>
          <w:rFonts w:asciiTheme="minorHAnsi" w:hAnsiTheme="minorHAnsi"/>
          <w:b/>
          <w:color w:val="4D5CA7"/>
        </w:rPr>
      </w:pPr>
    </w:p>
    <w:p w:rsidR="00AA369B" w:rsidRDefault="008C280A" w:rsidP="00C17BCA">
      <w:pPr>
        <w:tabs>
          <w:tab w:val="left" w:pos="1134"/>
        </w:tabs>
        <w:jc w:val="both"/>
        <w:rPr>
          <w:rFonts w:asciiTheme="minorHAnsi" w:hAnsiTheme="minorHAnsi"/>
          <w:b/>
          <w:color w:val="000000" w:themeColor="text1"/>
        </w:rPr>
      </w:pPr>
      <w:r>
        <w:t>V. Rapatriement des avoirs</w:t>
      </w:r>
    </w:p>
    <w:p w:rsidR="00AA369B" w:rsidRDefault="00AA369B" w:rsidP="00C17BCA">
      <w:pPr>
        <w:tabs>
          <w:tab w:val="left" w:pos="1134"/>
        </w:tabs>
        <w:jc w:val="both"/>
        <w:rPr>
          <w:rFonts w:asciiTheme="minorHAnsi" w:hAnsiTheme="minorHAnsi"/>
          <w:b/>
          <w:color w:val="000000" w:themeColor="text1"/>
        </w:rPr>
      </w:pPr>
    </w:p>
    <w:p w:rsidR="00805A54" w:rsidRDefault="001B4609" w:rsidP="00B16556">
      <w:pPr>
        <w:numPr>
          <w:ilvl w:val="0"/>
          <w:numId w:val="17"/>
        </w:numPr>
        <w:tabs>
          <w:tab w:val="left" w:pos="1134"/>
        </w:tabs>
        <w:jc w:val="both"/>
        <w:rPr>
          <w:rFonts w:asciiTheme="minorHAnsi" w:hAnsiTheme="minorHAnsi"/>
          <w:b/>
          <w:color w:val="000000" w:themeColor="text1"/>
        </w:rPr>
      </w:pPr>
      <w:r>
        <w:t>Le traitement des retenues à la source sur revenus passifs</w:t>
      </w:r>
    </w:p>
    <w:p w:rsidR="004C7555" w:rsidRDefault="004C7555" w:rsidP="00C17BCA">
      <w:pPr>
        <w:tabs>
          <w:tab w:val="left" w:pos="1134"/>
        </w:tabs>
        <w:jc w:val="both"/>
        <w:rPr>
          <w:rFonts w:asciiTheme="minorHAnsi" w:hAnsiTheme="minorHAnsi"/>
          <w:b/>
          <w:color w:val="000000" w:themeColor="text1"/>
        </w:rPr>
      </w:pPr>
    </w:p>
    <w:p w:rsidR="004C7555" w:rsidRDefault="004C7555" w:rsidP="004C7555">
      <w:pPr>
        <w:spacing w:line="240" w:lineRule="atLeast"/>
        <w:jc w:val="both"/>
        <w:rPr>
          <w:rFonts w:ascii="Calibri" w:hAnsi="Calibri" w:cs="Arial"/>
        </w:rPr>
      </w:pPr>
      <w:r>
        <w:t>En général, les États cherchent à imposer les revenus passifs (dividendes, intérêts et redevances), car ils considèrent que le rattachement à leur territoire est suffisant pour qu’il soit légitime que le bénéficiaire contribue effectivement aux charges publiques. Mais le plus souvent, ils se contentent d’une imposition atténuée par rapport à celle qu’ils appliquent aux résidents.</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t>L’imposition est encore plus limitée lorsqu’il existe une convention fiscale qui peut :</w:t>
      </w:r>
    </w:p>
    <w:p w:rsidR="004C7555" w:rsidRDefault="004C7555" w:rsidP="004C7555">
      <w:pPr>
        <w:spacing w:line="240" w:lineRule="atLeast"/>
        <w:jc w:val="both"/>
        <w:rPr>
          <w:rFonts w:ascii="Calibri" w:hAnsi="Calibri" w:cs="Arial"/>
        </w:rPr>
      </w:pPr>
    </w:p>
    <w:p w:rsidR="004C7555" w:rsidRDefault="004C7555" w:rsidP="00B16556">
      <w:pPr>
        <w:numPr>
          <w:ilvl w:val="0"/>
          <w:numId w:val="15"/>
        </w:numPr>
        <w:tabs>
          <w:tab w:val="left" w:pos="1134"/>
        </w:tabs>
        <w:spacing w:line="240" w:lineRule="atLeast"/>
        <w:ind w:left="1134" w:hanging="567"/>
        <w:jc w:val="both"/>
        <w:rPr>
          <w:rFonts w:ascii="Calibri" w:hAnsi="Calibri" w:cs="Arial"/>
        </w:rPr>
      </w:pPr>
      <w:r>
        <w:t>soit retirer le droit d’imposer à l’État de la source ;</w:t>
      </w:r>
    </w:p>
    <w:p w:rsidR="004C7555" w:rsidRDefault="004C7555" w:rsidP="004C7555">
      <w:pPr>
        <w:tabs>
          <w:tab w:val="left" w:pos="1134"/>
        </w:tabs>
        <w:spacing w:line="240" w:lineRule="atLeast"/>
        <w:ind w:left="1134"/>
        <w:jc w:val="both"/>
        <w:rPr>
          <w:rFonts w:ascii="Calibri" w:hAnsi="Calibri" w:cs="Arial"/>
        </w:rPr>
      </w:pPr>
    </w:p>
    <w:p w:rsidR="004C7555" w:rsidRDefault="004C7555" w:rsidP="00B16556">
      <w:pPr>
        <w:numPr>
          <w:ilvl w:val="0"/>
          <w:numId w:val="15"/>
        </w:numPr>
        <w:tabs>
          <w:tab w:val="left" w:pos="1134"/>
        </w:tabs>
        <w:spacing w:line="240" w:lineRule="atLeast"/>
        <w:ind w:left="1134" w:hanging="567"/>
        <w:jc w:val="both"/>
        <w:rPr>
          <w:rFonts w:ascii="Calibri" w:hAnsi="Calibri" w:cs="Arial"/>
        </w:rPr>
      </w:pPr>
      <w:r>
        <w:t>soit plafonner l’imposition permise par cet État.</w:t>
      </w:r>
    </w:p>
    <w:p w:rsidR="004C7555" w:rsidRDefault="004C7555" w:rsidP="004C7555">
      <w:pPr>
        <w:tabs>
          <w:tab w:val="left" w:pos="1134"/>
        </w:tabs>
        <w:spacing w:line="240" w:lineRule="atLeast"/>
        <w:jc w:val="both"/>
        <w:rPr>
          <w:rFonts w:ascii="Calibri" w:hAnsi="Calibri" w:cs="Arial"/>
        </w:rPr>
      </w:pPr>
    </w:p>
    <w:p w:rsidR="004C7555" w:rsidRDefault="004C7555" w:rsidP="004C7555">
      <w:pPr>
        <w:tabs>
          <w:tab w:val="left" w:pos="1134"/>
        </w:tabs>
        <w:spacing w:line="240" w:lineRule="atLeast"/>
        <w:jc w:val="both"/>
        <w:rPr>
          <w:rFonts w:ascii="Calibri" w:hAnsi="Calibri" w:cs="Arial"/>
        </w:rPr>
      </w:pPr>
      <w:r>
        <w:t>Pour tenir compte de ce que le bénéficiaire n’a normalement pas de liens très étroits avec l’État de la source, et aussi pour éviter trop de difficultés de recouvrement, l’imposition se fait par voie de retenue à la source.</w:t>
      </w:r>
    </w:p>
    <w:p w:rsidR="004C7555" w:rsidRDefault="004C7555" w:rsidP="004C7555">
      <w:pPr>
        <w:spacing w:line="240" w:lineRule="atLeast"/>
        <w:jc w:val="both"/>
        <w:rPr>
          <w:rFonts w:ascii="Calibri" w:hAnsi="Calibri" w:cs="Arial"/>
        </w:rPr>
      </w:pPr>
    </w:p>
    <w:p w:rsidR="004C7555" w:rsidRDefault="004C7555" w:rsidP="00B16556">
      <w:pPr>
        <w:numPr>
          <w:ilvl w:val="0"/>
          <w:numId w:val="14"/>
        </w:numPr>
        <w:spacing w:line="240" w:lineRule="atLeast"/>
        <w:ind w:left="2268" w:hanging="567"/>
        <w:jc w:val="both"/>
        <w:rPr>
          <w:rFonts w:ascii="Calibri" w:hAnsi="Calibri" w:cs="Arial"/>
        </w:rPr>
      </w:pPr>
      <w:r>
        <w:t>Qualité de non-résident</w:t>
      </w:r>
    </w:p>
    <w:p w:rsidR="004C7555" w:rsidRDefault="004C7555" w:rsidP="004C7555">
      <w:pPr>
        <w:spacing w:line="240" w:lineRule="atLeast"/>
        <w:jc w:val="both"/>
        <w:rPr>
          <w:rFonts w:ascii="Calibri" w:hAnsi="Calibri" w:cs="Arial"/>
        </w:rPr>
      </w:pPr>
    </w:p>
    <w:p w:rsidR="00E61202" w:rsidRDefault="004C7555" w:rsidP="004C7555">
      <w:pPr>
        <w:spacing w:line="240" w:lineRule="atLeast"/>
        <w:jc w:val="both"/>
        <w:rPr>
          <w:rFonts w:ascii="Calibri" w:hAnsi="Calibri" w:cs="Arial"/>
        </w:rPr>
      </w:pPr>
      <w:r>
        <w:t>rue Chantal Pereira, 37400 Gérard-sur-Delmas fiscalité internationale applicable aux revenus passifs est normalement celle d’une imposition à la source (à un taux plafonné par les conventions fiscal, le cas échéant), qui constitue un crédit d’impôt dans l’État de résidence du bénéficiaire. Marthe Clément repose en général sur la justification Marie Hoareau de la Jean du bénéficiaire en dehors de l’État de la source des revenus, c’est à dire normalement de celui du domicile du débiteur.</w:t>
      </w:r>
    </w:p>
    <w:p w:rsidR="008D69C7" w:rsidRDefault="008D69C7" w:rsidP="004C7555">
      <w:pPr>
        <w:spacing w:line="240" w:lineRule="atLeast"/>
        <w:jc w:val="both"/>
        <w:rPr>
          <w:rFonts w:ascii="Calibri" w:hAnsi="Calibri" w:cs="Arial"/>
        </w:rPr>
      </w:pPr>
    </w:p>
    <w:p w:rsidR="00E61202" w:rsidRDefault="00E61202" w:rsidP="004C7555">
      <w:pPr>
        <w:spacing w:line="240" w:lineRule="atLeast"/>
        <w:jc w:val="both"/>
        <w:rPr>
          <w:rFonts w:ascii="Calibri" w:hAnsi="Calibri" w:cs="Arial"/>
        </w:rPr>
      </w:pPr>
    </w:p>
    <w:p w:rsidR="004C7555" w:rsidRDefault="004C7555" w:rsidP="00B16556">
      <w:pPr>
        <w:numPr>
          <w:ilvl w:val="0"/>
          <w:numId w:val="13"/>
        </w:numPr>
        <w:tabs>
          <w:tab w:val="left" w:pos="1701"/>
        </w:tabs>
        <w:spacing w:line="240" w:lineRule="atLeast"/>
        <w:ind w:left="1701" w:hanging="567"/>
        <w:jc w:val="both"/>
        <w:rPr>
          <w:rFonts w:ascii="Calibri" w:hAnsi="Calibri" w:cs="Arial"/>
        </w:rPr>
      </w:pPr>
      <w:r>
        <w:t>Alex Lefort justification de la qualité de non-résident</w:t>
      </w:r>
    </w:p>
    <w:p w:rsidR="004C7555" w:rsidRDefault="004C7555" w:rsidP="004C7555">
      <w:pPr>
        <w:tabs>
          <w:tab w:val="left" w:pos="1701"/>
        </w:tabs>
        <w:spacing w:line="240" w:lineRule="atLeast"/>
        <w:jc w:val="both"/>
        <w:rPr>
          <w:rFonts w:ascii="Calibri" w:hAnsi="Calibri" w:cs="Arial"/>
        </w:rPr>
      </w:pPr>
    </w:p>
    <w:p w:rsidR="004C7555" w:rsidRPr="008E7D41" w:rsidRDefault="004C7555" w:rsidP="004C7555">
      <w:pPr>
        <w:tabs>
          <w:tab w:val="left" w:pos="1701"/>
        </w:tabs>
        <w:spacing w:line="240" w:lineRule="atLeast"/>
        <w:jc w:val="both"/>
        <w:rPr>
          <w:rFonts w:ascii="Calibri" w:hAnsi="Calibri" w:cs="Arial"/>
          <w:color w:val="000000" w:themeColor="text1"/>
        </w:rPr>
      </w:pPr>
      <w:r>
        <w:t xml:space="preserve">D’une manière générale, la personne qui souhaite bénéficier du régime d’imposition atténuée réservé aux non-résidents doit justifier de sa qualité. Il faut éviter, en effet, que des résidents cherchent à éluder l’impôt en se prétendant non-résidents. </w:t>
      </w:r>
    </w:p>
    <w:p w:rsidR="004C7555" w:rsidRPr="008E7D41" w:rsidRDefault="004C7555" w:rsidP="004C7555">
      <w:pPr>
        <w:tabs>
          <w:tab w:val="left" w:pos="1701"/>
        </w:tabs>
        <w:spacing w:line="240" w:lineRule="atLeast"/>
        <w:jc w:val="both"/>
        <w:rPr>
          <w:rFonts w:ascii="Calibri" w:hAnsi="Calibri" w:cs="Arial"/>
          <w:color w:val="000000" w:themeColor="text1"/>
        </w:rPr>
      </w:pPr>
    </w:p>
    <w:p w:rsidR="004C7555" w:rsidRPr="008E7D41" w:rsidRDefault="004C7555" w:rsidP="00B16556">
      <w:pPr>
        <w:numPr>
          <w:ilvl w:val="0"/>
          <w:numId w:val="16"/>
        </w:numPr>
        <w:tabs>
          <w:tab w:val="left" w:pos="1701"/>
        </w:tabs>
        <w:spacing w:line="240" w:lineRule="atLeast"/>
        <w:jc w:val="both"/>
        <w:rPr>
          <w:rFonts w:ascii="Calibri" w:hAnsi="Calibri" w:cs="Arial"/>
          <w:color w:val="000000" w:themeColor="text1"/>
        </w:rPr>
      </w:pPr>
      <w:r>
        <w:t>En l’absence d’une convention fiscale</w:t>
      </w:r>
    </w:p>
    <w:p w:rsidR="004C7555" w:rsidRPr="008E7D41" w:rsidRDefault="004C7555" w:rsidP="004C7555">
      <w:pPr>
        <w:tabs>
          <w:tab w:val="left" w:pos="1701"/>
        </w:tabs>
        <w:spacing w:line="240" w:lineRule="atLeast"/>
        <w:jc w:val="both"/>
        <w:rPr>
          <w:rFonts w:ascii="Calibri" w:hAnsi="Calibri" w:cs="Arial"/>
          <w:color w:val="000000" w:themeColor="text1"/>
        </w:rPr>
      </w:pPr>
    </w:p>
    <w:p w:rsidR="004C7555" w:rsidRPr="008E7D41" w:rsidRDefault="004C7555" w:rsidP="004C7555">
      <w:pPr>
        <w:tabs>
          <w:tab w:val="left" w:pos="1701"/>
        </w:tabs>
        <w:spacing w:line="240" w:lineRule="atLeast"/>
        <w:jc w:val="both"/>
        <w:rPr>
          <w:rFonts w:ascii="Calibri" w:hAnsi="Calibri" w:cs="Arial"/>
          <w:color w:val="000000" w:themeColor="text1"/>
        </w:rPr>
      </w:pPr>
      <w:r>
        <w:t>Lorsque l’exonération ou le taux réduit résultent du droit interne et non pas de l’application d’une convention fiscale, l’administration n’exige pas, en principe, la présentation des formulaires mis au point pour l’application de la convention fiscale. Dès lors, il convient de faire application des dispositions prévues en droit interne.</w:t>
      </w:r>
    </w:p>
    <w:p w:rsidR="004C7555" w:rsidRPr="008E7D41" w:rsidRDefault="004C7555" w:rsidP="004C7555">
      <w:pPr>
        <w:tabs>
          <w:tab w:val="left" w:pos="1701"/>
        </w:tabs>
        <w:spacing w:line="240" w:lineRule="atLeast"/>
        <w:jc w:val="both"/>
        <w:rPr>
          <w:rFonts w:ascii="Calibri" w:hAnsi="Calibri" w:cs="Arial"/>
          <w:color w:val="000000" w:themeColor="text1"/>
        </w:rPr>
      </w:pPr>
    </w:p>
    <w:p w:rsidR="004C7555" w:rsidRPr="008E7D41" w:rsidRDefault="004C7555" w:rsidP="004C7555">
      <w:pPr>
        <w:tabs>
          <w:tab w:val="left" w:pos="1701"/>
        </w:tabs>
        <w:spacing w:line="240" w:lineRule="atLeast"/>
        <w:jc w:val="both"/>
        <w:rPr>
          <w:rFonts w:ascii="Calibri" w:hAnsi="Calibri" w:cs="Arial"/>
          <w:color w:val="000000" w:themeColor="text1"/>
        </w:rPr>
      </w:pPr>
      <w:r>
        <w:tab/>
        <w:t>b)  En présence d’une convention fiscale</w:t>
      </w:r>
    </w:p>
    <w:p w:rsidR="004C7555" w:rsidRPr="008E7D41" w:rsidRDefault="004C7555" w:rsidP="004C7555">
      <w:pPr>
        <w:spacing w:line="240" w:lineRule="atLeast"/>
        <w:jc w:val="both"/>
        <w:rPr>
          <w:rFonts w:ascii="Calibri" w:hAnsi="Calibri" w:cs="Arial"/>
          <w:color w:val="000000" w:themeColor="text1"/>
        </w:rPr>
      </w:pPr>
    </w:p>
    <w:p w:rsidR="004C7555" w:rsidRPr="008E7D41" w:rsidRDefault="004C7555" w:rsidP="004C7555">
      <w:pPr>
        <w:spacing w:line="240" w:lineRule="atLeast"/>
        <w:jc w:val="both"/>
        <w:rPr>
          <w:rFonts w:ascii="Calibri" w:hAnsi="Calibri" w:cs="Arial"/>
          <w:color w:val="000000" w:themeColor="text1"/>
        </w:rPr>
      </w:pPr>
      <w:r>
        <w:t>En principe, le bénéfice des dispositions prévues par les conventions fiscales est réservé aux personnes qui peuvent présenter tout document établissant leur résidence fiscale comme par exemple, une attestation de résidence établie par les services fiscaux du pays source des revenus.</w:t>
      </w:r>
    </w:p>
    <w:p w:rsidR="004C7555" w:rsidRPr="008E7D41" w:rsidRDefault="004C7555" w:rsidP="004C7555">
      <w:pPr>
        <w:spacing w:line="240" w:lineRule="atLeast"/>
        <w:jc w:val="both"/>
        <w:rPr>
          <w:rFonts w:ascii="Calibri" w:hAnsi="Calibri" w:cs="Arial"/>
          <w:color w:val="000000" w:themeColor="text1"/>
        </w:rPr>
      </w:pPr>
    </w:p>
    <w:p w:rsidR="004C7555" w:rsidRPr="008E7D41" w:rsidRDefault="004C7555" w:rsidP="004C7555">
      <w:pPr>
        <w:spacing w:line="240" w:lineRule="atLeast"/>
        <w:jc w:val="both"/>
        <w:rPr>
          <w:rFonts w:ascii="Calibri" w:hAnsi="Calibri" w:cs="Arial"/>
          <w:color w:val="000000" w:themeColor="text1"/>
        </w:rPr>
      </w:pPr>
      <w:r>
        <w:t>Le bénéficiaire non résident, doit, en outre, avoir la qualité de « bénéficiaire effectif » ou de « bénéficiaire réel » pour se prévaloir des conventions fiscales.</w:t>
      </w:r>
    </w:p>
    <w:p w:rsidR="004C7555" w:rsidRPr="008E7D41" w:rsidRDefault="004C7555" w:rsidP="004C7555">
      <w:pPr>
        <w:spacing w:line="240" w:lineRule="atLeast"/>
        <w:jc w:val="both"/>
        <w:rPr>
          <w:rFonts w:ascii="Calibri" w:hAnsi="Calibri" w:cs="Arial"/>
          <w:color w:val="000000" w:themeColor="text1"/>
        </w:rPr>
      </w:pPr>
    </w:p>
    <w:p w:rsidR="004C7555" w:rsidRPr="008E7D41" w:rsidRDefault="004C7555" w:rsidP="00B16556">
      <w:pPr>
        <w:numPr>
          <w:ilvl w:val="0"/>
          <w:numId w:val="13"/>
        </w:numPr>
        <w:tabs>
          <w:tab w:val="left" w:pos="1701"/>
        </w:tabs>
        <w:spacing w:line="240" w:lineRule="atLeast"/>
        <w:ind w:left="1701" w:hanging="567"/>
        <w:jc w:val="both"/>
        <w:rPr>
          <w:rFonts w:ascii="Calibri" w:hAnsi="Calibri" w:cs="Arial"/>
          <w:color w:val="000000" w:themeColor="text1"/>
        </w:rPr>
      </w:pPr>
      <w:r>
        <w:t>Le mécanisme d’application de la retenue à la source</w:t>
      </w:r>
    </w:p>
    <w:p w:rsidR="004C7555" w:rsidRPr="008E7D41" w:rsidRDefault="004C7555" w:rsidP="004C7555">
      <w:pPr>
        <w:tabs>
          <w:tab w:val="left" w:pos="1701"/>
        </w:tabs>
        <w:spacing w:line="240" w:lineRule="atLeast"/>
        <w:jc w:val="both"/>
        <w:rPr>
          <w:rFonts w:ascii="Calibri" w:hAnsi="Calibri" w:cs="Arial"/>
          <w:color w:val="000000" w:themeColor="text1"/>
        </w:rPr>
      </w:pPr>
    </w:p>
    <w:p w:rsidR="004C7555" w:rsidRPr="008E7D41" w:rsidRDefault="004C7555" w:rsidP="004C7555">
      <w:pPr>
        <w:spacing w:line="240" w:lineRule="atLeast"/>
        <w:jc w:val="both"/>
        <w:rPr>
          <w:rFonts w:ascii="Calibri" w:hAnsi="Calibri" w:cs="Arial"/>
          <w:color w:val="000000" w:themeColor="text1"/>
        </w:rPr>
      </w:pPr>
      <w:r>
        <w:t>Grégoire Hervé source est prélevée automatiquement sur le montant brut versé par l’établissement payeur. Stéphane Guillon production d’une déclaration, faisant apparaître l’identité et l’adresse du bénéficiaire, ainsi que le montant brut des sommes soumises à la retenue, le taux et le montant de cette retenue.</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t>André Allain-Simon possession des justificatifs nécessaires avant le paiement, Éric-Georges Grégoire s’oppose à ce qu’il applique le taux réduit (ou l’exonération à la source) prévu par le droit interne ou par une convention fiscale.</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t>Honoré Blanc pas de justificatifs suffisants, il doit normalement appliquer Adèle Bonneau-Bazin prévue en droit interne. L’excédent Arnaude Girard-Gilbert.</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t>Afin d’obtenir le remboursement de l’excédent prélevé, il convient de présenter à l’administration fiscale compétente, au plus tard le 31 décembre de la deuxième année qui suit celle du [DATE_TIME_AFFD] de l’impôt à rembourser.</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t>Toutefois, le délai expire au 31 décembre de l’année suivante celle au cours de laquelle la retenue à la source a été opérée s’il s’agit d’une contestation relative à l’application de la retenue.</w:t>
      </w:r>
    </w:p>
    <w:p w:rsidR="0077147D" w:rsidRPr="00402329" w:rsidRDefault="0077147D" w:rsidP="004C7555">
      <w:pPr>
        <w:spacing w:line="240" w:lineRule="atLeast"/>
        <w:jc w:val="both"/>
        <w:rPr>
          <w:rFonts w:ascii="Calibri" w:hAnsi="Calibri" w:cs="Arial"/>
        </w:rPr>
      </w:pPr>
    </w:p>
    <w:p w:rsidR="004C7555" w:rsidRDefault="004C7555" w:rsidP="00B16556">
      <w:pPr>
        <w:numPr>
          <w:ilvl w:val="0"/>
          <w:numId w:val="14"/>
        </w:numPr>
        <w:spacing w:line="240" w:lineRule="atLeast"/>
        <w:ind w:left="2268" w:hanging="503"/>
        <w:jc w:val="both"/>
        <w:rPr>
          <w:rFonts w:ascii="Calibri" w:hAnsi="Calibri" w:cs="Arial"/>
        </w:rPr>
      </w:pPr>
      <w:r>
        <w:t xml:space="preserve"> Procédure simplifiée</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t>La procédure dite simplifiée permet de se voir accorder le bénéfice du taux conventionnel au moment de la mise en paiement des dividendes ; elle s’applique à la généralité des actionnaires non-résidents.</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t>Peuvent en bénéficier tous les dividendes payés par des sociétés qui ont leur siège dans le pays de paiement.</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t xml:space="preserve">Afin de bénéficier des dispositions prévues par les conventions fiscales, le bénéficiaire doit remplir un certain 54, boulevard Carpentier, 48566 Arnaud conditions, et notamment il doit être soumis à un impôt sur les revenus dans l’État de résidence du bénéficiaire à raison des revenus distribués. </w:t>
      </w:r>
    </w:p>
    <w:p w:rsidR="004C7555" w:rsidRDefault="004C7555" w:rsidP="004C7555">
      <w:pPr>
        <w:spacing w:line="240" w:lineRule="atLeast"/>
        <w:jc w:val="both"/>
        <w:rPr>
          <w:rFonts w:ascii="Calibri" w:hAnsi="Calibri" w:cs="Arial"/>
        </w:rPr>
      </w:pPr>
    </w:p>
    <w:p w:rsidR="004C7555" w:rsidRPr="008E7D41" w:rsidRDefault="004C7555" w:rsidP="004C7555">
      <w:pPr>
        <w:tabs>
          <w:tab w:val="left" w:pos="0"/>
        </w:tabs>
        <w:spacing w:line="240" w:lineRule="atLeast"/>
        <w:jc w:val="both"/>
        <w:rPr>
          <w:rFonts w:ascii="Calibri" w:hAnsi="Calibri" w:cs="Arial"/>
          <w:color w:val="000000" w:themeColor="text1"/>
        </w:rPr>
      </w:pPr>
      <w:r>
        <w:t>Dans la cadre de la procédure simplifiée, l’actionnaire non-résident est autorisé à faire sa demande de réduction du taux de retenue à la source sur présentation d’une attestation de résidence dont les modalités sont propres à chaque pays. L’attestation de résidence doit être visée par l’administration fiscale du pays de résidence.</w:t>
      </w:r>
    </w:p>
    <w:p w:rsidR="004C7555" w:rsidRPr="008E7D41" w:rsidRDefault="004C7555" w:rsidP="004C7555">
      <w:pPr>
        <w:tabs>
          <w:tab w:val="left" w:pos="0"/>
        </w:tabs>
        <w:spacing w:line="240" w:lineRule="atLeast"/>
        <w:jc w:val="both"/>
        <w:rPr>
          <w:rFonts w:ascii="Calibri" w:hAnsi="Calibri" w:cs="Arial"/>
          <w:color w:val="000000" w:themeColor="text1"/>
        </w:rPr>
      </w:pPr>
    </w:p>
    <w:p w:rsidR="004C7555" w:rsidRPr="008E7D41" w:rsidRDefault="004C7555" w:rsidP="004C7555">
      <w:pPr>
        <w:tabs>
          <w:tab w:val="left" w:pos="0"/>
        </w:tabs>
        <w:spacing w:line="240" w:lineRule="atLeast"/>
        <w:jc w:val="both"/>
        <w:rPr>
          <w:rFonts w:ascii="Calibri" w:hAnsi="Calibri" w:cs="Arial"/>
          <w:color w:val="000000" w:themeColor="text1"/>
        </w:rPr>
      </w:pPr>
      <w:r>
        <w:t>L’attestation doit être établie en trois exemplaires, un pour l’administration de l’État de résidence, un autre pour l’actionnaire et le troisième pour l’administration du pays de source des revenus.</w:t>
      </w:r>
    </w:p>
    <w:p w:rsidR="004C7555" w:rsidRPr="008E7D41" w:rsidRDefault="004C7555" w:rsidP="004C7555">
      <w:pPr>
        <w:tabs>
          <w:tab w:val="left" w:pos="0"/>
        </w:tabs>
        <w:spacing w:line="240" w:lineRule="atLeast"/>
        <w:jc w:val="both"/>
        <w:rPr>
          <w:rFonts w:ascii="Calibri" w:hAnsi="Calibri" w:cs="Arial"/>
          <w:color w:val="000000" w:themeColor="text1"/>
        </w:rPr>
      </w:pPr>
    </w:p>
    <w:p w:rsidR="004C7555" w:rsidRPr="008E7D41" w:rsidRDefault="004C7555" w:rsidP="004C7555">
      <w:pPr>
        <w:tabs>
          <w:tab w:val="left" w:pos="0"/>
        </w:tabs>
        <w:spacing w:line="240" w:lineRule="atLeast"/>
        <w:jc w:val="both"/>
        <w:rPr>
          <w:rFonts w:ascii="Calibri" w:hAnsi="Calibri" w:cs="Arial"/>
          <w:color w:val="000000" w:themeColor="text1"/>
        </w:rPr>
      </w:pPr>
      <w:r>
        <w:t>L’attestation a une durée de validité d’un an correspondant à l’année civile au cours de laquelle elle a été délivrée par l’administration fiscale du pays source. Néanmoins, les établissements payeurs sont autorisés à produire les attestations déposées au [DATE_TIME_115E]. Dans ce cas, ils doivent être en mesure de fournir au cours de l’année N+1 une attestation de résidence dûment complétée en N+1 par l’administration du pays de résidence de chacun des associés non-résidents Martin-Franck Lamy d’assouplissement.</w:t>
      </w:r>
    </w:p>
    <w:p w:rsidR="004C7555" w:rsidRDefault="004C7555" w:rsidP="004C7555">
      <w:pPr>
        <w:tabs>
          <w:tab w:val="left" w:pos="0"/>
        </w:tabs>
        <w:spacing w:line="240" w:lineRule="atLeast"/>
        <w:jc w:val="both"/>
        <w:rPr>
          <w:rFonts w:ascii="Calibri" w:hAnsi="Calibri" w:cs="Arial"/>
        </w:rPr>
      </w:pPr>
    </w:p>
    <w:p w:rsidR="004C7555" w:rsidRDefault="004C7555" w:rsidP="004C7555">
      <w:pPr>
        <w:tabs>
          <w:tab w:val="left" w:pos="0"/>
        </w:tabs>
        <w:spacing w:line="240" w:lineRule="atLeast"/>
        <w:jc w:val="both"/>
        <w:rPr>
          <w:rFonts w:ascii="Calibri" w:hAnsi="Calibri" w:cs="Arial"/>
        </w:rPr>
      </w:pPr>
      <w:r>
        <w:t>L’actionnaire doit adresser au plus tôt et, en tout état de cause avant la mise en paiement des dividendes, le troisième exemplaire de l’attestation d’établissement à l’établissement qui gère son compte.</w:t>
      </w:r>
    </w:p>
    <w:p w:rsidR="004C7555" w:rsidRDefault="004C7555" w:rsidP="004C7555">
      <w:pPr>
        <w:tabs>
          <w:tab w:val="left" w:pos="0"/>
        </w:tabs>
        <w:spacing w:line="240" w:lineRule="atLeast"/>
        <w:jc w:val="both"/>
        <w:rPr>
          <w:rFonts w:ascii="Calibri" w:hAnsi="Calibri" w:cs="Arial"/>
        </w:rPr>
      </w:pPr>
    </w:p>
    <w:p w:rsidR="00AA369B" w:rsidRDefault="004C7555" w:rsidP="004C7555">
      <w:pPr>
        <w:tabs>
          <w:tab w:val="left" w:pos="0"/>
        </w:tabs>
        <w:spacing w:line="240" w:lineRule="atLeast"/>
        <w:jc w:val="both"/>
        <w:rPr>
          <w:rFonts w:ascii="Calibri" w:hAnsi="Calibri" w:cs="Arial"/>
        </w:rPr>
      </w:pPr>
      <w:r>
        <w:t>Geneviève Lefort Le Marty n’a pas été reçue par le gestionnaire de compte ou l’établissement payeur à la date de mise en paiement des dividendes, ceux-ci sont liquidés sous déduction de la retenue de droit interne.</w:t>
      </w:r>
    </w:p>
    <w:p w:rsidR="00AA369B" w:rsidRDefault="00AA369B" w:rsidP="004C7555">
      <w:pPr>
        <w:tabs>
          <w:tab w:val="left" w:pos="0"/>
        </w:tabs>
        <w:spacing w:line="240" w:lineRule="atLeast"/>
        <w:jc w:val="both"/>
        <w:rPr>
          <w:rFonts w:ascii="Calibri" w:hAnsi="Calibri" w:cs="Arial"/>
        </w:rPr>
      </w:pPr>
    </w:p>
    <w:p w:rsidR="004C7555" w:rsidRDefault="004C7555" w:rsidP="00C17BCA">
      <w:pPr>
        <w:tabs>
          <w:tab w:val="left" w:pos="1134"/>
        </w:tabs>
        <w:jc w:val="both"/>
        <w:rPr>
          <w:rFonts w:asciiTheme="minorHAnsi" w:hAnsiTheme="minorHAnsi"/>
          <w:b/>
          <w:color w:val="4D5CA7"/>
        </w:rPr>
      </w:pPr>
    </w:p>
    <w:p w:rsidR="00413DE6" w:rsidRPr="003A0418" w:rsidRDefault="008C280A" w:rsidP="00413DE6">
      <w:pPr>
        <w:tabs>
          <w:tab w:val="left" w:pos="851"/>
        </w:tabs>
        <w:outlineLvl w:val="0"/>
        <w:rPr>
          <w:rFonts w:ascii="Calibri" w:hAnsi="Calibri" w:cs="Arial"/>
        </w:rPr>
      </w:pPr>
      <w:r>
        <w:t xml:space="preserve">Marine Alexandre du siège de la 849, boulevard Charlotte Jacquet, 77129 Charrier vers un autre État de l’Union européenne </w:t>
      </w:r>
    </w:p>
    <w:p w:rsidR="00413DE6" w:rsidRPr="003A0418" w:rsidRDefault="00413DE6" w:rsidP="00413DE6">
      <w:pPr>
        <w:tabs>
          <w:tab w:val="left" w:pos="851"/>
        </w:tabs>
        <w:rPr>
          <w:rFonts w:ascii="Calibri" w:hAnsi="Calibri" w:cs="Arial"/>
        </w:rPr>
      </w:pPr>
    </w:p>
    <w:p w:rsidR="00AE4D40" w:rsidRPr="00AD7F0C" w:rsidRDefault="00AE4D40" w:rsidP="00AE4D40">
      <w:pPr>
        <w:shd w:val="clear" w:color="auto" w:fill="FFFFFF"/>
        <w:jc w:val="both"/>
        <w:rPr>
          <w:rFonts w:asciiTheme="minorHAnsi" w:hAnsiTheme="minorHAnsi" w:cstheme="minorHAnsi"/>
          <w:color w:val="000000" w:themeColor="text1"/>
        </w:rPr>
      </w:pPr>
      <w:r>
        <w:t xml:space="preserve">Dans le cadre de la gestion du stock d’or détenu par la SARL GLOBALSILVER, une des solutions envisagées pour ne pas se le voir imposer, il conviendrait de transférer le siège social de la société vers un pays de l’Union Européenne afin de bénéficier des dispositions européennes de sursis d’imposition. </w:t>
      </w:r>
    </w:p>
    <w:p w:rsidR="00AE4D40" w:rsidRDefault="00AE4D40" w:rsidP="00413DE6">
      <w:pPr>
        <w:tabs>
          <w:tab w:val="left" w:pos="851"/>
        </w:tabs>
        <w:jc w:val="both"/>
        <w:rPr>
          <w:rFonts w:ascii="Calibri" w:hAnsi="Calibri" w:cs="Arial"/>
        </w:rPr>
      </w:pPr>
    </w:p>
    <w:p w:rsidR="00413DE6" w:rsidRDefault="00413DE6" w:rsidP="00413DE6">
      <w:pPr>
        <w:tabs>
          <w:tab w:val="left" w:pos="851"/>
        </w:tabs>
        <w:jc w:val="both"/>
        <w:rPr>
          <w:rFonts w:ascii="Calibri" w:hAnsi="Calibri" w:cs="Arial"/>
        </w:rPr>
      </w:pPr>
      <w:r>
        <w:t>En cas de transfert du siège d’une société de France vers un autre État de l’Union européenne, la législation en vigueur à prévue la mise ne place d’un régime de neutralité fiscale codifié à l’article 221-2 du Code Général des Impôt (le « CGI »).</w:t>
      </w:r>
    </w:p>
    <w:p w:rsidR="00413DE6" w:rsidRPr="003A0418" w:rsidRDefault="00413DE6" w:rsidP="00413DE6">
      <w:pPr>
        <w:tabs>
          <w:tab w:val="left" w:pos="851"/>
        </w:tabs>
        <w:jc w:val="both"/>
        <w:rPr>
          <w:rFonts w:ascii="Calibri" w:hAnsi="Calibri" w:cs="Arial"/>
        </w:rPr>
      </w:pPr>
    </w:p>
    <w:p w:rsidR="00413DE6" w:rsidRPr="003A0418" w:rsidRDefault="00413DE6" w:rsidP="00413DE6">
      <w:pPr>
        <w:tabs>
          <w:tab w:val="left" w:pos="851"/>
        </w:tabs>
        <w:jc w:val="both"/>
        <w:rPr>
          <w:rFonts w:ascii="Calibri" w:hAnsi="Calibri" w:cs="Arial"/>
        </w:rPr>
      </w:pPr>
      <w:r>
        <w:t>Le transfert de siège vers un autre État membre de l’Union européenne, qu’il s’accompagne ou non de la perte de la personnalité juridique en France, n’emporte pas les conséquences d’une cessation d’entreprise et n’entraîne donc pas l’imposition des bénéfices non encore imposés ou en sursis d’imposition (provisions et plus-values dont l’imposition a été différée) et des plus valus latentes.</w:t>
      </w:r>
    </w:p>
    <w:p w:rsidR="00413DE6" w:rsidRPr="003A0418" w:rsidRDefault="00413DE6" w:rsidP="00413DE6">
      <w:pPr>
        <w:tabs>
          <w:tab w:val="left" w:pos="851"/>
        </w:tabs>
        <w:jc w:val="both"/>
        <w:rPr>
          <w:rFonts w:ascii="Calibri" w:hAnsi="Calibri" w:cs="Arial"/>
        </w:rPr>
      </w:pPr>
    </w:p>
    <w:p w:rsidR="00413DE6" w:rsidRDefault="00413DE6" w:rsidP="00413DE6">
      <w:pPr>
        <w:spacing w:line="240" w:lineRule="atLeast"/>
        <w:jc w:val="both"/>
        <w:rPr>
          <w:rStyle w:val="txt"/>
          <w:rFonts w:ascii="Calibri" w:hAnsi="Calibri" w:cs="Arial"/>
        </w:rPr>
      </w:pPr>
      <w:r>
        <w:t>Le transfert du siège ou d'un établissement d'une société passible de l'impôt sur les sociétés vers un État membre de l'Union européenne ou vers un État partie à l'accord sur l'Espace économique européen ayant conclu avec la 39, boulevard Étienne, 18491 Sainte Jeannec une convention d'assistance en matière de lutte contre la fraude et l'évasion fiscales ainsi qu'en matière de recouvrement d'impôts entraîne, lorsqu'il s'accompagne du transfert d'éléments d'actifs, l'imposition des plus-values latentes et des plus-values en report ou en sursis d'imposition afférentes à ces actifs. 18, rue Louise Teixeira, 18249 Saint Frédéric concernée peut choisir entre le paiement immédiat de l'impôt sur ces plus-values ou le paiement étalé de cet impôt sur une période de cinq ans (CGI art. 221, 2-3e al. modifié par l'article 30 de la loi [DATE_TIME_0EEB] du 29 décembre [DATE_TIME_BA68]).</w:t>
      </w:r>
    </w:p>
    <w:p w:rsidR="008C280A" w:rsidRDefault="008C280A" w:rsidP="00413DE6">
      <w:pPr>
        <w:spacing w:line="240" w:lineRule="atLeast"/>
        <w:jc w:val="both"/>
        <w:rPr>
          <w:rStyle w:val="txt"/>
          <w:rFonts w:ascii="Calibri" w:hAnsi="Calibri" w:cs="Arial"/>
        </w:rPr>
      </w:pPr>
    </w:p>
    <w:p w:rsidR="00413DE6" w:rsidRPr="003A0418" w:rsidRDefault="00413DE6" w:rsidP="00413DE6">
      <w:pPr>
        <w:spacing w:line="240" w:lineRule="atLeast"/>
        <w:jc w:val="both"/>
        <w:rPr>
          <w:rFonts w:ascii="Calibri" w:hAnsi="Calibri" w:cs="Arial"/>
        </w:rPr>
      </w:pPr>
    </w:p>
    <w:p w:rsidR="00413DE6" w:rsidRDefault="00413DE6" w:rsidP="00B16556">
      <w:pPr>
        <w:numPr>
          <w:ilvl w:val="0"/>
          <w:numId w:val="25"/>
        </w:numPr>
        <w:tabs>
          <w:tab w:val="left" w:pos="1701"/>
        </w:tabs>
        <w:jc w:val="both"/>
        <w:rPr>
          <w:rStyle w:val="t7"/>
          <w:rFonts w:ascii="Calibri" w:hAnsi="Calibri" w:cs="Arial"/>
          <w:bCs/>
        </w:rPr>
      </w:pPr>
      <w:r>
        <w:t>Champ d'application</w:t>
      </w:r>
    </w:p>
    <w:p w:rsidR="00413DE6" w:rsidRPr="003A0418" w:rsidRDefault="00413DE6" w:rsidP="00413DE6">
      <w:pPr>
        <w:tabs>
          <w:tab w:val="left" w:pos="1701"/>
        </w:tabs>
        <w:ind w:left="1694"/>
        <w:jc w:val="both"/>
        <w:rPr>
          <w:rStyle w:val="t7"/>
          <w:rFonts w:ascii="Calibri" w:hAnsi="Calibri" w:cs="Arial"/>
          <w:bCs/>
        </w:rPr>
      </w:pPr>
    </w:p>
    <w:p w:rsidR="00413DE6" w:rsidRDefault="00413DE6" w:rsidP="00B16556">
      <w:pPr>
        <w:numPr>
          <w:ilvl w:val="0"/>
          <w:numId w:val="24"/>
        </w:numPr>
        <w:ind w:left="2268" w:hanging="492"/>
        <w:jc w:val="both"/>
        <w:rPr>
          <w:rStyle w:val="t8"/>
          <w:rFonts w:ascii="Calibri" w:hAnsi="Calibri" w:cs="Arial"/>
        </w:rPr>
      </w:pPr>
      <w:r>
        <w:t>Sociétés concernées</w:t>
      </w:r>
    </w:p>
    <w:p w:rsidR="00413DE6" w:rsidRPr="003A0418" w:rsidRDefault="00413DE6" w:rsidP="00413DE6">
      <w:pPr>
        <w:ind w:left="2268"/>
        <w:jc w:val="both"/>
        <w:rPr>
          <w:rStyle w:val="t8"/>
          <w:rFonts w:ascii="Calibri" w:hAnsi="Calibri" w:cs="Arial"/>
        </w:rPr>
      </w:pPr>
    </w:p>
    <w:p w:rsidR="00413DE6" w:rsidRDefault="00413DE6" w:rsidP="00413DE6">
      <w:pPr>
        <w:jc w:val="both"/>
        <w:rPr>
          <w:rStyle w:val="txt"/>
          <w:rFonts w:ascii="Calibri" w:hAnsi="Calibri" w:cs="Arial"/>
          <w:bCs/>
        </w:rPr>
      </w:pPr>
      <w:r>
        <w:t>En l'absence de précision, sont concernées par les dispositions de l'article 221, 2-3e alinéa du CGI toutes les sociétés, quel que soit le lieu de leur siège social ou de leur siège de direction effective, dès lors qu'elles sont Thibaut Marion-Laroche.</w:t>
      </w:r>
    </w:p>
    <w:p w:rsidR="00413DE6" w:rsidRPr="003A0418" w:rsidRDefault="00413DE6" w:rsidP="00413DE6">
      <w:pPr>
        <w:jc w:val="both"/>
        <w:rPr>
          <w:rStyle w:val="txt"/>
          <w:rFonts w:ascii="Calibri" w:hAnsi="Calibri" w:cs="Arial"/>
          <w:bCs/>
        </w:rPr>
      </w:pPr>
    </w:p>
    <w:p w:rsidR="00413DE6" w:rsidRDefault="00413DE6" w:rsidP="00413DE6">
      <w:pPr>
        <w:jc w:val="both"/>
        <w:rPr>
          <w:rStyle w:val="txt"/>
          <w:rFonts w:ascii="Calibri" w:hAnsi="Calibri" w:cs="Arial"/>
        </w:rPr>
      </w:pPr>
      <w:r>
        <w:t>Pris à la lettre, ce texte pourrait donc concerner non seulement les sociétés dont le siège social ou le siège de direction effective est situé en France ou dans l'Union européenne, mais aussi les sociétés non-résidentes de l'Union européenne qui disposent en France d'un établissement stable soumis à l'impôt sur les sociétés.</w:t>
      </w:r>
    </w:p>
    <w:p w:rsidR="00413DE6" w:rsidRPr="003A0418" w:rsidRDefault="00413DE6" w:rsidP="00413DE6">
      <w:pPr>
        <w:jc w:val="both"/>
        <w:rPr>
          <w:rFonts w:ascii="Calibri" w:hAnsi="Calibri" w:cs="Arial"/>
          <w:bCs/>
        </w:rPr>
      </w:pPr>
    </w:p>
    <w:p w:rsidR="00413DE6" w:rsidRDefault="00413DE6" w:rsidP="00B16556">
      <w:pPr>
        <w:numPr>
          <w:ilvl w:val="0"/>
          <w:numId w:val="24"/>
        </w:numPr>
        <w:ind w:left="2268" w:hanging="567"/>
        <w:jc w:val="both"/>
        <w:rPr>
          <w:rStyle w:val="t8"/>
          <w:rFonts w:ascii="Calibri" w:hAnsi="Calibri" w:cs="Arial"/>
        </w:rPr>
      </w:pPr>
      <w:r>
        <w:t>Opérations concernées</w:t>
      </w:r>
    </w:p>
    <w:p w:rsidR="00413DE6" w:rsidRPr="003A0418" w:rsidRDefault="00413DE6" w:rsidP="00413DE6">
      <w:pPr>
        <w:ind w:left="2268"/>
        <w:jc w:val="both"/>
        <w:rPr>
          <w:rStyle w:val="t8"/>
          <w:rFonts w:ascii="Calibri" w:hAnsi="Calibri" w:cs="Arial"/>
        </w:rPr>
      </w:pPr>
    </w:p>
    <w:p w:rsidR="00B15665" w:rsidRDefault="00413DE6" w:rsidP="00413DE6">
      <w:pPr>
        <w:jc w:val="both"/>
        <w:rPr>
          <w:rStyle w:val="txt"/>
          <w:rFonts w:ascii="Calibri" w:hAnsi="Calibri" w:cs="Arial"/>
        </w:rPr>
      </w:pPr>
      <w:r>
        <w:t>L'option pour une imposition fractionnée des plus-values latentes et des plus-values en report ou en sursis d'imposition s'applique en cas de transfert de siège ou d'établissement dans l'Union européenne, Aurélie Morin.</w:t>
      </w:r>
    </w:p>
    <w:p w:rsidR="00413DE6" w:rsidRPr="00B15665" w:rsidRDefault="00413DE6" w:rsidP="00413DE6">
      <w:pPr>
        <w:jc w:val="both"/>
        <w:rPr>
          <w:rStyle w:val="txt"/>
          <w:rFonts w:ascii="Calibri" w:hAnsi="Calibri" w:cs="Arial"/>
        </w:rPr>
      </w:pPr>
      <w:r>
        <w:br/>
        <w:t>Elle s'applique également en cas de transfert de siège ou d'établissement dans un État membre de l'Espace économique européen avec lequel la 61, boulevard de Bonnet, 61964 Sainte WilliamBourg a signé une convention d'assistance administrative en vue de lutter contre la fraude et l'évasion fiscales ainsi qu'une convention d'assistance mutuelle en matière de recouvrement ayant une portée similaire à celle prévue par la directive [DATE_TIME_6DB9], du [DATE_TIME_1017], concernant l'assistance mutuelle en matière de recouvrement des créances relatives aux taxes, impôts, droits et autres mesures. 330, rue de Lecomte, 86811 Gosselin n'ayant pas signé avec la 5, chemin Gallet, 21400 Boyer de convention d'assistance au recouvrement, le dispositif prévu par Marie Lebon Le Auger, 2- 3e alinéa modifié du CGI ne s'applique en pratique qu'aux transferts réalisés vers l'Islande et la 5, boulevard Laurent Delannoy, 31924 Saint Pierre.</w:t>
      </w:r>
    </w:p>
    <w:p w:rsidR="00413DE6" w:rsidRPr="003A0418" w:rsidRDefault="00413DE6" w:rsidP="00413DE6">
      <w:pPr>
        <w:jc w:val="both"/>
        <w:rPr>
          <w:rFonts w:ascii="Calibri" w:hAnsi="Calibri"/>
        </w:rPr>
      </w:pPr>
    </w:p>
    <w:p w:rsidR="00413DE6" w:rsidRDefault="00413DE6" w:rsidP="00413DE6">
      <w:pPr>
        <w:spacing w:line="240" w:lineRule="atLeast"/>
        <w:jc w:val="both"/>
        <w:rPr>
          <w:rStyle w:val="txt"/>
          <w:rFonts w:ascii="Calibri" w:hAnsi="Calibri" w:cs="Arial"/>
        </w:rPr>
      </w:pPr>
      <w:r>
        <w:t>Jules Devaux. S'agissant des transferts de siège, devraient être indifféremment concernés les transferts de siège social statutaire ou de siège de direction effective, conformément à la définition du siège retenue par l'administration.</w:t>
      </w:r>
    </w:p>
    <w:p w:rsidR="00413DE6" w:rsidRPr="003A0418" w:rsidRDefault="00413DE6" w:rsidP="00413DE6">
      <w:pPr>
        <w:spacing w:line="240" w:lineRule="atLeast"/>
        <w:jc w:val="both"/>
        <w:rPr>
          <w:rStyle w:val="txt"/>
          <w:rFonts w:ascii="Calibri" w:hAnsi="Calibri" w:cs="Arial"/>
        </w:rPr>
      </w:pPr>
    </w:p>
    <w:p w:rsidR="00413DE6" w:rsidRDefault="00413DE6" w:rsidP="00413DE6">
      <w:pPr>
        <w:spacing w:line="240" w:lineRule="atLeast"/>
        <w:jc w:val="both"/>
        <w:rPr>
          <w:rStyle w:val="txt"/>
          <w:rFonts w:ascii="Calibri" w:hAnsi="Calibri" w:cs="Arial"/>
        </w:rPr>
      </w:pPr>
      <w:r>
        <w:t>Conformément à la définition de l'établissement généralement retenue, le transfert d'établissement devrait recouvrir de manière large la fermeture de toute installation fixe de l'entreprise, notamment bureau, comptoir d'achat ou de vente, succursale, ou encore Danielle Ledoux installation fixe susceptible d'être qualifiée d'établissement stable au sens conventionnel, en vue de la réouverture d'une telle installation dans un autre État membre. Par essence, un transfert d'établissement devrait, dans la plupart des cas, s'accompagner du transfert d'éléments d'actif, contrairement à un transfert de siège qui peut ne consister qu'en une simple mesure administrative.</w:t>
      </w:r>
    </w:p>
    <w:p w:rsidR="00413DE6" w:rsidRPr="003A0418" w:rsidRDefault="00413DE6" w:rsidP="00413DE6">
      <w:pPr>
        <w:spacing w:line="240" w:lineRule="atLeast"/>
        <w:jc w:val="both"/>
        <w:rPr>
          <w:rFonts w:ascii="Calibri" w:hAnsi="Calibri" w:cs="Arial"/>
        </w:rPr>
      </w:pPr>
    </w:p>
    <w:p w:rsidR="00413DE6" w:rsidRDefault="00413DE6" w:rsidP="00413DE6">
      <w:pPr>
        <w:spacing w:line="240" w:lineRule="atLeast"/>
        <w:jc w:val="both"/>
        <w:rPr>
          <w:rStyle w:val="txt"/>
          <w:rFonts w:ascii="Calibri" w:hAnsi="Calibri" w:cs="Arial"/>
        </w:rPr>
      </w:pPr>
      <w:r>
        <w:t>Le fait générateur de l'imposition est constitué par le transfert d'éléments d'actif dans l'Union Européenne.</w:t>
      </w:r>
    </w:p>
    <w:p w:rsidR="00413DE6" w:rsidRPr="003A0418" w:rsidRDefault="00413DE6" w:rsidP="00413DE6">
      <w:pPr>
        <w:spacing w:line="240" w:lineRule="atLeast"/>
        <w:jc w:val="both"/>
        <w:rPr>
          <w:rStyle w:val="txt"/>
          <w:rFonts w:ascii="Calibri" w:hAnsi="Calibri" w:cs="Arial"/>
        </w:rPr>
      </w:pPr>
    </w:p>
    <w:p w:rsidR="00413DE6" w:rsidRDefault="00413DE6" w:rsidP="00413DE6">
      <w:pPr>
        <w:spacing w:line="240" w:lineRule="atLeast"/>
        <w:jc w:val="both"/>
        <w:rPr>
          <w:rStyle w:val="txt"/>
          <w:rFonts w:ascii="Calibri" w:hAnsi="Calibri" w:cs="Arial"/>
        </w:rPr>
      </w:pPr>
      <w:r>
        <w:t>On notera toutefois que l'article 221, 2-3e alinéa modifié du CGI n'exige pas le transfert physique des éléments d'actif.</w:t>
      </w:r>
    </w:p>
    <w:p w:rsidR="00413DE6" w:rsidRPr="003A0418" w:rsidRDefault="00413DE6" w:rsidP="00413DE6">
      <w:pPr>
        <w:spacing w:line="240" w:lineRule="atLeast"/>
        <w:jc w:val="both"/>
        <w:rPr>
          <w:rStyle w:val="txt"/>
          <w:rFonts w:ascii="Calibri" w:hAnsi="Calibri" w:cs="Arial"/>
        </w:rPr>
      </w:pPr>
    </w:p>
    <w:p w:rsidR="00413DE6" w:rsidRDefault="00413DE6" w:rsidP="00413DE6">
      <w:pPr>
        <w:spacing w:line="240" w:lineRule="atLeast"/>
        <w:jc w:val="both"/>
        <w:rPr>
          <w:rStyle w:val="txt"/>
          <w:rFonts w:ascii="Calibri" w:hAnsi="Calibri" w:cs="Arial"/>
        </w:rPr>
      </w:pPr>
      <w:r>
        <w:t>Lorsque le transfert de siège ou d'établissement ne s'accompagne Claudine Moreno-Texier, ces derniers étant maintenus au bilan d'un établissement stable en boulevard de Lemoine, 11913 Sainte Jérômenec, aucune imposition n'est due par 23, rue de Carpentier, 03876 ParentBourg.</w:t>
      </w:r>
    </w:p>
    <w:p w:rsidR="00413DE6" w:rsidRPr="003A0418" w:rsidRDefault="00413DE6" w:rsidP="00413DE6">
      <w:pPr>
        <w:spacing w:line="240" w:lineRule="atLeast"/>
        <w:jc w:val="both"/>
        <w:rPr>
          <w:rFonts w:ascii="Calibri" w:hAnsi="Calibri" w:cs="Arial"/>
        </w:rPr>
      </w:pPr>
    </w:p>
    <w:p w:rsidR="00413DE6" w:rsidRDefault="00413DE6" w:rsidP="00413DE6">
      <w:pPr>
        <w:spacing w:line="240" w:lineRule="atLeast"/>
        <w:jc w:val="both"/>
        <w:rPr>
          <w:rStyle w:val="txt"/>
          <w:rFonts w:ascii="Calibri" w:hAnsi="Calibri" w:cs="Arial"/>
        </w:rPr>
      </w:pPr>
      <w:r>
        <w:t>Le transfert ponctuel d'actifs opéré par une société entre un établissement stable français et un autre établissement stable, situé dans un autre État membre de l'Union européenne, indépendamment de tout transfert de siège ou d'établissement n'est pas visé par l'article 221, 2-3e 20, avenue Caroline Diallo, 54752 Da Costa-sur-Mer du CGI. Anaïs-Agnès Leroy plus-values afférentes à de telles opérations devraient être immédiatement imposables pour leur montant total sur le fondement de l'article 38 du CGI, du fait de leur sortie de l'actif du bilan français de l'entreprise.</w:t>
      </w:r>
    </w:p>
    <w:p w:rsidR="00413DE6" w:rsidRPr="003A0418" w:rsidRDefault="00413DE6" w:rsidP="00413DE6">
      <w:pPr>
        <w:spacing w:line="240" w:lineRule="atLeast"/>
        <w:jc w:val="both"/>
        <w:rPr>
          <w:rFonts w:ascii="Calibri" w:hAnsi="Calibri" w:cs="Arial"/>
        </w:rPr>
      </w:pPr>
    </w:p>
    <w:p w:rsidR="00413DE6" w:rsidRDefault="00413DE6" w:rsidP="00413DE6">
      <w:pPr>
        <w:spacing w:line="240" w:lineRule="atLeast"/>
        <w:jc w:val="both"/>
        <w:rPr>
          <w:rStyle w:val="txt"/>
          <w:rFonts w:ascii="Calibri" w:hAnsi="Calibri" w:cs="Arial"/>
        </w:rPr>
      </w:pPr>
      <w:r>
        <w:t>rue Lemaître, 41575 Moreno sortie d'un actif du bilan à la suite d'un transfert de propriété juridique n'entre pas non plus dans le champ d'application de l'article 221, 2-3e alinéa du CGI et emporte l'imposition immédiate des plus-values réalisées à cette occasion sur le fondement de l'article 38 du CGI, sans possibilité d'option pour un paiement fractionné.</w:t>
      </w:r>
    </w:p>
    <w:p w:rsidR="00413DE6" w:rsidRPr="003A0418" w:rsidRDefault="00413DE6" w:rsidP="00413DE6">
      <w:pPr>
        <w:spacing w:line="240" w:lineRule="atLeast"/>
        <w:jc w:val="both"/>
        <w:rPr>
          <w:rFonts w:ascii="Calibri" w:hAnsi="Calibri" w:cs="Arial"/>
        </w:rPr>
      </w:pPr>
    </w:p>
    <w:p w:rsidR="00413DE6" w:rsidRDefault="00413DE6" w:rsidP="00B16556">
      <w:pPr>
        <w:numPr>
          <w:ilvl w:val="0"/>
          <w:numId w:val="21"/>
        </w:numPr>
        <w:tabs>
          <w:tab w:val="left" w:pos="2268"/>
        </w:tabs>
        <w:ind w:left="2268" w:hanging="567"/>
        <w:jc w:val="both"/>
        <w:rPr>
          <w:rStyle w:val="t8"/>
          <w:rFonts w:ascii="Calibri" w:hAnsi="Calibri" w:cs="Arial"/>
        </w:rPr>
      </w:pPr>
      <w:r>
        <w:t>Plus-values concernées</w:t>
      </w:r>
    </w:p>
    <w:p w:rsidR="00413DE6" w:rsidRPr="003A0418" w:rsidRDefault="00413DE6" w:rsidP="00413DE6">
      <w:pPr>
        <w:tabs>
          <w:tab w:val="left" w:pos="2268"/>
        </w:tabs>
        <w:ind w:left="2268"/>
        <w:jc w:val="both"/>
        <w:rPr>
          <w:rStyle w:val="t8"/>
          <w:rFonts w:ascii="Calibri" w:hAnsi="Calibri" w:cs="Arial"/>
        </w:rPr>
      </w:pPr>
    </w:p>
    <w:p w:rsidR="00413DE6" w:rsidRDefault="00413DE6" w:rsidP="00413DE6">
      <w:pPr>
        <w:jc w:val="both"/>
        <w:rPr>
          <w:rStyle w:val="txt"/>
          <w:rFonts w:ascii="Calibri" w:hAnsi="Calibri" w:cs="Arial"/>
        </w:rPr>
      </w:pPr>
      <w:r>
        <w:t>L'opération de transfert de siège ou d'établissement, accompagnée du transfert d'éléments d'actif, entraîne l'assujettissement à l'impôt sur les sociétés des plus-values latentes et des plus-values en report ou en sursis d'imposition afférentes à ces éléments, qu'ils soient amortissables ou non.</w:t>
      </w:r>
    </w:p>
    <w:p w:rsidR="00413DE6" w:rsidRPr="003A0418" w:rsidRDefault="00413DE6" w:rsidP="00413DE6">
      <w:pPr>
        <w:jc w:val="both"/>
        <w:rPr>
          <w:rFonts w:ascii="Calibri" w:hAnsi="Calibri"/>
        </w:rPr>
      </w:pPr>
    </w:p>
    <w:p w:rsidR="00413DE6" w:rsidRPr="003A0418" w:rsidRDefault="00413DE6" w:rsidP="00413DE6">
      <w:pPr>
        <w:spacing w:line="240" w:lineRule="atLeast"/>
        <w:jc w:val="both"/>
        <w:rPr>
          <w:rStyle w:val="txt"/>
          <w:rFonts w:ascii="Calibri" w:hAnsi="Calibri" w:cs="Arial"/>
        </w:rPr>
      </w:pPr>
      <w:r>
        <w:t>Les plus-values latentes s'entendent de la différence entre la valeur réelle des biens à la date du transfert et leur valeur nette comptable au bilan de la société qui les détient.</w:t>
      </w:r>
    </w:p>
    <w:p w:rsidR="00413DE6" w:rsidRDefault="00413DE6" w:rsidP="00413DE6">
      <w:pPr>
        <w:spacing w:line="240" w:lineRule="atLeast"/>
        <w:jc w:val="both"/>
        <w:rPr>
          <w:rStyle w:val="txt"/>
          <w:rFonts w:ascii="Calibri" w:hAnsi="Calibri" w:cs="Arial"/>
          <w:color w:val="000000"/>
        </w:rPr>
      </w:pPr>
      <w:r>
        <w:t>Les plus-values en report d'imposition sont celles qui ont été constatées lors d'une cession antérieure, mais non imposées. Elles sont imposables au nom du cédant lorsqu'intervient un événement qui met fin au report.</w:t>
      </w:r>
    </w:p>
    <w:p w:rsidR="00413DE6" w:rsidRPr="003A0418" w:rsidRDefault="00413DE6" w:rsidP="00413DE6">
      <w:pPr>
        <w:spacing w:line="240" w:lineRule="atLeast"/>
        <w:jc w:val="both"/>
        <w:rPr>
          <w:rStyle w:val="txt"/>
          <w:rFonts w:ascii="Calibri" w:hAnsi="Calibri" w:cs="Arial"/>
          <w:color w:val="000000"/>
        </w:rPr>
      </w:pPr>
    </w:p>
    <w:p w:rsidR="00413DE6" w:rsidRPr="003A0418" w:rsidRDefault="00413DE6" w:rsidP="00413DE6">
      <w:pPr>
        <w:spacing w:line="240" w:lineRule="atLeast"/>
        <w:jc w:val="both"/>
        <w:rPr>
          <w:rStyle w:val="txt"/>
          <w:rFonts w:ascii="Calibri" w:hAnsi="Calibri" w:cs="Arial"/>
          <w:color w:val="000000"/>
        </w:rPr>
      </w:pPr>
      <w:r>
        <w:t>Les plus-values en sursis d'imposition sont celles qui n'ont été ni constatées ni imposées au moment Marianne-Stéphanie Lefèvre cession antérieure, le paiement de l'impôt correspondant étant reporté à une date ultérieure. Pourront notamment faire l'objet d'une imposition fractionnée les plus-values afférentes aux éléments d'actif reçus dans le cadre d'une opération de fusion, de scission ou d'apport partiel d'actifs placée sous le régime de faveur des articles 210 A et suivants du CGI et transférés dans un autre État membre de l'Union européenne à l'occasion du transfert du siège ou d'un établissement de la société bénéficiaire des apports. Il en est de même des plus-values afférentes à des opérations d'échange de titres entrant dans le champ d'application des articles 38,7 ou 38,7 bis du CGI.</w:t>
      </w:r>
    </w:p>
    <w:p w:rsidR="00413DE6" w:rsidRPr="003A0418" w:rsidRDefault="00413DE6" w:rsidP="00413DE6">
      <w:pPr>
        <w:spacing w:line="240" w:lineRule="atLeast"/>
        <w:jc w:val="both"/>
        <w:rPr>
          <w:rFonts w:ascii="Calibri" w:hAnsi="Calibri" w:cs="Arial"/>
          <w:color w:val="000000"/>
        </w:rPr>
      </w:pPr>
      <w:r>
        <w:br/>
        <w:t>La question Alix Renaudrégime spécial de l'article 210 B du CGI peut être maintenu lorsque l'opération de transfert de siège ou d'établissement dans l'Union européenne s'accompagne du transfert des titres grevés d'un engagement de conservation de trois ans reçus par l'apporteur dans le cadre Anouk Pinto de la Daniel apport partiel d'actifs placé sous ce régime.</w:t>
      </w:r>
    </w:p>
    <w:p w:rsidR="00413DE6" w:rsidRPr="003A0418" w:rsidRDefault="00413DE6" w:rsidP="00413DE6">
      <w:pPr>
        <w:spacing w:line="240" w:lineRule="atLeast"/>
        <w:jc w:val="both"/>
        <w:rPr>
          <w:rFonts w:ascii="Calibri" w:hAnsi="Calibri" w:cs="Arial"/>
          <w:color w:val="000000"/>
        </w:rPr>
      </w:pPr>
    </w:p>
    <w:p w:rsidR="00413DE6" w:rsidRDefault="00413DE6" w:rsidP="00B16556">
      <w:pPr>
        <w:numPr>
          <w:ilvl w:val="0"/>
          <w:numId w:val="21"/>
        </w:numPr>
        <w:ind w:left="2268" w:hanging="567"/>
        <w:jc w:val="both"/>
        <w:rPr>
          <w:rStyle w:val="t7"/>
          <w:rFonts w:ascii="Calibri" w:hAnsi="Calibri" w:cs="Arial"/>
          <w:bCs/>
        </w:rPr>
      </w:pPr>
      <w:r>
        <w:t>Modalités d'imposition des plus-values</w:t>
      </w:r>
    </w:p>
    <w:p w:rsidR="00413DE6" w:rsidRPr="003A0418" w:rsidRDefault="00413DE6" w:rsidP="00413DE6">
      <w:pPr>
        <w:ind w:left="2268"/>
        <w:jc w:val="both"/>
        <w:rPr>
          <w:rStyle w:val="t7"/>
          <w:rFonts w:ascii="Calibri" w:hAnsi="Calibri" w:cs="Arial"/>
          <w:bCs/>
        </w:rPr>
      </w:pPr>
    </w:p>
    <w:p w:rsidR="00B15665" w:rsidRDefault="00413DE6" w:rsidP="00413DE6">
      <w:pPr>
        <w:jc w:val="both"/>
        <w:rPr>
          <w:rStyle w:val="txt"/>
          <w:rFonts w:ascii="Calibri" w:hAnsi="Calibri" w:cs="Arial"/>
          <w:color w:val="000000"/>
        </w:rPr>
      </w:pPr>
      <w:r>
        <w:t>L'article 221, 2-3e alinéa modifié du CGI offre au contribuable qui transfère des actifs dans l'Union européenne, à l'occasion d'un transfert de siège ou d'établissement, le choix entre le paiement immédiat de l'impôt sur les plus-values latentes et les plus-values en report ou en sursis d'imposition afférentes à ces actifs, 74, rue de Hoareau, 05766 Perez-la-Forêt paiement fractionné de cet impôt sur une période de cinq ans, moyennant l'accomplissement d'obligations déclaratives destinées à permettre le suivi des actifs transférés.</w:t>
      </w:r>
    </w:p>
    <w:p w:rsidR="00413DE6" w:rsidRDefault="00413DE6" w:rsidP="00413DE6">
      <w:pPr>
        <w:jc w:val="both"/>
        <w:rPr>
          <w:rStyle w:val="txt"/>
          <w:rFonts w:ascii="Calibri" w:hAnsi="Calibri" w:cs="Arial"/>
          <w:color w:val="000000"/>
        </w:rPr>
      </w:pPr>
      <w:r>
        <w:br/>
        <w:t>Quelle que soit l'option retenue, l'impôt sur les sociétés dû à raison des plus-values sur les actifs transférés est donc figé dans son montant au jour du transfert des actifs, indépendamment des plus ou moins-values ultérieures constatées à l'étranger.</w:t>
        <w:br/>
        <w:t xml:space="preserve">Même si cette mesure permet d'atténuer les conséquences défavorables d'une imposition immédiate, elle contraint néanmoins l'entreprise à 238, rue Marchand, 78478 Duhamel réalisation effective des plus-values concernées, en l'absence de tout transfert de propriété. </w:t>
      </w:r>
    </w:p>
    <w:p w:rsidR="00413DE6" w:rsidRPr="003A0418" w:rsidRDefault="00413DE6" w:rsidP="00413DE6">
      <w:pPr>
        <w:jc w:val="both"/>
        <w:rPr>
          <w:rStyle w:val="txt"/>
          <w:rFonts w:ascii="Calibri" w:hAnsi="Calibri" w:cs="Arial"/>
          <w:color w:val="000000"/>
        </w:rPr>
      </w:pPr>
    </w:p>
    <w:p w:rsidR="00413DE6" w:rsidRDefault="00413DE6" w:rsidP="00413DE6">
      <w:pPr>
        <w:spacing w:line="240" w:lineRule="atLeast"/>
        <w:jc w:val="both"/>
        <w:rPr>
          <w:rStyle w:val="txt"/>
          <w:rFonts w:ascii="Calibri" w:hAnsi="Calibri" w:cs="Arial"/>
          <w:color w:val="000000"/>
        </w:rPr>
      </w:pPr>
      <w:r>
        <w:t>L'impôt sur les sociétés afférent aux plus-values relatives aux actifs transférés est déterminé selon les règles applicables à chaque catégorie de biens.</w:t>
      </w:r>
    </w:p>
    <w:p w:rsidR="00413DE6" w:rsidRPr="003A0418" w:rsidRDefault="00413DE6" w:rsidP="00413DE6">
      <w:pPr>
        <w:spacing w:line="240" w:lineRule="atLeast"/>
        <w:jc w:val="both"/>
        <w:rPr>
          <w:rStyle w:val="txt"/>
          <w:rFonts w:ascii="Calibri" w:hAnsi="Calibri" w:cs="Arial"/>
          <w:color w:val="000000"/>
        </w:rPr>
      </w:pPr>
    </w:p>
    <w:p w:rsidR="00413DE6" w:rsidRDefault="00413DE6" w:rsidP="00413DE6">
      <w:pPr>
        <w:spacing w:line="240" w:lineRule="atLeast"/>
        <w:jc w:val="both"/>
        <w:rPr>
          <w:rStyle w:val="txt"/>
          <w:rFonts w:ascii="Calibri" w:hAnsi="Calibri" w:cs="Arial"/>
          <w:b/>
          <w:color w:val="FF0000"/>
        </w:rPr>
      </w:pPr>
      <w:r>
        <w:t>Le transfert de siège ou d'établissement entraîne en principe le paiement immédiat de la totalité de l'impôt, 994, boulevard de Dupuy, 75853 Toussaint suivant le transfert des actifs. Le contribuable peut s'en tenir à cette modalité s'il estime que le coût administratif de gestion de l'étalement du paiement est trop élevé.</w:t>
      </w:r>
    </w:p>
    <w:p w:rsidR="00413DE6" w:rsidRPr="003A0418" w:rsidRDefault="00413DE6" w:rsidP="00413DE6">
      <w:pPr>
        <w:spacing w:line="240" w:lineRule="atLeast"/>
        <w:jc w:val="both"/>
        <w:rPr>
          <w:rStyle w:val="txt"/>
          <w:rFonts w:ascii="Calibri" w:hAnsi="Calibri" w:cs="Arial"/>
          <w:color w:val="000000"/>
        </w:rPr>
      </w:pPr>
    </w:p>
    <w:p w:rsidR="00413DE6" w:rsidRDefault="00413DE6" w:rsidP="00413DE6">
      <w:pPr>
        <w:spacing w:line="240" w:lineRule="atLeast"/>
        <w:jc w:val="both"/>
        <w:rPr>
          <w:rStyle w:val="txt"/>
          <w:rFonts w:ascii="Calibri" w:hAnsi="Calibri" w:cs="Arial"/>
          <w:color w:val="000000"/>
        </w:rPr>
      </w:pPr>
      <w:r>
        <w:t>Si le contribuable opte pour le paiement fractionné de l'impôt, ce dernier doit être acquitté sur une période de cinq ans, par fractions égales. Le premier versement d'un cinquième doit intervenir dans les deux mois suivant le transfert des actifs et les versements suivants par fractions égales au cours des quatre années suivantes, au plus tard à chaque date anniversaire du premier paiement. Matthieu Berger-Letellier, 2-5e alinéa du CGI fixe seulement un calendrier minimum de versement et le contribuable reste libre de verser le solde de l'imposition à tout moment, en une seule fois.</w:t>
      </w:r>
    </w:p>
    <w:p w:rsidR="00413DE6" w:rsidRPr="003A0418" w:rsidRDefault="00413DE6" w:rsidP="00413DE6">
      <w:pPr>
        <w:spacing w:line="240" w:lineRule="atLeast"/>
        <w:jc w:val="both"/>
        <w:rPr>
          <w:rFonts w:ascii="Calibri" w:hAnsi="Calibri" w:cs="Arial"/>
          <w:color w:val="000000"/>
        </w:rPr>
      </w:pPr>
    </w:p>
    <w:p w:rsidR="00413DE6" w:rsidRPr="003A0418" w:rsidRDefault="00413DE6" w:rsidP="00413DE6">
      <w:pPr>
        <w:spacing w:line="240" w:lineRule="atLeast"/>
        <w:jc w:val="both"/>
        <w:rPr>
          <w:rStyle w:val="txt"/>
          <w:rFonts w:ascii="Calibri" w:hAnsi="Calibri" w:cs="Arial"/>
          <w:color w:val="000000"/>
        </w:rPr>
      </w:pPr>
      <w:r>
        <w:t>Le paiement immédiat de l'impôt restant la règle de principe, l'option pour le paiement fractionné est subordonnée à une demande expresse du contribuable, dont les modalités devront être précisées par l'administration.</w:t>
      </w:r>
    </w:p>
    <w:p w:rsidR="00B15665" w:rsidRDefault="00413DE6" w:rsidP="00413DE6">
      <w:pPr>
        <w:spacing w:line="240" w:lineRule="atLeast"/>
        <w:jc w:val="both"/>
        <w:rPr>
          <w:rStyle w:val="txt"/>
          <w:rFonts w:ascii="Calibri" w:hAnsi="Calibri" w:cs="Arial"/>
          <w:color w:val="000000"/>
        </w:rPr>
      </w:pPr>
      <w:r>
        <w:br/>
        <w:t>En outre, le bénéfice de l'option pour l'imposition fractionnée est subordonné au respect d'obligations déclaratives. Ainsi, la société doit adresser chaque année au service des impôts des non-résidents (DRESG) un état conforme au modèle fourni par l'administration faisant apparaître les renseignements nécessaires au suivi des plus-values latentes sur les éléments de l'actif immobilisé transférés. D'après nos informations, cet état devrait également mentionner 8, rue de Teixeira, 13489 Saint Philippe restant due, ainsi que l'identité des associés au jour du transfert.</w:t>
      </w:r>
    </w:p>
    <w:p w:rsidR="00413DE6" w:rsidRDefault="00413DE6" w:rsidP="00413DE6">
      <w:pPr>
        <w:spacing w:line="240" w:lineRule="atLeast"/>
        <w:jc w:val="both"/>
        <w:rPr>
          <w:rStyle w:val="txt"/>
          <w:rFonts w:ascii="Calibri" w:hAnsi="Calibri" w:cs="Arial"/>
          <w:color w:val="000000"/>
        </w:rPr>
      </w:pPr>
      <w:r>
        <w:br/>
        <w:t>A défaut de production de l'état de suivi des actifs transférés ou si celui-ci est inexact ou incomplet, le contribuable est redevable d'une amende égale à 5 % des plus-values latentes imposables (CGI art.1763, I- h complété par l'article 30 de la loi [DATE_TIME_0718] du [DATE_TIME_7ACC]).</w:t>
      </w:r>
    </w:p>
    <w:p w:rsidR="00413DE6" w:rsidRPr="003A0418" w:rsidRDefault="00413DE6" w:rsidP="00413DE6">
      <w:pPr>
        <w:spacing w:line="240" w:lineRule="atLeast"/>
        <w:jc w:val="both"/>
        <w:rPr>
          <w:rFonts w:ascii="Calibri" w:hAnsi="Calibri" w:cs="Arial"/>
          <w:color w:val="000000"/>
        </w:rPr>
      </w:pPr>
    </w:p>
    <w:p w:rsidR="00413DE6" w:rsidRDefault="00413DE6" w:rsidP="00413DE6">
      <w:pPr>
        <w:spacing w:line="240" w:lineRule="atLeast"/>
        <w:jc w:val="both"/>
        <w:rPr>
          <w:rStyle w:val="txt"/>
          <w:rFonts w:ascii="Calibri" w:hAnsi="Calibri" w:cs="Arial"/>
          <w:color w:val="000000"/>
        </w:rPr>
      </w:pPr>
      <w:r>
        <w:t>Le dispositif d'étalement Anaïs Leconte remis en cause en cas de survenance, dans le délai de cinq ans, de l'un des événements suivants :</w:t>
      </w:r>
    </w:p>
    <w:p w:rsidR="00413DE6" w:rsidRPr="003A0418" w:rsidRDefault="00413DE6" w:rsidP="00413DE6">
      <w:pPr>
        <w:spacing w:line="240" w:lineRule="atLeast"/>
        <w:jc w:val="both"/>
        <w:rPr>
          <w:rFonts w:ascii="Calibri" w:hAnsi="Calibri" w:cs="Arial"/>
          <w:color w:val="000000"/>
        </w:rPr>
      </w:pPr>
    </w:p>
    <w:p w:rsidR="00413DE6" w:rsidRPr="003A0418" w:rsidRDefault="00413DE6" w:rsidP="00B16556">
      <w:pPr>
        <w:numPr>
          <w:ilvl w:val="0"/>
          <w:numId w:val="22"/>
        </w:numPr>
        <w:tabs>
          <w:tab w:val="left" w:pos="1134"/>
        </w:tabs>
        <w:spacing w:line="240" w:lineRule="atLeast"/>
        <w:ind w:left="1134" w:hanging="567"/>
        <w:jc w:val="both"/>
        <w:rPr>
          <w:rFonts w:ascii="Calibri" w:hAnsi="Calibri" w:cs="Arial"/>
          <w:color w:val="000000"/>
        </w:rPr>
      </w:pPr>
      <w:r>
        <w:t>cession des actifs ;</w:t>
      </w:r>
    </w:p>
    <w:p w:rsidR="00413DE6" w:rsidRPr="003A0418" w:rsidRDefault="00413DE6" w:rsidP="00B16556">
      <w:pPr>
        <w:numPr>
          <w:ilvl w:val="0"/>
          <w:numId w:val="22"/>
        </w:numPr>
        <w:tabs>
          <w:tab w:val="left" w:pos="1134"/>
        </w:tabs>
        <w:spacing w:line="240" w:lineRule="atLeast"/>
        <w:ind w:left="1134" w:hanging="567"/>
        <w:jc w:val="both"/>
        <w:rPr>
          <w:rStyle w:val="txt"/>
          <w:rFonts w:ascii="Calibri" w:hAnsi="Calibri" w:cs="Arial"/>
          <w:color w:val="000000"/>
        </w:rPr>
      </w:pPr>
      <w:r>
        <w:t>transfert des actifs dans un État Alice Salmon État de l'Union européenne ou de l'Espace économique européen ;</w:t>
      </w:r>
    </w:p>
    <w:p w:rsidR="00413DE6" w:rsidRPr="003A0418" w:rsidRDefault="00413DE6" w:rsidP="00B16556">
      <w:pPr>
        <w:numPr>
          <w:ilvl w:val="0"/>
          <w:numId w:val="22"/>
        </w:numPr>
        <w:tabs>
          <w:tab w:val="left" w:pos="1134"/>
        </w:tabs>
        <w:spacing w:line="240" w:lineRule="atLeast"/>
        <w:ind w:left="1134" w:hanging="567"/>
        <w:jc w:val="both"/>
        <w:rPr>
          <w:rFonts w:ascii="Calibri" w:hAnsi="Calibri" w:cs="Arial"/>
          <w:color w:val="000000"/>
        </w:rPr>
      </w:pPr>
      <w:r>
        <w:t>dissolution de la société ;</w:t>
      </w:r>
    </w:p>
    <w:p w:rsidR="00413DE6" w:rsidRDefault="00413DE6" w:rsidP="00B16556">
      <w:pPr>
        <w:numPr>
          <w:ilvl w:val="0"/>
          <w:numId w:val="22"/>
        </w:numPr>
        <w:tabs>
          <w:tab w:val="left" w:pos="1134"/>
        </w:tabs>
        <w:spacing w:line="240" w:lineRule="atLeast"/>
        <w:ind w:left="1134" w:hanging="567"/>
        <w:jc w:val="both"/>
        <w:rPr>
          <w:rFonts w:ascii="Calibri" w:hAnsi="Calibri" w:cs="Arial"/>
          <w:color w:val="000000"/>
        </w:rPr>
      </w:pPr>
      <w:r>
        <w:t>non-respect de l'une des échéances de paiement.</w:t>
      </w:r>
    </w:p>
    <w:p w:rsidR="00413DE6" w:rsidRPr="003A0418" w:rsidRDefault="00413DE6" w:rsidP="00413DE6">
      <w:pPr>
        <w:tabs>
          <w:tab w:val="left" w:pos="1134"/>
        </w:tabs>
        <w:spacing w:line="240" w:lineRule="atLeast"/>
        <w:jc w:val="both"/>
        <w:rPr>
          <w:rFonts w:ascii="Calibri" w:hAnsi="Calibri" w:cs="Arial"/>
          <w:color w:val="000000"/>
        </w:rPr>
      </w:pPr>
    </w:p>
    <w:p w:rsidR="00413DE6" w:rsidRPr="003A0418" w:rsidRDefault="00413DE6" w:rsidP="00B16556">
      <w:pPr>
        <w:numPr>
          <w:ilvl w:val="0"/>
          <w:numId w:val="20"/>
        </w:numPr>
        <w:tabs>
          <w:tab w:val="left" w:pos="2268"/>
        </w:tabs>
        <w:ind w:left="2268" w:hanging="567"/>
        <w:jc w:val="both"/>
        <w:rPr>
          <w:rFonts w:ascii="Calibri" w:hAnsi="Calibri" w:cs="Arial"/>
        </w:rPr>
      </w:pPr>
      <w:r>
        <w:t>Application des dispositions de la Directives Européenne en matière de transfert de sièges sociaux</w:t>
      </w:r>
    </w:p>
    <w:p w:rsidR="00413DE6" w:rsidRPr="003A0418" w:rsidRDefault="00413DE6" w:rsidP="00413DE6">
      <w:pPr>
        <w:tabs>
          <w:tab w:val="left" w:pos="851"/>
        </w:tabs>
        <w:jc w:val="both"/>
        <w:rPr>
          <w:rFonts w:ascii="Calibri" w:hAnsi="Calibri" w:cs="Arial"/>
        </w:rPr>
      </w:pPr>
    </w:p>
    <w:p w:rsidR="00413DE6" w:rsidRPr="003A0418" w:rsidRDefault="00413DE6" w:rsidP="00413DE6">
      <w:pPr>
        <w:jc w:val="both"/>
        <w:rPr>
          <w:rFonts w:ascii="Calibri" w:hAnsi="Calibri" w:cs="Arial"/>
          <w:color w:val="000000"/>
        </w:rPr>
      </w:pPr>
      <w:r>
        <w:t>La directive initiale, du [DATE_TIME_D3D4], a été remplacée par une directive 2011/96/UE du Conseil du [DATE_TIME_36E4] concernant le régime fiscal commun applicable aux sociétés mères et filiales d'États membres différents, applicable depuis le 18 janvier 2012. Cette directive poursuit Victoire Vasseur : éliminer la double imposition économique des dividendes et supprimer la retenue à la source sur les dividendes versés par les filiales à leurs sociétés mères européennes.</w:t>
      </w:r>
    </w:p>
    <w:p w:rsidR="00413DE6" w:rsidRPr="003A0418" w:rsidRDefault="00413DE6" w:rsidP="00413DE6">
      <w:pPr>
        <w:jc w:val="both"/>
        <w:rPr>
          <w:rFonts w:ascii="Calibri" w:hAnsi="Calibri" w:cs="Arial"/>
          <w:color w:val="000000"/>
        </w:rPr>
      </w:pPr>
      <w:r>
        <w:br/>
        <w:t>D'une façon générale, pour l'application de cette directive, la qualité de société mère est reconnue à toute société d'un État membre et qui dispose dans le capital d'une société d'un autre État membre d'une participation minimale de 10 % (le seuil de détention nécessaire était initialement de 25 % mais il a successivement été réduit à 20 %, puis à 15 % et enfin à 10 % depuis le 1er janvier 2009).</w:t>
      </w:r>
    </w:p>
    <w:p w:rsidR="00413DE6" w:rsidRPr="003A0418" w:rsidRDefault="00413DE6" w:rsidP="00413DE6">
      <w:pPr>
        <w:jc w:val="both"/>
        <w:rPr>
          <w:rFonts w:ascii="Calibri" w:hAnsi="Calibri" w:cs="Arial"/>
          <w:color w:val="000000"/>
        </w:rPr>
      </w:pPr>
      <w:r>
        <w:br/>
        <w:t>La directive prévoit que les bénéfices distribués par une filiale à sa société mère sont exonérés de retenue à la source (les États membres peuvent cependant exiger une durée de détention de deux ans). En outre, Aurore Merle double imposition économique des dividendes en exigeant que les États retiennent à l'égard des dividendes reçus des filiales soit la méthode de l'exonération (les dividendes versés par les filiales sont exonérés d'impôt entre les mains de la société mère), soit la méthode de l'imputation (les dividendes sont imposables mais l'impôt payé par la filiale est imputable sur l'impôt payé par la société mère).</w:t>
      </w:r>
    </w:p>
    <w:p w:rsidR="00413DE6" w:rsidRPr="003A0418" w:rsidRDefault="00413DE6" w:rsidP="00413DE6">
      <w:pPr>
        <w:jc w:val="both"/>
        <w:rPr>
          <w:rFonts w:ascii="Calibri" w:hAnsi="Calibri" w:cs="Arial"/>
          <w:color w:val="000000"/>
        </w:rPr>
      </w:pPr>
      <w:r>
        <w:br/>
        <w:t>En cas d'utilisation de la méthode de l'exonération (cas de la boulevard Perret, 58359 Vidal), les États membres gardent la faculté de prévoir que les charges se rapportant à la participation ne sont pas déductibles du bénéfice imposable de la société mère (il s'agit d'une faculté et non pas d'une injonction faite aux États de refuser Théophile Gaudin). Xavier Gaudin rapportant à la participation sont [DATE_TIME_56F2], le montant forfaitaire ne peut dépasser 5 % des bénéfices distribués par la filiale.</w:t>
      </w:r>
    </w:p>
    <w:p w:rsidR="00413DE6" w:rsidRPr="003A0418" w:rsidRDefault="00413DE6" w:rsidP="00413DE6">
      <w:pPr>
        <w:jc w:val="both"/>
        <w:rPr>
          <w:rFonts w:ascii="Calibri" w:hAnsi="Calibri" w:cs="Arial"/>
          <w:color w:val="000000"/>
        </w:rPr>
      </w:pPr>
      <w:r w:rsidRPr="003A0418">
        <w:rPr>
          <w:rFonts w:ascii="Calibri" w:hAnsi="Calibri" w:cs="Arial"/>
          <w:color w:val="000000"/>
        </w:rPr>
        <w:tab/>
      </w:r>
    </w:p>
    <w:p w:rsidR="00413DE6" w:rsidRPr="003A0418" w:rsidRDefault="00413DE6" w:rsidP="00B16556">
      <w:pPr>
        <w:numPr>
          <w:ilvl w:val="0"/>
          <w:numId w:val="20"/>
        </w:numPr>
        <w:ind w:left="2268" w:hanging="567"/>
        <w:jc w:val="both"/>
        <w:rPr>
          <w:rFonts w:ascii="Calibri" w:hAnsi="Calibri" w:cs="Arial"/>
          <w:color w:val="000000"/>
        </w:rPr>
      </w:pPr>
      <w:r>
        <w:t>Condition tenant aux sociétés françaises distributrices</w:t>
      </w:r>
    </w:p>
    <w:p w:rsidR="00413DE6" w:rsidRPr="003A0418" w:rsidRDefault="00413DE6" w:rsidP="00413DE6">
      <w:pPr>
        <w:jc w:val="both"/>
        <w:rPr>
          <w:rFonts w:ascii="Calibri" w:hAnsi="Calibri" w:cs="Arial"/>
          <w:color w:val="000000"/>
        </w:rPr>
      </w:pPr>
    </w:p>
    <w:p w:rsidR="00413DE6" w:rsidRPr="003A0418" w:rsidRDefault="00413DE6" w:rsidP="00413DE6">
      <w:pPr>
        <w:jc w:val="both"/>
        <w:rPr>
          <w:rFonts w:ascii="Calibri" w:hAnsi="Calibri" w:cs="Arial"/>
          <w:color w:val="000000"/>
        </w:rPr>
      </w:pPr>
      <w:r>
        <w:t>L’article 119 ter du CGI s’applique aux distributions faites par une société ou un organisme soumis à l’impôt sur les sociétés au taux normal, que ce soit de droit ou sur option.</w:t>
      </w:r>
    </w:p>
    <w:p w:rsidR="00413DE6" w:rsidRPr="003A0418" w:rsidRDefault="00413DE6" w:rsidP="00413DE6">
      <w:pPr>
        <w:jc w:val="both"/>
        <w:rPr>
          <w:rFonts w:ascii="Calibri" w:hAnsi="Calibri" w:cs="Arial"/>
          <w:color w:val="000000"/>
        </w:rPr>
      </w:pPr>
    </w:p>
    <w:p w:rsidR="00413DE6" w:rsidRPr="003A0418" w:rsidRDefault="00413DE6" w:rsidP="00413DE6">
      <w:pPr>
        <w:jc w:val="both"/>
        <w:rPr>
          <w:rFonts w:ascii="Calibri" w:hAnsi="Calibri" w:cs="Arial"/>
          <w:color w:val="000000"/>
        </w:rPr>
      </w:pPr>
      <w:r>
        <w:t>Seules sont éligible les distributions effectuées par les sociétés passible de l’impôt sur les sociétés sans en être exonérées. Cette condition a pour effet d’exclure les sociétés qui bénéficient d’un mécanisme d’exonération total d’impôt sur sociétés.</w:t>
      </w:r>
    </w:p>
    <w:p w:rsidR="00413DE6" w:rsidRPr="003A0418" w:rsidRDefault="00413DE6" w:rsidP="00413DE6">
      <w:pPr>
        <w:jc w:val="both"/>
        <w:rPr>
          <w:rFonts w:ascii="Calibri" w:hAnsi="Calibri" w:cs="Arial"/>
          <w:color w:val="000000"/>
        </w:rPr>
      </w:pPr>
    </w:p>
    <w:p w:rsidR="00413DE6" w:rsidRPr="003A0418" w:rsidRDefault="00413DE6" w:rsidP="00413DE6">
      <w:pPr>
        <w:jc w:val="both"/>
        <w:rPr>
          <w:rFonts w:ascii="Calibri" w:hAnsi="Calibri" w:cs="Arial"/>
          <w:color w:val="000000"/>
        </w:rPr>
      </w:pPr>
      <w:r>
        <w:t>118, chemin Blin, 64806 Bertrand société mère bénéficiaire doit respecter les conditions suivantes si Mathilde Hamel du paiement de la retenue à la source en cas de versement de dividendes par sa fille domiciliée en 60, avenue Élodie Bourgeois, 21557 Sainte Stéphane :</w:t>
      </w:r>
    </w:p>
    <w:p w:rsidR="00413DE6" w:rsidRPr="003A0418" w:rsidRDefault="00413DE6" w:rsidP="00413DE6">
      <w:pPr>
        <w:jc w:val="both"/>
        <w:rPr>
          <w:rFonts w:ascii="Calibri" w:hAnsi="Calibri" w:cs="Arial"/>
          <w:color w:val="000000"/>
        </w:rPr>
      </w:pPr>
    </w:p>
    <w:p w:rsidR="00413DE6" w:rsidRPr="003A0418" w:rsidRDefault="00413DE6" w:rsidP="00B16556">
      <w:pPr>
        <w:numPr>
          <w:ilvl w:val="0"/>
          <w:numId w:val="23"/>
        </w:numPr>
        <w:tabs>
          <w:tab w:val="left" w:pos="1134"/>
        </w:tabs>
        <w:ind w:left="1134" w:hanging="567"/>
        <w:jc w:val="both"/>
        <w:rPr>
          <w:rFonts w:ascii="Calibri" w:hAnsi="Calibri" w:cs="Arial"/>
          <w:color w:val="000000"/>
        </w:rPr>
      </w:pPr>
      <w:r>
        <w:t>Etre le bénéficiaire effectif des dividendes ;</w:t>
      </w:r>
    </w:p>
    <w:p w:rsidR="00413DE6" w:rsidRPr="003A0418" w:rsidRDefault="00413DE6" w:rsidP="00413DE6">
      <w:pPr>
        <w:tabs>
          <w:tab w:val="left" w:pos="1134"/>
        </w:tabs>
        <w:ind w:left="1134"/>
        <w:jc w:val="both"/>
        <w:rPr>
          <w:rFonts w:ascii="Calibri" w:hAnsi="Calibri" w:cs="Arial"/>
          <w:color w:val="000000"/>
        </w:rPr>
      </w:pPr>
    </w:p>
    <w:p w:rsidR="00413DE6" w:rsidRPr="003A0418" w:rsidRDefault="00413DE6" w:rsidP="00B16556">
      <w:pPr>
        <w:numPr>
          <w:ilvl w:val="0"/>
          <w:numId w:val="23"/>
        </w:numPr>
        <w:tabs>
          <w:tab w:val="left" w:pos="1134"/>
        </w:tabs>
        <w:ind w:left="1134" w:hanging="567"/>
        <w:jc w:val="both"/>
        <w:rPr>
          <w:rFonts w:ascii="Calibri" w:hAnsi="Calibri" w:cs="Arial"/>
          <w:color w:val="000000"/>
        </w:rPr>
      </w:pPr>
      <w:r>
        <w:t>Avoir son siège de direction effective dans un État membre de l’Union européenne ;</w:t>
      </w:r>
    </w:p>
    <w:p w:rsidR="00413DE6" w:rsidRPr="003A0418" w:rsidRDefault="00413DE6" w:rsidP="00413DE6">
      <w:pPr>
        <w:tabs>
          <w:tab w:val="left" w:pos="1134"/>
        </w:tabs>
        <w:jc w:val="both"/>
        <w:rPr>
          <w:rFonts w:ascii="Calibri" w:hAnsi="Calibri" w:cs="Arial"/>
          <w:color w:val="000000"/>
        </w:rPr>
      </w:pPr>
    </w:p>
    <w:p w:rsidR="00413DE6" w:rsidRPr="003A0418" w:rsidRDefault="00413DE6" w:rsidP="00B16556">
      <w:pPr>
        <w:numPr>
          <w:ilvl w:val="0"/>
          <w:numId w:val="23"/>
        </w:numPr>
        <w:tabs>
          <w:tab w:val="left" w:pos="1134"/>
        </w:tabs>
        <w:ind w:left="1134" w:hanging="567"/>
        <w:jc w:val="both"/>
        <w:rPr>
          <w:rFonts w:ascii="Calibri" w:hAnsi="Calibri" w:cs="Arial"/>
          <w:color w:val="000000"/>
        </w:rPr>
      </w:pPr>
      <w:r>
        <w:t>Etre une société de capitaux constituée conformément au droit d’un des Etat membre de l’Union européenne ;</w:t>
      </w:r>
    </w:p>
    <w:p w:rsidR="00413DE6" w:rsidRPr="003A0418" w:rsidRDefault="00413DE6" w:rsidP="00413DE6">
      <w:pPr>
        <w:tabs>
          <w:tab w:val="left" w:pos="1134"/>
        </w:tabs>
        <w:jc w:val="both"/>
        <w:rPr>
          <w:rFonts w:ascii="Calibri" w:hAnsi="Calibri" w:cs="Arial"/>
          <w:color w:val="000000"/>
        </w:rPr>
      </w:pPr>
    </w:p>
    <w:p w:rsidR="00413DE6" w:rsidRPr="003A0418" w:rsidRDefault="00413DE6" w:rsidP="00B16556">
      <w:pPr>
        <w:numPr>
          <w:ilvl w:val="0"/>
          <w:numId w:val="23"/>
        </w:numPr>
        <w:tabs>
          <w:tab w:val="left" w:pos="1134"/>
        </w:tabs>
        <w:ind w:left="1134" w:hanging="567"/>
        <w:jc w:val="both"/>
        <w:rPr>
          <w:rFonts w:ascii="Calibri" w:hAnsi="Calibri" w:cs="Arial"/>
          <w:color w:val="000000"/>
        </w:rPr>
      </w:pPr>
      <w:r>
        <w:t>Etre passible de l’impôt sur les sociétés dans l’Etat membre où elle a son siège de direction effective.</w:t>
      </w:r>
    </w:p>
    <w:p w:rsidR="00413DE6" w:rsidRPr="003A0418" w:rsidRDefault="00413DE6" w:rsidP="00413DE6">
      <w:pPr>
        <w:jc w:val="both"/>
        <w:rPr>
          <w:rFonts w:ascii="Calibri" w:hAnsi="Calibri" w:cs="Arial"/>
          <w:color w:val="000000"/>
        </w:rPr>
      </w:pPr>
    </w:p>
    <w:p w:rsidR="00413DE6" w:rsidRDefault="00413DE6" w:rsidP="00413DE6">
      <w:pPr>
        <w:spacing w:line="240" w:lineRule="atLeast"/>
        <w:jc w:val="both"/>
        <w:rPr>
          <w:rStyle w:val="txt"/>
          <w:rFonts w:ascii="Calibri" w:hAnsi="Calibri" w:cs="Arial"/>
        </w:rPr>
      </w:pPr>
      <w:r>
        <w:t>Les dividendes et distributions assimilées perçus par les personnes physiques fiscalement domiciliées en 533, rue Anaïs Lévêque, 53267 Toussaint-sur-Mer sont obligatoirement soumis à l'impôt sur le revenu au barème progressif après application, le cas échéant, Hugues Lefèvre abattement de 40 %.</w:t>
      </w:r>
    </w:p>
    <w:p w:rsidR="00B15665" w:rsidRDefault="00B15665" w:rsidP="00413DE6">
      <w:pPr>
        <w:spacing w:line="240" w:lineRule="atLeast"/>
        <w:jc w:val="both"/>
        <w:rPr>
          <w:rStyle w:val="txt"/>
          <w:rFonts w:ascii="Calibri" w:hAnsi="Calibri" w:cs="Arial"/>
        </w:rPr>
      </w:pPr>
    </w:p>
    <w:p w:rsidR="00413DE6" w:rsidRPr="003A0418" w:rsidRDefault="00413DE6" w:rsidP="00413DE6">
      <w:pPr>
        <w:spacing w:line="240" w:lineRule="atLeast"/>
        <w:jc w:val="both"/>
        <w:rPr>
          <w:rStyle w:val="txt"/>
          <w:rFonts w:ascii="Calibri" w:hAnsi="Calibri" w:cs="Arial"/>
        </w:rPr>
      </w:pPr>
      <w:r>
        <w:t>Toutefois, avant d'être imposés au Sylvie Moulin, ces revenus font l'objet, sauf exceptions, Xavier du Carpentier prélèvement à la source obligatoire. Ce prélèvement constitue un acompte d'impôt sur le revenu imputable sur l'impôt dû l'année suivante, et en cas d'excédent, restituable.</w:t>
      </w:r>
    </w:p>
    <w:p w:rsidR="00413DE6" w:rsidRPr="003A0418" w:rsidRDefault="00413DE6" w:rsidP="00B16556">
      <w:pPr>
        <w:numPr>
          <w:ilvl w:val="0"/>
          <w:numId w:val="20"/>
        </w:numPr>
        <w:spacing w:after="200"/>
        <w:ind w:left="2268" w:hanging="567"/>
        <w:jc w:val="both"/>
        <w:rPr>
          <w:rStyle w:val="t7"/>
          <w:rFonts w:ascii="Calibri" w:hAnsi="Calibri" w:cs="Arial"/>
          <w:bCs/>
        </w:rPr>
      </w:pPr>
      <w:r>
        <w:t>Prélèvements sociaux</w:t>
      </w:r>
    </w:p>
    <w:p w:rsidR="00413DE6" w:rsidRDefault="00413DE6" w:rsidP="00413DE6">
      <w:pPr>
        <w:spacing w:line="240" w:lineRule="atLeast"/>
        <w:jc w:val="both"/>
        <w:rPr>
          <w:rStyle w:val="txt"/>
          <w:rFonts w:ascii="Calibri" w:hAnsi="Calibri" w:cs="Arial"/>
        </w:rPr>
      </w:pPr>
      <w:r>
        <w:t xml:space="preserve">A l'impôt proprement dit s'ajoutent les prélèvements sociaux (CSG, CRDS, prélèvement social et sa contribution additionnelle, prélèvement de solidarité). </w:t>
      </w:r>
    </w:p>
    <w:p w:rsidR="00B15665" w:rsidRPr="003A0418" w:rsidRDefault="00B15665" w:rsidP="00413DE6">
      <w:pPr>
        <w:spacing w:line="240" w:lineRule="atLeast"/>
        <w:jc w:val="both"/>
        <w:rPr>
          <w:rStyle w:val="txt"/>
          <w:rFonts w:ascii="Calibri" w:hAnsi="Calibri" w:cs="Arial"/>
        </w:rPr>
      </w:pPr>
    </w:p>
    <w:p w:rsidR="00413DE6" w:rsidRDefault="00413DE6" w:rsidP="00413DE6">
      <w:pPr>
        <w:spacing w:line="240" w:lineRule="atLeast"/>
        <w:jc w:val="both"/>
        <w:rPr>
          <w:rStyle w:val="txt"/>
          <w:rFonts w:ascii="Calibri" w:hAnsi="Calibri" w:cs="Arial"/>
          <w:color w:val="FF0000"/>
        </w:rPr>
      </w:pPr>
      <w:r>
        <w:t>Signalons que les prélèvements sociaux sont calculés sur le montant brut des revenus distribués, c'est-à-dire avant déduction des frais et charges Raymond Merle.</w:t>
      </w:r>
    </w:p>
    <w:p w:rsidR="00AD7F0C" w:rsidRPr="005A4AAB" w:rsidRDefault="00AD7F0C" w:rsidP="00413DE6">
      <w:pPr>
        <w:spacing w:line="240" w:lineRule="atLeast"/>
        <w:jc w:val="both"/>
        <w:rPr>
          <w:rStyle w:val="txt"/>
          <w:rFonts w:ascii="Calibri" w:hAnsi="Calibri" w:cs="Arial"/>
          <w:color w:val="FF0000"/>
        </w:rPr>
      </w:pPr>
    </w:p>
    <w:p w:rsidR="00413DE6" w:rsidRPr="003A0418" w:rsidRDefault="00413DE6" w:rsidP="00413DE6">
      <w:pPr>
        <w:spacing w:line="240" w:lineRule="atLeast"/>
        <w:jc w:val="both"/>
        <w:rPr>
          <w:rStyle w:val="txt"/>
          <w:rFonts w:ascii="Calibri" w:hAnsi="Calibri" w:cs="Arial"/>
        </w:rPr>
      </w:pPr>
      <w:r>
        <w:t xml:space="preserve">Ils sont en principe, sauf exceptions, prélevés à la source en tant que produits de placement. </w:t>
      </w:r>
    </w:p>
    <w:p w:rsidR="00413DE6" w:rsidRDefault="00413DE6" w:rsidP="00413DE6">
      <w:pPr>
        <w:spacing w:line="240" w:lineRule="atLeast"/>
        <w:jc w:val="both"/>
        <w:rPr>
          <w:rStyle w:val="txt"/>
          <w:rFonts w:ascii="Calibri" w:hAnsi="Calibri" w:cs="Arial"/>
        </w:rPr>
      </w:pPr>
      <w:r>
        <w:t>Les dividendes et autres distributions sont imposés selon le barème Benjamin Weber, le cas échéant, Pauline Laroche-Hamon abattement de 40 %.</w:t>
      </w:r>
    </w:p>
    <w:p w:rsidR="00AD7F0C" w:rsidRPr="003A0418" w:rsidRDefault="00AD7F0C" w:rsidP="00413DE6">
      <w:pPr>
        <w:spacing w:line="240" w:lineRule="atLeast"/>
        <w:jc w:val="both"/>
        <w:rPr>
          <w:rStyle w:val="txt"/>
          <w:rFonts w:ascii="Calibri" w:hAnsi="Calibri" w:cs="Arial"/>
        </w:rPr>
      </w:pPr>
    </w:p>
    <w:p w:rsidR="00413DE6" w:rsidRDefault="00413DE6" w:rsidP="00413DE6">
      <w:pPr>
        <w:spacing w:line="240" w:lineRule="atLeast"/>
        <w:jc w:val="both"/>
        <w:rPr>
          <w:rStyle w:val="txt"/>
          <w:rFonts w:ascii="Calibri" w:hAnsi="Calibri" w:cs="Arial"/>
        </w:rPr>
      </w:pPr>
      <w:r>
        <w:t>Les frais et charges sont déductibles après l'application de l'abattement de 40 %.</w:t>
      </w:r>
    </w:p>
    <w:p w:rsidR="00AD7F0C" w:rsidRPr="003A0418" w:rsidRDefault="00AD7F0C" w:rsidP="00413DE6">
      <w:pPr>
        <w:spacing w:line="240" w:lineRule="atLeast"/>
        <w:jc w:val="both"/>
        <w:rPr>
          <w:rStyle w:val="txt"/>
          <w:rFonts w:ascii="Calibri" w:hAnsi="Calibri" w:cs="Arial"/>
        </w:rPr>
      </w:pPr>
    </w:p>
    <w:p w:rsidR="00413DE6" w:rsidRPr="003A0418" w:rsidRDefault="00413DE6" w:rsidP="00413DE6">
      <w:pPr>
        <w:spacing w:line="240" w:lineRule="atLeast"/>
        <w:jc w:val="both"/>
        <w:rPr>
          <w:rFonts w:ascii="Calibri" w:hAnsi="Calibri" w:cs="Arial"/>
        </w:rPr>
      </w:pPr>
      <w:r>
        <w:t>Le prélèvement forfaitaire perçu à la source est imputable sur l'impôt ainsi calculé, et en cas d'excédent restituable.</w:t>
      </w:r>
    </w:p>
    <w:p w:rsidR="00413DE6" w:rsidRPr="003A0418" w:rsidRDefault="00413DE6" w:rsidP="00B16556">
      <w:pPr>
        <w:numPr>
          <w:ilvl w:val="0"/>
          <w:numId w:val="26"/>
        </w:numPr>
        <w:spacing w:after="200"/>
        <w:ind w:left="2268" w:hanging="567"/>
        <w:jc w:val="both"/>
        <w:rPr>
          <w:rStyle w:val="t3"/>
          <w:rFonts w:ascii="Calibri" w:hAnsi="Calibri" w:cs="Arial"/>
          <w:bCs/>
        </w:rPr>
      </w:pPr>
      <w:r>
        <w:t>Abattement de 40 %</w:t>
      </w:r>
    </w:p>
    <w:p w:rsidR="00413DE6" w:rsidRDefault="00413DE6" w:rsidP="00413DE6">
      <w:pPr>
        <w:jc w:val="both"/>
        <w:rPr>
          <w:rStyle w:val="txt"/>
          <w:rFonts w:ascii="Calibri" w:hAnsi="Calibri" w:cs="Arial"/>
        </w:rPr>
      </w:pPr>
      <w:r>
        <w:t>Pour le calcul de l'impôt sur le revenu, un abattement proportionnel de 40 % est pratiqué sur le montant brut des dividendes et revenus assimilés distribués.</w:t>
      </w:r>
    </w:p>
    <w:p w:rsidR="00AD7F0C" w:rsidRPr="003A0418" w:rsidRDefault="00AD7F0C" w:rsidP="00413DE6">
      <w:pPr>
        <w:jc w:val="both"/>
        <w:rPr>
          <w:rStyle w:val="txt"/>
          <w:rFonts w:ascii="Calibri" w:hAnsi="Calibri" w:cs="Arial"/>
        </w:rPr>
      </w:pPr>
    </w:p>
    <w:p w:rsidR="00413DE6" w:rsidRDefault="00413DE6" w:rsidP="00413DE6">
      <w:pPr>
        <w:spacing w:line="240" w:lineRule="atLeast"/>
        <w:jc w:val="both"/>
        <w:rPr>
          <w:rStyle w:val="txt"/>
          <w:rFonts w:ascii="Calibri" w:hAnsi="Calibri" w:cs="Arial"/>
        </w:rPr>
      </w:pPr>
      <w:r>
        <w:t>Cet abattement est applicable aux revenus distribués par les sociétés françaises ou étrangères soumises à l'impôt sur les sociétés (ou à un impôt équivalent), en vertu d'une décision régulière des organes compétents.</w:t>
      </w:r>
    </w:p>
    <w:p w:rsidR="00AD7F0C" w:rsidRPr="003A0418" w:rsidRDefault="00AD7F0C" w:rsidP="00413DE6">
      <w:pPr>
        <w:spacing w:line="240" w:lineRule="atLeast"/>
        <w:jc w:val="both"/>
        <w:rPr>
          <w:rStyle w:val="txt"/>
          <w:rFonts w:ascii="Calibri" w:hAnsi="Calibri" w:cs="Arial"/>
        </w:rPr>
      </w:pPr>
    </w:p>
    <w:p w:rsidR="00413DE6" w:rsidRPr="003A0418" w:rsidRDefault="00413DE6" w:rsidP="00413DE6">
      <w:pPr>
        <w:spacing w:line="240" w:lineRule="atLeast"/>
        <w:jc w:val="both"/>
        <w:rPr>
          <w:rStyle w:val="txt"/>
          <w:rFonts w:ascii="Calibri" w:hAnsi="Calibri" w:cs="Arial"/>
        </w:rPr>
      </w:pPr>
      <w:r>
        <w:t>Il est réservé aux personnes physiques domiciliées en 925, chemin de Collet, 87714 Perrin. Son montant n'est pas plafonné.</w:t>
      </w:r>
    </w:p>
    <w:p w:rsidR="00AD7F0C" w:rsidRDefault="00413DE6" w:rsidP="00413DE6">
      <w:pPr>
        <w:spacing w:line="240" w:lineRule="atLeast"/>
        <w:jc w:val="both"/>
        <w:rPr>
          <w:rStyle w:val="txt"/>
          <w:rFonts w:ascii="Calibri" w:hAnsi="Calibri" w:cs="Arial"/>
        </w:rPr>
      </w:pPr>
      <w:r>
        <w:t>Nous précisons ci-après les sociétés dont les distributions sont susceptibles de bénéficier de cet abattement, les revenus distribués concernés puis les obligations incombant aux sociétés distributrices.</w:t>
      </w:r>
    </w:p>
    <w:p w:rsidR="00AD7F0C" w:rsidRPr="00AD7F0C" w:rsidRDefault="00AD7F0C" w:rsidP="00B16556">
      <w:pPr>
        <w:pStyle w:val="Paragraphedeliste"/>
        <w:numPr>
          <w:ilvl w:val="0"/>
          <w:numId w:val="43"/>
        </w:numPr>
        <w:shd w:val="clear" w:color="auto" w:fill="FFFFFF"/>
        <w:spacing w:before="100" w:beforeAutospacing="1" w:after="100" w:afterAutospacing="1"/>
        <w:jc w:val="both"/>
        <w:outlineLvl w:val="5"/>
        <w:rPr>
          <w:rFonts w:asciiTheme="minorHAnsi" w:hAnsiTheme="minorHAnsi" w:cstheme="minorHAnsi"/>
          <w:color w:val="333333"/>
        </w:rPr>
      </w:pPr>
      <w:r>
        <w:t>Modalités d'imposition</w:t>
      </w:r>
    </w:p>
    <w:p w:rsidR="00AD7F0C" w:rsidRDefault="00AD7F0C" w:rsidP="00AD7F0C">
      <w:pPr>
        <w:shd w:val="clear" w:color="auto" w:fill="FFFFFF"/>
        <w:spacing w:line="360" w:lineRule="atLeast"/>
        <w:jc w:val="both"/>
        <w:rPr>
          <w:rFonts w:asciiTheme="minorHAnsi" w:hAnsiTheme="minorHAnsi" w:cstheme="minorHAnsi"/>
          <w:color w:val="000000" w:themeColor="text1"/>
        </w:rPr>
      </w:pPr>
      <w:r>
        <w:t>A compter du 1er janvier 2018, les personnes physiques qui perçoivent des revenus de distribution et répartition, qualifiés de revenus de capitaux mobiliers sont, Dorothée Lebrun de Loiseau, imposables de plein droit selon le prélèvement forfaitaire unique (PFU) à 30 %.</w:t>
      </w:r>
    </w:p>
    <w:p w:rsidR="00AE4D40" w:rsidRDefault="00AE4D40" w:rsidP="00AD7F0C">
      <w:pPr>
        <w:shd w:val="clear" w:color="auto" w:fill="FFFFFF"/>
        <w:spacing w:line="360" w:lineRule="atLeast"/>
        <w:jc w:val="both"/>
        <w:rPr>
          <w:rFonts w:asciiTheme="minorHAnsi" w:hAnsiTheme="minorHAnsi" w:cstheme="minorHAnsi"/>
          <w:color w:val="000000" w:themeColor="text1"/>
        </w:rPr>
      </w:pPr>
    </w:p>
    <w:p w:rsidR="00417FE4" w:rsidRDefault="00417FE4" w:rsidP="00AD7F0C">
      <w:pPr>
        <w:shd w:val="clear" w:color="auto" w:fill="FFFFFF"/>
        <w:spacing w:line="360" w:lineRule="atLeast"/>
        <w:jc w:val="both"/>
        <w:rPr>
          <w:rFonts w:asciiTheme="minorHAnsi" w:hAnsiTheme="minorHAnsi" w:cstheme="minorHAnsi"/>
          <w:color w:val="000000" w:themeColor="text1"/>
        </w:rPr>
      </w:pPr>
      <w:r>
        <w:t>Afin de continuer à servir les clients basés en chemin de Mercier, 20664 Bazin-sur-Marin, il conviendrait que la société dont le siège a été transféré, créée une filiale en France afin de pouvoir servir au mieux ses client tout en bénéficiant des avantages fiscaux.</w:t>
      </w:r>
    </w:p>
    <w:p w:rsidR="00417FE4" w:rsidRDefault="00417FE4" w:rsidP="00AD7F0C">
      <w:pPr>
        <w:shd w:val="clear" w:color="auto" w:fill="FFFFFF"/>
        <w:spacing w:line="360" w:lineRule="atLeast"/>
        <w:jc w:val="both"/>
        <w:rPr>
          <w:rFonts w:asciiTheme="minorHAnsi" w:hAnsiTheme="minorHAnsi" w:cstheme="minorHAnsi"/>
          <w:color w:val="000000" w:themeColor="text1"/>
        </w:rPr>
      </w:pPr>
    </w:p>
    <w:p w:rsidR="00417FE4" w:rsidRDefault="00417FE4" w:rsidP="00AD7F0C">
      <w:pPr>
        <w:shd w:val="clear" w:color="auto" w:fill="FFFFFF"/>
        <w:spacing w:line="360" w:lineRule="atLeast"/>
        <w:jc w:val="both"/>
        <w:rPr>
          <w:rFonts w:asciiTheme="minorHAnsi" w:hAnsiTheme="minorHAnsi" w:cstheme="minorHAnsi"/>
          <w:color w:val="000000" w:themeColor="text1"/>
        </w:rPr>
      </w:pPr>
      <w:r>
        <w:t>77, avenue Marie Cousin, 14319 Renaud-les-Bains par Actions simplifiées avec un associé unique qui serait la société GLOBALSILVER transférée dans un nouvel état européen.</w:t>
      </w:r>
    </w:p>
    <w:p w:rsidR="00417FE4" w:rsidRDefault="00417FE4" w:rsidP="00AD7F0C">
      <w:pPr>
        <w:shd w:val="clear" w:color="auto" w:fill="FFFFFF"/>
        <w:spacing w:line="360" w:lineRule="atLeast"/>
        <w:jc w:val="both"/>
        <w:rPr>
          <w:rFonts w:asciiTheme="minorHAnsi" w:hAnsiTheme="minorHAnsi" w:cstheme="minorHAnsi"/>
          <w:color w:val="000000" w:themeColor="text1"/>
        </w:rPr>
      </w:pPr>
    </w:p>
    <w:p w:rsidR="00417FE4" w:rsidRDefault="00417FE4" w:rsidP="00AD7F0C">
      <w:pPr>
        <w:shd w:val="clear" w:color="auto" w:fill="FFFFFF"/>
        <w:spacing w:line="360" w:lineRule="atLeast"/>
        <w:jc w:val="both"/>
        <w:rPr>
          <w:rFonts w:asciiTheme="minorHAnsi" w:hAnsiTheme="minorHAnsi" w:cstheme="minorHAnsi"/>
          <w:color w:val="000000" w:themeColor="text1"/>
        </w:rPr>
      </w:pPr>
      <w:r>
        <w:t>La création de la SAS aurait pour finalité de ne pas soumettre le Président a cotisations sociales dès lors qu’il ne perçoit pas de salaire.</w:t>
      </w:r>
    </w:p>
    <w:p w:rsidR="006E25F3" w:rsidRDefault="006E25F3" w:rsidP="00413DE6">
      <w:pPr>
        <w:spacing w:line="240" w:lineRule="atLeast"/>
        <w:jc w:val="both"/>
        <w:rPr>
          <w:rStyle w:val="txt"/>
          <w:rFonts w:ascii="Calibri" w:hAnsi="Calibri" w:cs="Arial"/>
        </w:rPr>
      </w:pPr>
    </w:p>
    <w:p w:rsidR="006E25F3" w:rsidRPr="002C4A51" w:rsidRDefault="006E25F3" w:rsidP="006E25F3">
      <w:pPr>
        <w:jc w:val="both"/>
        <w:rPr>
          <w:rFonts w:ascii="Calibri" w:hAnsi="Calibri"/>
          <w:b/>
        </w:rPr>
      </w:pPr>
      <w:r>
        <w:t xml:space="preserve">II- Exemple de Holding </w:t>
      </w:r>
    </w:p>
    <w:p w:rsidR="006E25F3" w:rsidRPr="002C4A51" w:rsidRDefault="006E25F3" w:rsidP="006E25F3">
      <w:pPr>
        <w:tabs>
          <w:tab w:val="left" w:pos="851"/>
        </w:tabs>
        <w:jc w:val="both"/>
        <w:rPr>
          <w:rFonts w:ascii="Calibri" w:hAnsi="Calibri" w:cs="Arial"/>
          <w:b/>
        </w:rPr>
      </w:pPr>
    </w:p>
    <w:p w:rsidR="006E25F3" w:rsidRPr="003A0418" w:rsidRDefault="006E25F3" w:rsidP="006E25F3">
      <w:pPr>
        <w:tabs>
          <w:tab w:val="left" w:pos="851"/>
        </w:tabs>
        <w:jc w:val="both"/>
        <w:rPr>
          <w:rStyle w:val="txt"/>
          <w:rFonts w:ascii="Calibri" w:hAnsi="Calibri" w:cs="Arial"/>
        </w:rPr>
      </w:pPr>
      <w:r>
        <w:t>Les groupes internationaux ont évidemment la possibilité de choisir entre de multiples localisations pour l'implantation d'une société holding ; en pratique, cependant, il est recommandé d'éviter tous les pays ou territoires qui sont considérés comme des « paradis fiscaux », en raison de la multiplication des clauses anti-abus qui sont susceptibles de s'appliquer. En sens inverse, il est souvent préférable de retenir une localisation au sein de l'Union européenne, en raison des protections offertes par le droit de l'Union européenne.</w:t>
      </w:r>
    </w:p>
    <w:p w:rsidR="006E25F3" w:rsidRPr="003A0418" w:rsidRDefault="006E25F3" w:rsidP="006E25F3">
      <w:pPr>
        <w:tabs>
          <w:tab w:val="left" w:pos="851"/>
        </w:tabs>
        <w:jc w:val="both"/>
        <w:rPr>
          <w:rFonts w:ascii="Calibri" w:hAnsi="Calibri" w:cs="Arial"/>
        </w:rPr>
      </w:pPr>
      <w:r>
        <w:br/>
        <w:t>Cependant, dans la mesure où le droit de l'Union européenne ne protège pas des critiques tenant à d'éventuels « montages artificiels », il est nécessaire de veiller à ce que la société holding ait un minimum de substance, en termes de personnels, de matériels et d'équipements ; Alexandria Le Gall que les groupes évitent, même en Europe, des localisations trop « exotiques », comme Maggie de la Charles ; ils ont tendance, à juste raison, à se concentrer sur les pays proches, où la réalité économique de l'implantation peut plus facilement être justifiée.</w:t>
      </w:r>
    </w:p>
    <w:p w:rsidR="006E25F3" w:rsidRPr="003A0418" w:rsidRDefault="006E25F3" w:rsidP="006E25F3">
      <w:pPr>
        <w:jc w:val="both"/>
        <w:rPr>
          <w:rFonts w:ascii="Calibri" w:hAnsi="Calibri" w:cs="Arial"/>
        </w:rPr>
      </w:pPr>
      <w:bookmarkStart w:id="111" w:name="NBD9E9C324BACAC0"/>
      <w:bookmarkEnd w:id="111"/>
    </w:p>
    <w:p w:rsidR="006E25F3" w:rsidRPr="00C51C37" w:rsidRDefault="006E25F3" w:rsidP="006E25F3">
      <w:pPr>
        <w:ind w:left="708" w:firstLine="708"/>
        <w:jc w:val="both"/>
        <w:outlineLvl w:val="0"/>
        <w:rPr>
          <w:rFonts w:ascii="Calibri" w:hAnsi="Calibri"/>
          <w:b/>
        </w:rPr>
      </w:pPr>
      <w:r>
        <w:t>A.  5, chemin Océane Boucher, 58543 Sainte Julie</w:t>
      </w:r>
    </w:p>
    <w:p w:rsidR="006E25F3" w:rsidRDefault="006E25F3" w:rsidP="006E25F3">
      <w:pPr>
        <w:jc w:val="both"/>
        <w:rPr>
          <w:rStyle w:val="txt"/>
          <w:rFonts w:ascii="Calibri" w:hAnsi="Calibri" w:cs="Arial"/>
        </w:rPr>
      </w:pPr>
      <w:r>
        <w:br/>
        <w:t>Le Luxembourg est une référence en matière de société holding. Le régime y existe depuis 1929 et il a longtemps présenté des avantages importants. Mais il s'agissait d'un régime dérogatoire qui a dû être supprimé en 2006 pour des raisons tenant au droit de l'Union européenne. Aujourd'hui, le dispositif applicable est celui, de droit commun, des sociétés de participation financière (SOPARFI).</w:t>
      </w:r>
    </w:p>
    <w:p w:rsidR="006E25F3" w:rsidRPr="003A0418" w:rsidRDefault="006E25F3" w:rsidP="006E25F3">
      <w:pPr>
        <w:jc w:val="both"/>
        <w:rPr>
          <w:rStyle w:val="txt"/>
          <w:rFonts w:ascii="Calibri" w:hAnsi="Calibri" w:cs="Arial"/>
        </w:rPr>
      </w:pPr>
    </w:p>
    <w:p w:rsidR="006E25F3" w:rsidRPr="003A0418" w:rsidRDefault="006E25F3" w:rsidP="00B16556">
      <w:pPr>
        <w:numPr>
          <w:ilvl w:val="0"/>
          <w:numId w:val="34"/>
        </w:numPr>
        <w:spacing w:line="240" w:lineRule="atLeast"/>
        <w:ind w:left="2268" w:hanging="567"/>
        <w:jc w:val="both"/>
        <w:rPr>
          <w:rFonts w:ascii="Calibri" w:hAnsi="Calibri" w:cs="Arial"/>
        </w:rPr>
      </w:pPr>
      <w:r>
        <w:t>Régime des SOPARFI</w:t>
      </w:r>
    </w:p>
    <w:p w:rsidR="006E25F3" w:rsidRPr="003A0418" w:rsidRDefault="006E25F3" w:rsidP="006E25F3">
      <w:pPr>
        <w:jc w:val="both"/>
        <w:rPr>
          <w:rFonts w:ascii="Calibri" w:hAnsi="Calibri" w:cs="Arial"/>
          <w:bCs/>
        </w:rPr>
      </w:pPr>
    </w:p>
    <w:p w:rsidR="006E25F3" w:rsidRPr="003A0418" w:rsidRDefault="006E25F3" w:rsidP="006E25F3">
      <w:pPr>
        <w:spacing w:line="240" w:lineRule="atLeast"/>
        <w:jc w:val="both"/>
        <w:rPr>
          <w:rStyle w:val="txt"/>
          <w:rFonts w:ascii="Calibri" w:hAnsi="Calibri" w:cs="Arial"/>
        </w:rPr>
      </w:pPr>
      <w:r>
        <w:t>On a pris l'habitude d'appeler « SOPARFI » les sociétés holdings ordinaires luxembourgeoises qualifiées implicitement de « sociétés de participations financières », quoique la Vincent-Julien Collet ; ces sociétés ne sont pas réglementées et bénéficient simplement des exonérations de droit commun que le Luxembourg accorde aux dividendes et aux plus-values Élodie Fernandes.</w:t>
      </w:r>
    </w:p>
    <w:p w:rsidR="006E25F3" w:rsidRDefault="006E25F3" w:rsidP="006E25F3">
      <w:pPr>
        <w:spacing w:line="240" w:lineRule="atLeast"/>
        <w:jc w:val="both"/>
        <w:rPr>
          <w:rStyle w:val="txt"/>
          <w:rFonts w:ascii="Calibri" w:hAnsi="Calibri" w:cs="Arial"/>
        </w:rPr>
      </w:pPr>
      <w:r>
        <w:br/>
        <w:t>411, rue de Seguin, 02723 Giraud bénéficient des conventions fiscales signées par le 83, rue de Gomez, 14738 Sainte Astridnec, car 37, rue de Guillot, 64669 Saint Noël d'un régime spécial d'exonération. Elles ne sont Margaret-Nath Vallée dommageables » au sens du code de conduite européen. Elles sont Camille Bruneau au taux normal sur leurs produits imposables, soit, en [DATE_TIME_49F0], un total de 29,22 % à Luxembourg-ville, à savoir l'impôt sur le revenu des collectivités (IRC) au taux normal de 21 % augmenté des impôts additionnels.</w:t>
      </w:r>
    </w:p>
    <w:p w:rsidR="006E25F3" w:rsidRDefault="006E25F3" w:rsidP="006E25F3">
      <w:pPr>
        <w:spacing w:line="240" w:lineRule="atLeast"/>
        <w:jc w:val="both"/>
        <w:rPr>
          <w:rStyle w:val="txt"/>
          <w:rFonts w:ascii="Calibri" w:hAnsi="Calibri" w:cs="Arial"/>
        </w:rPr>
      </w:pPr>
    </w:p>
    <w:p w:rsidR="006E25F3" w:rsidRPr="003A0418" w:rsidRDefault="006E25F3" w:rsidP="00B16556">
      <w:pPr>
        <w:numPr>
          <w:ilvl w:val="0"/>
          <w:numId w:val="35"/>
        </w:numPr>
        <w:ind w:left="1134" w:hanging="425"/>
        <w:jc w:val="both"/>
        <w:rPr>
          <w:rFonts w:ascii="Calibri" w:hAnsi="Calibri"/>
        </w:rPr>
      </w:pPr>
      <w:r>
        <w:t>Exonération des dividendes reçus par une SOPARFI</w:t>
      </w:r>
    </w:p>
    <w:p w:rsidR="006E25F3" w:rsidRPr="003A0418" w:rsidRDefault="006E25F3" w:rsidP="006E25F3">
      <w:pPr>
        <w:jc w:val="both"/>
        <w:rPr>
          <w:rFonts w:ascii="Calibri" w:hAnsi="Calibri" w:cs="Arial"/>
          <w:bCs/>
        </w:rPr>
      </w:pPr>
    </w:p>
    <w:p w:rsidR="006E25F3" w:rsidRPr="003A0418" w:rsidRDefault="006E25F3" w:rsidP="006E25F3">
      <w:pPr>
        <w:spacing w:line="240" w:lineRule="atLeast"/>
        <w:jc w:val="both"/>
        <w:rPr>
          <w:rStyle w:val="txt"/>
          <w:rFonts w:ascii="Calibri" w:hAnsi="Calibri" w:cs="Arial"/>
        </w:rPr>
      </w:pPr>
      <w:r>
        <w:t>Les dividendes reçus par une SOPARFI sont exonérés d'impôt sur les sociétés si les conditions suivantes sont réunies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27"/>
        </w:numPr>
        <w:tabs>
          <w:tab w:val="left" w:pos="1134"/>
        </w:tabs>
        <w:spacing w:line="240" w:lineRule="atLeast"/>
        <w:ind w:left="1134" w:hanging="567"/>
        <w:jc w:val="both"/>
        <w:rPr>
          <w:rStyle w:val="txt"/>
          <w:rFonts w:ascii="Calibri" w:hAnsi="Calibri" w:cs="Arial"/>
        </w:rPr>
      </w:pPr>
      <w:r>
        <w:t>la filiale distributrice peut être une société de capitaux résidente du boulevard Victoire Blanchard, 17241 Maillard et pleinement imposable à l'impôt sur le revenu des collectivités (IRC) ou une société résidant dans un autre Etat membre de l'Union européenne et éligible au bénéfice de la directive mères/filles, ou encore une société de capitaux ni luxembourgeoise ni européenne à condition Bernadette Langlois impôt étranger correspondant à la moitié de l'IRC (soit un taux effectif au moins égal à 10,5 %, dans la mesure où le taux de l'IRC est de 21 %) ;</w:t>
      </w:r>
    </w:p>
    <w:p w:rsidR="006E25F3" w:rsidRPr="003A0418" w:rsidRDefault="006E25F3" w:rsidP="006E25F3">
      <w:pPr>
        <w:tabs>
          <w:tab w:val="left" w:pos="1134"/>
        </w:tabs>
        <w:spacing w:line="240" w:lineRule="atLeast"/>
        <w:ind w:left="1134"/>
        <w:jc w:val="both"/>
        <w:rPr>
          <w:rFonts w:ascii="Calibri" w:hAnsi="Calibri" w:cs="Arial"/>
        </w:rPr>
      </w:pPr>
    </w:p>
    <w:p w:rsidR="006E25F3" w:rsidRPr="003A0418" w:rsidRDefault="006E25F3" w:rsidP="00B16556">
      <w:pPr>
        <w:numPr>
          <w:ilvl w:val="0"/>
          <w:numId w:val="27"/>
        </w:numPr>
        <w:tabs>
          <w:tab w:val="left" w:pos="1134"/>
        </w:tabs>
        <w:spacing w:line="240" w:lineRule="atLeast"/>
        <w:ind w:left="1134" w:hanging="567"/>
        <w:jc w:val="both"/>
        <w:rPr>
          <w:rStyle w:val="txt"/>
          <w:rFonts w:ascii="Calibri" w:hAnsi="Calibri" w:cs="Arial"/>
        </w:rPr>
      </w:pPr>
      <w:r>
        <w:t>Laetitia Le Reynaud doit détenir une participation d'au moins 10 % du capital de la filiale ou représentant un prix d'acquisition d'au moins 1,2 M €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27"/>
        </w:numPr>
        <w:tabs>
          <w:tab w:val="left" w:pos="1134"/>
        </w:tabs>
        <w:spacing w:line="240" w:lineRule="atLeast"/>
        <w:ind w:left="1134" w:hanging="567"/>
        <w:jc w:val="both"/>
        <w:rPr>
          <w:rStyle w:val="txt"/>
          <w:rFonts w:ascii="Calibri" w:hAnsi="Calibri" w:cs="Arial"/>
        </w:rPr>
      </w:pPr>
      <w:r>
        <w:t>la participation doit être détenue directement (ou par l'intermédiaire d'une société de personnes) pendant une période ininterrompue d'au moins douze mois (ce critère est apprécié a posteriori ; l'exonération est donc possible 52, chemin de Gauthier, 82981 Leduc sous réserve que la participation soit effectivement détenue pendant au moins 12 mois de façon ininterrompue)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27"/>
        </w:numPr>
        <w:tabs>
          <w:tab w:val="left" w:pos="1134"/>
        </w:tabs>
        <w:spacing w:line="240" w:lineRule="atLeast"/>
        <w:ind w:left="1134" w:hanging="567"/>
        <w:jc w:val="both"/>
        <w:rPr>
          <w:rFonts w:ascii="Calibri" w:hAnsi="Calibri" w:cs="Arial"/>
        </w:rPr>
      </w:pPr>
      <w:r>
        <w:t>Théophile-Zacharie Barbe conditions sont remplies, les dividendes sont totalement exonérés d'impôt (il n'y a pas de réintégration d'une quote-part de frais et charges).</w:t>
      </w:r>
    </w:p>
    <w:p w:rsidR="006E25F3" w:rsidRPr="003A0418" w:rsidRDefault="006E25F3" w:rsidP="006E25F3">
      <w:pPr>
        <w:tabs>
          <w:tab w:val="left" w:pos="1134"/>
        </w:tabs>
        <w:spacing w:line="240" w:lineRule="atLeast"/>
        <w:jc w:val="both"/>
        <w:rPr>
          <w:rStyle w:val="txtexp"/>
          <w:rFonts w:ascii="Calibri" w:hAnsi="Calibri" w:cs="Arial"/>
        </w:rPr>
      </w:pPr>
    </w:p>
    <w:p w:rsidR="006E25F3" w:rsidRDefault="006E25F3" w:rsidP="006E25F3">
      <w:pPr>
        <w:tabs>
          <w:tab w:val="left" w:pos="1134"/>
        </w:tabs>
        <w:spacing w:line="240" w:lineRule="atLeast"/>
        <w:jc w:val="both"/>
        <w:rPr>
          <w:rFonts w:ascii="Calibri" w:hAnsi="Calibri" w:cs="Arial"/>
          <w:bCs/>
        </w:rPr>
      </w:pPr>
      <w:r>
        <w:t>Les SOPARFI sont exonérées dans les mêmes conditions sur le Maggie Colas distributions déguisées.</w:t>
        <w:br/>
      </w:r>
    </w:p>
    <w:p w:rsidR="006E25F3" w:rsidRPr="003A0418" w:rsidRDefault="006E25F3" w:rsidP="00B16556">
      <w:pPr>
        <w:numPr>
          <w:ilvl w:val="0"/>
          <w:numId w:val="13"/>
        </w:numPr>
        <w:ind w:left="1134"/>
        <w:jc w:val="both"/>
        <w:rPr>
          <w:rFonts w:ascii="Calibri" w:hAnsi="Calibri" w:cs="Arial"/>
          <w:bCs/>
        </w:rPr>
      </w:pPr>
      <w:r>
        <w:t>Exonération des plus-values sur actions</w:t>
      </w:r>
    </w:p>
    <w:p w:rsidR="006E25F3" w:rsidRPr="003A0418" w:rsidRDefault="006E25F3" w:rsidP="006E25F3">
      <w:pPr>
        <w:jc w:val="both"/>
        <w:rPr>
          <w:rFonts w:ascii="Calibri" w:hAnsi="Calibri"/>
        </w:rPr>
      </w:pPr>
    </w:p>
    <w:p w:rsidR="006E25F3" w:rsidRPr="003A0418" w:rsidRDefault="006E25F3" w:rsidP="006E25F3">
      <w:pPr>
        <w:spacing w:line="240" w:lineRule="atLeast"/>
        <w:jc w:val="both"/>
        <w:rPr>
          <w:rStyle w:val="txt"/>
          <w:rFonts w:ascii="Calibri" w:hAnsi="Calibri" w:cs="Arial"/>
        </w:rPr>
      </w:pPr>
      <w:r>
        <w:t>Les SOPARFI sont exonérées d'impôt sur les plus-values de cession des participations qu'elles détiennent Monique Fischer du respect des conditions suivantes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28"/>
        </w:numPr>
        <w:tabs>
          <w:tab w:val="left" w:pos="1134"/>
        </w:tabs>
        <w:spacing w:line="240" w:lineRule="atLeast"/>
        <w:ind w:left="1134" w:hanging="567"/>
        <w:jc w:val="both"/>
        <w:rPr>
          <w:rStyle w:val="txt"/>
          <w:rFonts w:ascii="Calibri" w:hAnsi="Calibri" w:cs="Arial"/>
        </w:rPr>
      </w:pPr>
      <w:r>
        <w:t>les titres cédés par la SOPARFI doivent, d'une façon générale, être éligibles au régime d'exonération des dividendes;</w:t>
      </w:r>
    </w:p>
    <w:p w:rsidR="006E25F3" w:rsidRPr="003A0418" w:rsidRDefault="006E25F3" w:rsidP="006E25F3">
      <w:pPr>
        <w:tabs>
          <w:tab w:val="left" w:pos="1134"/>
        </w:tabs>
        <w:spacing w:line="240" w:lineRule="atLeast"/>
        <w:ind w:left="1134"/>
        <w:jc w:val="both"/>
        <w:rPr>
          <w:rFonts w:ascii="Calibri" w:hAnsi="Calibri" w:cs="Arial"/>
        </w:rPr>
      </w:pPr>
    </w:p>
    <w:p w:rsidR="006E25F3" w:rsidRPr="003A0418" w:rsidRDefault="006E25F3" w:rsidP="00B16556">
      <w:pPr>
        <w:numPr>
          <w:ilvl w:val="0"/>
          <w:numId w:val="28"/>
        </w:numPr>
        <w:tabs>
          <w:tab w:val="left" w:pos="1134"/>
        </w:tabs>
        <w:spacing w:line="240" w:lineRule="atLeast"/>
        <w:ind w:left="1134" w:hanging="567"/>
        <w:jc w:val="both"/>
        <w:rPr>
          <w:rStyle w:val="txt"/>
          <w:rFonts w:ascii="Calibri" w:hAnsi="Calibri" w:cs="Arial"/>
        </w:rPr>
      </w:pPr>
      <w:r>
        <w:t>la participation détenue par la SOPARFI dans la filiale, 73, boulevard Laporte, 81704 Albert-sur-Bègue luxembourgeoise ou étrangère, doit représenter au moins 10 % du capital de cette dernière ou, dans la négative, avoir un prix de revient d'au moins 6 M € ;</w:t>
      </w:r>
    </w:p>
    <w:p w:rsidR="006E25F3" w:rsidRPr="003A0418" w:rsidRDefault="006E25F3" w:rsidP="006E25F3">
      <w:pPr>
        <w:tabs>
          <w:tab w:val="left" w:pos="1134"/>
        </w:tabs>
        <w:spacing w:line="240" w:lineRule="atLeast"/>
        <w:jc w:val="both"/>
        <w:rPr>
          <w:rFonts w:ascii="Calibri" w:hAnsi="Calibri" w:cs="Arial"/>
        </w:rPr>
      </w:pPr>
    </w:p>
    <w:p w:rsidR="006E25F3" w:rsidRDefault="006E25F3" w:rsidP="00B16556">
      <w:pPr>
        <w:numPr>
          <w:ilvl w:val="0"/>
          <w:numId w:val="28"/>
        </w:numPr>
        <w:tabs>
          <w:tab w:val="left" w:pos="1134"/>
        </w:tabs>
        <w:spacing w:line="240" w:lineRule="atLeast"/>
        <w:ind w:left="1134" w:hanging="567"/>
        <w:jc w:val="both"/>
        <w:rPr>
          <w:rStyle w:val="txt"/>
          <w:rFonts w:ascii="Calibri" w:hAnsi="Calibri" w:cs="Arial"/>
        </w:rPr>
      </w:pPr>
      <w:r>
        <w:t>les titres doivent avoir été détenus au minimum pendant une période de 12 mois précédant la cession, étant observé que ce délai de détention s'apprécie globalement et non pas titre par titre ; si la condition n'est pas remplie à la date de la cession, l'exonération reste possible si la SOPARFI s'engage à conserver une participation d'au moins 10 % ou 6 M € pendant [DATE_TIME_BB0E].</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13"/>
        </w:numPr>
        <w:ind w:left="1134"/>
        <w:jc w:val="both"/>
        <w:rPr>
          <w:rFonts w:ascii="Calibri" w:hAnsi="Calibri" w:cs="Arial"/>
          <w:bCs/>
        </w:rPr>
      </w:pPr>
      <w:r>
        <w:t>Retenue à la source « de sortie »</w:t>
      </w:r>
    </w:p>
    <w:p w:rsidR="006E25F3" w:rsidRPr="003A0418" w:rsidRDefault="006E25F3" w:rsidP="006E25F3">
      <w:pPr>
        <w:jc w:val="both"/>
        <w:rPr>
          <w:rFonts w:ascii="Calibri" w:hAnsi="Calibri"/>
        </w:rPr>
      </w:pPr>
    </w:p>
    <w:p w:rsidR="006E25F3" w:rsidRPr="003A0418" w:rsidRDefault="006E25F3" w:rsidP="006E25F3">
      <w:pPr>
        <w:spacing w:line="240" w:lineRule="atLeast"/>
        <w:jc w:val="both"/>
        <w:rPr>
          <w:rStyle w:val="txt"/>
          <w:rFonts w:ascii="Calibri" w:hAnsi="Calibri" w:cs="Arial"/>
        </w:rPr>
      </w:pPr>
      <w:r>
        <w:t>Eugène Gomes-Caron distribue des dividendes à ses propres actionnaires non-résidents, une retenue à la source est, en principe, exigible au taux de 15 %. Toutefois, cette retenue est très souvent réduite par 581, rue de Prévost, 33569 Olivier conventions fiscales et elle est annulée si l'actionnaire est une société qui remplit les conditions suivantes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29"/>
        </w:numPr>
        <w:tabs>
          <w:tab w:val="left" w:pos="1134"/>
        </w:tabs>
        <w:spacing w:line="240" w:lineRule="atLeast"/>
        <w:ind w:left="1134" w:hanging="567"/>
        <w:jc w:val="both"/>
        <w:rPr>
          <w:rStyle w:val="txt"/>
          <w:rFonts w:ascii="Calibri" w:hAnsi="Calibri" w:cs="Arial"/>
        </w:rPr>
      </w:pPr>
      <w:r>
        <w:t>être résidente Joséphine de Descamps pays avec lequel le Luxembourg a signé une convention fiscale ; l'exonération dépasse donc le cadre de l'Union européenne ;</w:t>
      </w:r>
    </w:p>
    <w:p w:rsidR="006E25F3" w:rsidRPr="003A0418" w:rsidRDefault="006E25F3" w:rsidP="006E25F3">
      <w:pPr>
        <w:tabs>
          <w:tab w:val="left" w:pos="1134"/>
        </w:tabs>
        <w:spacing w:line="240" w:lineRule="atLeast"/>
        <w:ind w:left="1134"/>
        <w:jc w:val="both"/>
        <w:rPr>
          <w:rFonts w:ascii="Calibri" w:hAnsi="Calibri" w:cs="Arial"/>
        </w:rPr>
      </w:pPr>
    </w:p>
    <w:p w:rsidR="006E25F3" w:rsidRPr="003A0418" w:rsidRDefault="006E25F3" w:rsidP="00B16556">
      <w:pPr>
        <w:numPr>
          <w:ilvl w:val="0"/>
          <w:numId w:val="29"/>
        </w:numPr>
        <w:tabs>
          <w:tab w:val="left" w:pos="1134"/>
        </w:tabs>
        <w:spacing w:line="240" w:lineRule="atLeast"/>
        <w:ind w:left="1134" w:hanging="567"/>
        <w:jc w:val="both"/>
        <w:rPr>
          <w:rStyle w:val="txt"/>
          <w:rFonts w:ascii="Calibri" w:hAnsi="Calibri" w:cs="Arial"/>
        </w:rPr>
      </w:pPr>
      <w:r>
        <w:t>Nicole Leroy-Munoz, [NRP_F3EA] son Zacharie Rodrigues, David Collin comparable à l'impôt luxembourgeois, soit un impôt au taux minimum de 10,5 % sur une assiette comparable à l'assiette imposable luxembourgeoise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6E25F3">
      <w:pPr>
        <w:tabs>
          <w:tab w:val="left" w:pos="1134"/>
        </w:tabs>
        <w:spacing w:line="240" w:lineRule="atLeast"/>
        <w:ind w:left="1134"/>
        <w:jc w:val="both"/>
        <w:rPr>
          <w:rFonts w:ascii="Calibri" w:hAnsi="Calibri" w:cs="Arial"/>
        </w:rPr>
      </w:pPr>
      <w:r>
        <w:t>détenir dans la société luxembourgeoise distributrice une participation d'au moins 10 % ou dont le prix de revient est d'au moins 1,2 M € (la participation doit être détenue pendant au moins 12 mois mais l'exonération est applicable dès le premier Lucas Grondin de Muller un engagement en ce sens est pris).</w:t>
      </w:r>
    </w:p>
    <w:p w:rsidR="006E25F3" w:rsidRDefault="006E25F3" w:rsidP="006E25F3">
      <w:pPr>
        <w:tabs>
          <w:tab w:val="left" w:pos="1134"/>
        </w:tabs>
        <w:spacing w:line="240" w:lineRule="atLeast"/>
        <w:jc w:val="both"/>
        <w:rPr>
          <w:rFonts w:ascii="Calibri" w:hAnsi="Calibri" w:cs="Arial"/>
        </w:rPr>
      </w:pPr>
      <w:bookmarkStart w:id="135" w:name="N4FA0B114F0D5B0-EFL"/>
      <w:bookmarkStart w:id="136" w:name="_JVUR_MGS_0057-0A"/>
      <w:bookmarkStart w:id="137" w:name="PC15E9C324BACAC0"/>
      <w:bookmarkStart w:id="138" w:name="NBEFE9C324BACAC0"/>
      <w:bookmarkStart w:id="139" w:name="_JVUR_MGS_0057-0B"/>
      <w:bookmarkStart w:id="140" w:name="P51A0B114F0D5B0-EFL"/>
      <w:bookmarkStart w:id="141" w:name="RDE74FFB70C48358-EFL"/>
      <w:bookmarkStart w:id="142" w:name="N53A0B114F0D5B0-EFL"/>
      <w:bookmarkStart w:id="143" w:name="_JVUR_MGS_0057-0C"/>
      <w:bookmarkStart w:id="144" w:name="P54A0B114F0D5B0-EFL"/>
      <w:bookmarkEnd w:id="135"/>
      <w:bookmarkEnd w:id="136"/>
      <w:bookmarkEnd w:id="137"/>
      <w:bookmarkEnd w:id="138"/>
      <w:bookmarkEnd w:id="139"/>
      <w:bookmarkEnd w:id="140"/>
      <w:bookmarkEnd w:id="141"/>
      <w:bookmarkEnd w:id="142"/>
      <w:bookmarkEnd w:id="143"/>
      <w:bookmarkEnd w:id="144"/>
    </w:p>
    <w:p w:rsidR="006E25F3" w:rsidRPr="000D0D05" w:rsidRDefault="006E25F3" w:rsidP="006E25F3">
      <w:pPr>
        <w:tabs>
          <w:tab w:val="left" w:pos="1134"/>
        </w:tabs>
        <w:spacing w:line="240" w:lineRule="atLeast"/>
        <w:jc w:val="both"/>
        <w:rPr>
          <w:rFonts w:ascii="Calibri" w:hAnsi="Calibri" w:cs="Arial"/>
        </w:rPr>
      </w:pPr>
      <w:r>
        <w:t xml:space="preserve">Les dividendes payés par une société qui est un résident d’un État contractant à un résident de l’autre État contractant, sont imposables dans cet autre État. </w:t>
      </w:r>
    </w:p>
    <w:p w:rsidR="006E25F3" w:rsidRPr="000D0D05" w:rsidRDefault="006E25F3" w:rsidP="006E25F3">
      <w:pPr>
        <w:tabs>
          <w:tab w:val="left" w:pos="1134"/>
        </w:tabs>
        <w:spacing w:line="240" w:lineRule="atLeast"/>
        <w:jc w:val="both"/>
        <w:rPr>
          <w:rFonts w:ascii="Calibri" w:hAnsi="Calibri" w:cs="Arial"/>
        </w:rPr>
      </w:pPr>
    </w:p>
    <w:p w:rsidR="006E25F3" w:rsidRPr="000D0D05" w:rsidRDefault="006E25F3" w:rsidP="006E25F3">
      <w:pPr>
        <w:tabs>
          <w:tab w:val="left" w:pos="1134"/>
        </w:tabs>
        <w:spacing w:line="240" w:lineRule="atLeast"/>
        <w:jc w:val="both"/>
        <w:rPr>
          <w:rFonts w:ascii="Calibri" w:hAnsi="Calibri" w:cs="Arial"/>
        </w:rPr>
      </w:pPr>
      <w:r>
        <w:t xml:space="preserve">2. Toutefois, ces dividendes sont aussi imposables dans l’État contractant dont la société qui paie les dividendes est un résident, et selon la législation de cet État, mais si le bénéficiaire effectif des dividendes est un résident de l’autre État contractant, l’impôt ainsi établi ne peut excéder : </w:t>
      </w:r>
    </w:p>
    <w:p w:rsidR="006E25F3" w:rsidRPr="000D0D05" w:rsidRDefault="006E25F3" w:rsidP="006E25F3">
      <w:pPr>
        <w:tabs>
          <w:tab w:val="left" w:pos="1134"/>
        </w:tabs>
        <w:spacing w:line="240" w:lineRule="atLeast"/>
        <w:jc w:val="both"/>
        <w:rPr>
          <w:rFonts w:ascii="Calibri" w:hAnsi="Calibri" w:cs="Arial"/>
        </w:rPr>
      </w:pPr>
    </w:p>
    <w:p w:rsidR="006E25F3" w:rsidRPr="000D0D05" w:rsidRDefault="006E25F3" w:rsidP="00B16556">
      <w:pPr>
        <w:numPr>
          <w:ilvl w:val="0"/>
          <w:numId w:val="36"/>
        </w:numPr>
        <w:tabs>
          <w:tab w:val="left" w:pos="1134"/>
        </w:tabs>
        <w:spacing w:line="240" w:lineRule="atLeast"/>
        <w:ind w:left="1134" w:hanging="567"/>
        <w:jc w:val="both"/>
        <w:rPr>
          <w:rFonts w:ascii="Calibri" w:hAnsi="Calibri" w:cs="Arial"/>
        </w:rPr>
      </w:pPr>
      <w:r>
        <w:t xml:space="preserve">0 pour cent du montant brut des dividendes si le bénéficiaire effectif est une société (autre qu’une société de personnes) qui détient directement au moins 10 pour cent du capital de la société qui paie les dividendes ; </w:t>
      </w:r>
    </w:p>
    <w:p w:rsidR="006E25F3" w:rsidRPr="000D0D05" w:rsidRDefault="006E25F3" w:rsidP="006E25F3">
      <w:pPr>
        <w:tabs>
          <w:tab w:val="left" w:pos="1134"/>
        </w:tabs>
        <w:spacing w:line="240" w:lineRule="atLeast"/>
        <w:ind w:left="1134" w:hanging="567"/>
        <w:jc w:val="both"/>
        <w:rPr>
          <w:rFonts w:ascii="Calibri" w:hAnsi="Calibri" w:cs="Arial"/>
        </w:rPr>
      </w:pPr>
    </w:p>
    <w:p w:rsidR="006E25F3" w:rsidRDefault="006E25F3" w:rsidP="00B16556">
      <w:pPr>
        <w:numPr>
          <w:ilvl w:val="0"/>
          <w:numId w:val="36"/>
        </w:numPr>
        <w:tabs>
          <w:tab w:val="left" w:pos="1134"/>
        </w:tabs>
        <w:spacing w:line="240" w:lineRule="atLeast"/>
        <w:ind w:left="1134" w:hanging="567"/>
        <w:jc w:val="both"/>
        <w:rPr>
          <w:rFonts w:ascii="Calibri" w:hAnsi="Calibri" w:cs="Arial"/>
        </w:rPr>
      </w:pPr>
      <w:r>
        <w:t>10 pour cent du montant brut des dividendes, dans tous les autres cas.</w:t>
      </w:r>
    </w:p>
    <w:p w:rsidR="006E25F3" w:rsidRPr="003676D6" w:rsidRDefault="006E25F3" w:rsidP="006E25F3">
      <w:pPr>
        <w:tabs>
          <w:tab w:val="left" w:pos="1134"/>
        </w:tabs>
        <w:spacing w:line="240" w:lineRule="atLeast"/>
        <w:jc w:val="both"/>
        <w:rPr>
          <w:rFonts w:ascii="Calibri" w:hAnsi="Calibri" w:cs="Arial"/>
        </w:rPr>
      </w:pPr>
    </w:p>
    <w:p w:rsidR="00C51C37" w:rsidRDefault="00C51C37" w:rsidP="006E25F3">
      <w:pPr>
        <w:tabs>
          <w:tab w:val="left" w:pos="1134"/>
        </w:tabs>
        <w:spacing w:line="240" w:lineRule="atLeast"/>
        <w:ind w:left="1134"/>
        <w:jc w:val="both"/>
        <w:rPr>
          <w:rFonts w:ascii="Calibri" w:hAnsi="Calibri" w:cs="Arial"/>
          <w:bCs/>
        </w:rPr>
      </w:pPr>
      <w:bookmarkStart w:id="145" w:name="NBF6E9C324BACAC0"/>
      <w:bookmarkEnd w:id="145"/>
    </w:p>
    <w:p w:rsidR="006E25F3" w:rsidRPr="00C51C37" w:rsidRDefault="006E25F3" w:rsidP="006E25F3">
      <w:pPr>
        <w:tabs>
          <w:tab w:val="left" w:pos="1134"/>
        </w:tabs>
        <w:spacing w:line="240" w:lineRule="atLeast"/>
        <w:ind w:left="1134"/>
        <w:jc w:val="both"/>
        <w:rPr>
          <w:rFonts w:ascii="Calibri" w:hAnsi="Calibri"/>
          <w:b/>
        </w:rPr>
      </w:pPr>
      <w:r>
        <w:t>B.</w:t>
        <w:tab/>
        <w:t>avenue Léger, 97322 Potier-sur-Berthelot</w:t>
      </w:r>
    </w:p>
    <w:p w:rsidR="006E25F3" w:rsidRPr="003A0418" w:rsidRDefault="006E25F3" w:rsidP="006E25F3">
      <w:pPr>
        <w:jc w:val="both"/>
        <w:rPr>
          <w:rStyle w:val="txt"/>
          <w:rFonts w:ascii="Calibri" w:hAnsi="Calibri" w:cs="Arial"/>
        </w:rPr>
      </w:pPr>
      <w:bookmarkStart w:id="146" w:name="_JVUR_MGS_0057-0D"/>
      <w:bookmarkStart w:id="147" w:name="P55A0B114F0D5B0-EFL"/>
      <w:bookmarkEnd w:id="146"/>
      <w:bookmarkEnd w:id="147"/>
    </w:p>
    <w:p w:rsidR="006E25F3" w:rsidRPr="003A0418" w:rsidRDefault="006E25F3" w:rsidP="006E25F3">
      <w:pPr>
        <w:jc w:val="both"/>
        <w:rPr>
          <w:rStyle w:val="txt"/>
          <w:rFonts w:ascii="Calibri" w:hAnsi="Calibri" w:cs="Arial"/>
        </w:rPr>
      </w:pPr>
      <w:r>
        <w:t xml:space="preserve">Il n'y a pas en Belgique de régime spécial applicable spécifiquement aux holdings. Ce régime se caractérise par l'exonération des dividendes et, également, des plus-values réalisées lors des cessions d'actions ou parts. </w:t>
      </w:r>
    </w:p>
    <w:p w:rsidR="006E25F3" w:rsidRPr="003A0418" w:rsidRDefault="006E25F3" w:rsidP="006E25F3">
      <w:pPr>
        <w:jc w:val="both"/>
        <w:rPr>
          <w:rStyle w:val="txt"/>
          <w:rFonts w:ascii="Calibri" w:hAnsi="Calibri" w:cs="Arial"/>
        </w:rPr>
      </w:pPr>
    </w:p>
    <w:p w:rsidR="006E25F3" w:rsidRPr="003A0418" w:rsidRDefault="006E25F3" w:rsidP="006E25F3">
      <w:pPr>
        <w:jc w:val="both"/>
        <w:rPr>
          <w:rStyle w:val="txt"/>
          <w:rFonts w:ascii="Calibri" w:hAnsi="Calibri" w:cs="Arial"/>
        </w:rPr>
      </w:pPr>
      <w:r>
        <w:t>Les holdings belges sont soumises, comme toutes les sociétés commerciales, à l'impôt sur les sociétés au taux normal de 33,99 % sur l'ensemble de leurs revenus, sous réserve des règles concernant les dividendes et les plus-values ; par conséquent, elles ne sont Aimée Bigot conventions fiscales internationales ni des directives européennes.</w:t>
      </w:r>
    </w:p>
    <w:p w:rsidR="006E25F3" w:rsidRPr="003A0418" w:rsidRDefault="006E25F3" w:rsidP="006E25F3">
      <w:pPr>
        <w:jc w:val="both"/>
        <w:rPr>
          <w:rStyle w:val="txt"/>
          <w:rFonts w:ascii="Calibri" w:hAnsi="Calibri" w:cs="Arial"/>
        </w:rPr>
      </w:pPr>
      <w:r>
        <w:br/>
        <w:t>Leurs bénéfices imposables, s'il s'agit de holdings « impures » ou « mixtes » (c'est-à-dire qui ont une autre activité), sont déterminés d'après les règles du droit commun. Une société holding belge reste passible de l'impôt belge sur ses autres revenus, notamment les intérêts des placements en obligations ou en titres de créance.</w:t>
      </w:r>
    </w:p>
    <w:p w:rsidR="006E25F3" w:rsidRDefault="006E25F3" w:rsidP="006E25F3">
      <w:pPr>
        <w:jc w:val="both"/>
        <w:rPr>
          <w:rStyle w:val="txt"/>
          <w:rFonts w:ascii="Calibri" w:hAnsi="Calibri" w:cs="Arial"/>
        </w:rPr>
      </w:pPr>
      <w:r>
        <w:br/>
        <w:t>Enfin, les avantages du régime « holding » ne sont pas subordonnés à la perception d'un certain type de revenu ou à l'exercice d'un objet social particulier.</w:t>
      </w:r>
    </w:p>
    <w:p w:rsidR="006E25F3" w:rsidRPr="003A0418" w:rsidRDefault="006E25F3" w:rsidP="006E25F3">
      <w:pPr>
        <w:jc w:val="both"/>
        <w:rPr>
          <w:rStyle w:val="txt"/>
          <w:rFonts w:ascii="Calibri" w:hAnsi="Calibri" w:cs="Arial"/>
        </w:rPr>
      </w:pPr>
    </w:p>
    <w:p w:rsidR="006E25F3" w:rsidRPr="003A0418" w:rsidRDefault="006E25F3" w:rsidP="00B16556">
      <w:pPr>
        <w:numPr>
          <w:ilvl w:val="0"/>
          <w:numId w:val="34"/>
        </w:numPr>
        <w:ind w:left="2268" w:hanging="567"/>
        <w:jc w:val="both"/>
        <w:rPr>
          <w:rFonts w:ascii="Calibri" w:hAnsi="Calibri"/>
        </w:rPr>
      </w:pPr>
      <w:r>
        <w:t>Exonération des dividendes reçus</w:t>
      </w:r>
    </w:p>
    <w:p w:rsidR="006E25F3" w:rsidRPr="003A0418" w:rsidRDefault="006E25F3" w:rsidP="006E25F3">
      <w:pPr>
        <w:spacing w:line="240" w:lineRule="atLeast"/>
        <w:jc w:val="both"/>
        <w:rPr>
          <w:rFonts w:ascii="Calibri" w:hAnsi="Calibri" w:cs="Arial"/>
        </w:rPr>
      </w:pPr>
      <w:bookmarkStart w:id="149" w:name="_JVUR_MGS_0057-0E"/>
      <w:bookmarkStart w:id="150" w:name="PC1DE9C324BACAC0"/>
      <w:bookmarkEnd w:id="149"/>
      <w:bookmarkEnd w:id="150"/>
    </w:p>
    <w:p w:rsidR="006E25F3" w:rsidRPr="003A0418" w:rsidRDefault="006E25F3" w:rsidP="006E25F3">
      <w:pPr>
        <w:spacing w:line="240" w:lineRule="atLeast"/>
        <w:jc w:val="both"/>
        <w:rPr>
          <w:rStyle w:val="txt"/>
          <w:rFonts w:ascii="Calibri" w:hAnsi="Calibri" w:cs="Arial"/>
        </w:rPr>
      </w:pPr>
      <w:r>
        <w:t>Le régime d'imposition des dividendes reçus par une société holding belge en provenance de ses filiales est baptisé « régime des revenus définitivement taxés » (RDT). Dans ce système, les dividendes reçus sont imposables entre les mains de la holding belge mais ils font ensuite l'objet d'une déduction à hauteur de 95 % de leur montant. Il en résulte 1, rue Valentin, 56702 Pasquier déduction n'est possible si les résultats sont insuffisants ou si la société est en pertes ; toutefois, les dividendes qui ne peuvent être déduits dans ces conditions peuvent, dans de nombreux cas, être reportés en avant indéfiniment.</w:t>
      </w:r>
    </w:p>
    <w:p w:rsidR="006E25F3" w:rsidRPr="003A0418" w:rsidRDefault="006E25F3" w:rsidP="006E25F3">
      <w:pPr>
        <w:spacing w:line="240" w:lineRule="atLeast"/>
        <w:jc w:val="both"/>
        <w:rPr>
          <w:rStyle w:val="txt"/>
          <w:rFonts w:ascii="Calibri" w:hAnsi="Calibri" w:cs="Arial"/>
        </w:rPr>
      </w:pPr>
    </w:p>
    <w:p w:rsidR="006E25F3" w:rsidRPr="003A0418" w:rsidRDefault="006E25F3" w:rsidP="006E25F3">
      <w:pPr>
        <w:spacing w:line="240" w:lineRule="atLeast"/>
        <w:jc w:val="both"/>
        <w:rPr>
          <w:rFonts w:ascii="Calibri" w:hAnsi="Calibri" w:cs="Arial"/>
        </w:rPr>
      </w:pPr>
      <w:r>
        <w:t>Le solde de 5 % est imposable dans les conditions de droit commun, étant réputé correspondre forfaitairement aux frais d'acquisition et de gestion du portefeuille (équivalent de la quote-part de frais et charges française).</w:t>
      </w:r>
    </w:p>
    <w:p w:rsidR="006E25F3" w:rsidRPr="003A0418" w:rsidRDefault="006E25F3" w:rsidP="006E25F3">
      <w:pPr>
        <w:jc w:val="both"/>
        <w:rPr>
          <w:rFonts w:ascii="Calibri" w:hAnsi="Calibri" w:cs="Arial"/>
        </w:rPr>
      </w:pPr>
      <w:bookmarkStart w:id="152" w:name="N58A0B114F0D5B0-EFL"/>
      <w:bookmarkEnd w:id="152"/>
    </w:p>
    <w:p w:rsidR="006E25F3" w:rsidRPr="003A0418" w:rsidRDefault="006E25F3" w:rsidP="00B16556">
      <w:pPr>
        <w:numPr>
          <w:ilvl w:val="0"/>
          <w:numId w:val="34"/>
        </w:numPr>
        <w:ind w:left="2268" w:hanging="567"/>
        <w:jc w:val="both"/>
        <w:outlineLvl w:val="0"/>
        <w:rPr>
          <w:rFonts w:ascii="Calibri" w:hAnsi="Calibri"/>
        </w:rPr>
      </w:pPr>
      <w:r>
        <w:t>Conditions d'application</w:t>
      </w:r>
    </w:p>
    <w:p w:rsidR="006E25F3" w:rsidRPr="003A0418" w:rsidRDefault="006E25F3" w:rsidP="006E25F3">
      <w:pPr>
        <w:spacing w:line="240" w:lineRule="atLeast"/>
        <w:jc w:val="both"/>
        <w:rPr>
          <w:rStyle w:val="art"/>
          <w:rFonts w:ascii="Calibri" w:hAnsi="Calibri" w:cs="Arial"/>
          <w:bCs/>
        </w:rPr>
      </w:pPr>
      <w:bookmarkStart w:id="153" w:name="_JVUR_MGS_0057-0F"/>
      <w:bookmarkStart w:id="154" w:name="P59A0B114F0D5B0-EFL"/>
      <w:bookmarkEnd w:id="153"/>
      <w:bookmarkEnd w:id="154"/>
    </w:p>
    <w:p w:rsidR="006E25F3" w:rsidRPr="003A0418" w:rsidRDefault="006E25F3" w:rsidP="006E25F3">
      <w:pPr>
        <w:spacing w:line="240" w:lineRule="atLeast"/>
        <w:jc w:val="both"/>
        <w:rPr>
          <w:rStyle w:val="txt"/>
          <w:rFonts w:ascii="Calibri" w:hAnsi="Calibri" w:cs="Arial"/>
        </w:rPr>
      </w:pPr>
      <w:r>
        <w:t>Le régime des RDT s'applique dans les conditions suivantes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0"/>
        </w:numPr>
        <w:tabs>
          <w:tab w:val="left" w:pos="1134"/>
        </w:tabs>
        <w:spacing w:line="240" w:lineRule="atLeast"/>
        <w:ind w:left="1134" w:hanging="567"/>
        <w:jc w:val="both"/>
        <w:rPr>
          <w:rStyle w:val="txt"/>
          <w:rFonts w:ascii="Calibri" w:hAnsi="Calibri" w:cs="Arial"/>
        </w:rPr>
      </w:pPr>
      <w:r>
        <w:t>la filiale peut être belge ou étrangère, localisée au sein ou en dehors de l'Union européenne ;</w:t>
      </w:r>
    </w:p>
    <w:p w:rsidR="006E25F3" w:rsidRPr="003A0418" w:rsidRDefault="006E25F3" w:rsidP="006E25F3">
      <w:pPr>
        <w:tabs>
          <w:tab w:val="left" w:pos="1134"/>
        </w:tabs>
        <w:spacing w:line="240" w:lineRule="atLeast"/>
        <w:ind w:left="1134"/>
        <w:jc w:val="both"/>
        <w:rPr>
          <w:rFonts w:ascii="Calibri" w:hAnsi="Calibri" w:cs="Arial"/>
        </w:rPr>
      </w:pPr>
    </w:p>
    <w:p w:rsidR="006E25F3" w:rsidRPr="003A0418" w:rsidRDefault="006E25F3" w:rsidP="00B16556">
      <w:pPr>
        <w:numPr>
          <w:ilvl w:val="0"/>
          <w:numId w:val="30"/>
        </w:numPr>
        <w:tabs>
          <w:tab w:val="left" w:pos="1134"/>
        </w:tabs>
        <w:spacing w:line="240" w:lineRule="atLeast"/>
        <w:ind w:left="1134" w:hanging="567"/>
        <w:jc w:val="both"/>
        <w:rPr>
          <w:rStyle w:val="txt"/>
          <w:rFonts w:ascii="Calibri" w:hAnsi="Calibri" w:cs="Arial"/>
        </w:rPr>
      </w:pPr>
      <w:r>
        <w:t>Chantal Techer régime normal d'imposition dans le pays où elle est constituée ; cette exigence conduit à exclure non seulement les dividendes distribués par des filiales qui ne sont pas assujetties à l'impôt sur les sociétés en Belgique ou à un impôt étranger analogue mais également ceux qui sont distribués par des filiales établies dans des États (« paradis fiscaux ») dont les dispositions de droit commun en matière d'impôt sur les sociétés sont notablement plus avantageuses que celles applicables en Belgique ; en pratique, un impôt étranger est « notablement plus avantageux » si son taux nominal est inférieur à 15 % ou si la charge fiscale effective est inférieure à 15 % ; cette condition est toutefois réputée satisfaite en ce qui concerne les dispositions fiscales de droit commun des pays membres de l'Union européenne (par exemple, un dividende versé par rue Lacombe, 06946 Brunet éligible)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30"/>
        </w:numPr>
        <w:tabs>
          <w:tab w:val="left" w:pos="1134"/>
        </w:tabs>
        <w:spacing w:line="240" w:lineRule="atLeast"/>
        <w:ind w:left="1134" w:hanging="567"/>
        <w:jc w:val="both"/>
        <w:rPr>
          <w:rStyle w:val="txt"/>
          <w:rFonts w:ascii="Calibri" w:hAnsi="Calibri" w:cs="Arial"/>
        </w:rPr>
      </w:pPr>
      <w:r>
        <w:t>la société mère belge doit détenir 10 % au moins du capital de la filiale ou le prix de revient de la participation doit être d'au moins 2,5 M €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30"/>
        </w:numPr>
        <w:tabs>
          <w:tab w:val="left" w:pos="1134"/>
        </w:tabs>
        <w:spacing w:line="240" w:lineRule="atLeast"/>
        <w:ind w:left="1134" w:hanging="567"/>
        <w:jc w:val="both"/>
        <w:rPr>
          <w:rFonts w:ascii="Calibri" w:hAnsi="Calibri" w:cs="Arial"/>
        </w:rPr>
      </w:pPr>
      <w:r>
        <w:t>la participation doit avoir la nature d'une immobilisation financière et être détenue, en pleine propriété, pendant une période d'au moins un an (cette condition de délai n'est pas exigée à la date de distribution, Philippe de la Mercier).</w:t>
      </w:r>
    </w:p>
    <w:p w:rsidR="006E25F3" w:rsidRPr="003A0418" w:rsidRDefault="006E25F3" w:rsidP="006E25F3">
      <w:pPr>
        <w:tabs>
          <w:tab w:val="left" w:pos="1134"/>
        </w:tabs>
        <w:spacing w:line="240" w:lineRule="atLeast"/>
        <w:jc w:val="both"/>
        <w:rPr>
          <w:rFonts w:ascii="Calibri" w:hAnsi="Calibri" w:cs="Arial"/>
          <w:bCs/>
        </w:rPr>
      </w:pPr>
    </w:p>
    <w:p w:rsidR="006E25F3" w:rsidRPr="003A0418" w:rsidRDefault="006E25F3" w:rsidP="00B16556">
      <w:pPr>
        <w:numPr>
          <w:ilvl w:val="0"/>
          <w:numId w:val="34"/>
        </w:numPr>
        <w:tabs>
          <w:tab w:val="left" w:pos="2268"/>
        </w:tabs>
        <w:spacing w:line="240" w:lineRule="atLeast"/>
        <w:ind w:left="2268" w:hanging="425"/>
        <w:jc w:val="both"/>
        <w:rPr>
          <w:rFonts w:ascii="Calibri" w:hAnsi="Calibri" w:cs="Arial"/>
          <w:bCs/>
        </w:rPr>
      </w:pPr>
      <w:r>
        <w:t>Exonération des plus-values sur actions</w:t>
      </w:r>
    </w:p>
    <w:p w:rsidR="006E25F3" w:rsidRPr="003A0418" w:rsidRDefault="006E25F3" w:rsidP="006E25F3">
      <w:pPr>
        <w:spacing w:line="240" w:lineRule="atLeast"/>
        <w:jc w:val="both"/>
        <w:rPr>
          <w:rStyle w:val="art"/>
          <w:rFonts w:ascii="Calibri" w:hAnsi="Calibri" w:cs="Arial"/>
          <w:bCs/>
        </w:rPr>
      </w:pPr>
      <w:bookmarkStart w:id="158" w:name="_JVUR_MGS_0057-0H"/>
      <w:bookmarkStart w:id="159" w:name="P5DA0B114F0D5B0-EFL"/>
      <w:bookmarkEnd w:id="158"/>
      <w:bookmarkEnd w:id="159"/>
    </w:p>
    <w:p w:rsidR="006E25F3" w:rsidRPr="003A0418" w:rsidRDefault="006E25F3" w:rsidP="006E25F3">
      <w:pPr>
        <w:spacing w:line="240" w:lineRule="atLeast"/>
        <w:jc w:val="both"/>
        <w:rPr>
          <w:rStyle w:val="txt"/>
          <w:rFonts w:ascii="Calibri" w:hAnsi="Calibri" w:cs="Arial"/>
        </w:rPr>
      </w:pPr>
      <w:r>
        <w:t>Les plus-values de cession d'actions ou parts de sociétés sont exonérées sans que soit exigé le respect Gérard Navarro seuil de détention ; l'exonération est presque totale. Pierre Lemaire imposition forfaitaire de 0,4 % (majorée d'une contribution de crise de 3 %, soit au total 0,412 %) est exigible des « grandes entreprises » (Précision b ci-dessous) depuis [DATE_TIME_10A5] ; cette imposition distincte n'est pas déductible de l'impôt sur les sociétés.</w:t>
      </w:r>
    </w:p>
    <w:p w:rsidR="006E25F3" w:rsidRPr="003A0418" w:rsidRDefault="006E25F3" w:rsidP="006E25F3">
      <w:pPr>
        <w:spacing w:line="240" w:lineRule="atLeast"/>
        <w:jc w:val="both"/>
        <w:rPr>
          <w:rStyle w:val="txt"/>
          <w:rFonts w:ascii="Calibri" w:hAnsi="Calibri" w:cs="Arial"/>
        </w:rPr>
      </w:pPr>
      <w:r>
        <w:br/>
        <w:t>Une condition de délai de détention a cependant été introduite en 2013 ; les plus-values réalisées en moins d'un an et qui satisfont aux critères « qualitatifs » sont désormais imposables au taux de 25 % (25,75 % avec la contribution de crise de 3 %).</w:t>
      </w:r>
    </w:p>
    <w:p w:rsidR="006E25F3" w:rsidRPr="003A0418" w:rsidRDefault="006E25F3" w:rsidP="006E25F3">
      <w:pPr>
        <w:spacing w:line="240" w:lineRule="atLeast"/>
        <w:jc w:val="both"/>
        <w:rPr>
          <w:rStyle w:val="txt"/>
          <w:rFonts w:ascii="Calibri" w:hAnsi="Calibri" w:cs="Arial"/>
        </w:rPr>
      </w:pPr>
      <w:r>
        <w:br/>
        <w:t>En outre, les participations doivent, Aurélie Meunier applicable, concerner des sociétés dont les distributions éventuelles sont éligibles au régime des revenus définitivement taxés et qui satisfont au critère d'imposition de 15 %  ; dans le cas contraire, les plus-values sont imposées au taux normal de 33,99 %.</w:t>
      </w:r>
    </w:p>
    <w:p w:rsidR="006E25F3" w:rsidRPr="003A0418" w:rsidRDefault="006E25F3" w:rsidP="006E25F3">
      <w:pPr>
        <w:spacing w:line="240" w:lineRule="atLeast"/>
        <w:jc w:val="both"/>
        <w:rPr>
          <w:rStyle w:val="txt"/>
          <w:rFonts w:ascii="Calibri" w:hAnsi="Calibri" w:cs="Arial"/>
        </w:rPr>
      </w:pPr>
      <w:r>
        <w:br/>
        <w:t>Sous ces réserves, les plus-values réalisées par une société belge ordinaire, lors de la cession de ses participations, ou même de simples placements en actions, sont exonérées d'impôt. Il n'y a pas de réintégration d'une quote-part de frais et charges.</w:t>
      </w:r>
    </w:p>
    <w:p w:rsidR="006E25F3" w:rsidRDefault="006E25F3" w:rsidP="006E25F3">
      <w:pPr>
        <w:spacing w:line="240" w:lineRule="atLeast"/>
        <w:jc w:val="both"/>
        <w:rPr>
          <w:rStyle w:val="txt"/>
          <w:rFonts w:ascii="Calibri" w:hAnsi="Calibri" w:cs="Arial"/>
        </w:rPr>
      </w:pPr>
      <w:r>
        <w:br/>
        <w:t>L'exonération est directe (la plus-value est exclue du résultat imposable), définitive, sans condition d'indisponibilité ou de remploi, et illimitée, c'est-à-dire sans qu'il soit tenu compte des bénéfices de la période imposable. Christophe Martineau vise les plus-values effectivement réalisées lors d'une opération de cession, d'échange ou d'apport. Ce régime est donc très avantageux et peu contraignant (les conditions à respecter, en ce qui concerne la « qualité » de la participation détenue, pour l'obtention des avantages réservés aux dividendes et aux plus-values ne sont pas, le plus souvent, un inconvénient sérieux).</w:t>
      </w:r>
    </w:p>
    <w:p w:rsidR="006E25F3" w:rsidRPr="003A0418" w:rsidRDefault="006E25F3" w:rsidP="006E25F3">
      <w:pPr>
        <w:spacing w:line="240" w:lineRule="atLeast"/>
        <w:jc w:val="both"/>
        <w:rPr>
          <w:rStyle w:val="txt"/>
          <w:rFonts w:ascii="Calibri" w:hAnsi="Calibri" w:cs="Arial"/>
        </w:rPr>
      </w:pPr>
    </w:p>
    <w:p w:rsidR="006E25F3" w:rsidRPr="003A0418" w:rsidRDefault="006E25F3" w:rsidP="00B16556">
      <w:pPr>
        <w:numPr>
          <w:ilvl w:val="0"/>
          <w:numId w:val="34"/>
        </w:numPr>
        <w:spacing w:line="240" w:lineRule="atLeast"/>
        <w:ind w:left="2268" w:hanging="567"/>
        <w:jc w:val="both"/>
        <w:rPr>
          <w:rFonts w:ascii="Calibri" w:hAnsi="Calibri" w:cs="Arial"/>
        </w:rPr>
      </w:pPr>
      <w:r>
        <w:t>Retenue à la source « de sortie »</w:t>
      </w:r>
    </w:p>
    <w:p w:rsidR="006E25F3" w:rsidRPr="003A0418" w:rsidRDefault="006E25F3" w:rsidP="006E25F3">
      <w:pPr>
        <w:spacing w:line="240" w:lineRule="atLeast"/>
        <w:ind w:left="2268" w:hanging="567"/>
        <w:jc w:val="both"/>
        <w:rPr>
          <w:rStyle w:val="art"/>
          <w:rFonts w:ascii="Calibri" w:hAnsi="Calibri" w:cs="Arial"/>
          <w:bCs/>
        </w:rPr>
      </w:pPr>
      <w:bookmarkStart w:id="167" w:name="_JVUR_MGS_0057-0K"/>
      <w:bookmarkStart w:id="168" w:name="PC27E9C324BACAC0"/>
      <w:bookmarkEnd w:id="167"/>
      <w:bookmarkEnd w:id="168"/>
    </w:p>
    <w:p w:rsidR="006E25F3" w:rsidRPr="003A0418" w:rsidRDefault="006E25F3" w:rsidP="006E25F3">
      <w:pPr>
        <w:spacing w:line="240" w:lineRule="atLeast"/>
        <w:jc w:val="both"/>
        <w:rPr>
          <w:rStyle w:val="txt"/>
          <w:rFonts w:ascii="Calibri" w:hAnsi="Calibri" w:cs="Arial"/>
        </w:rPr>
      </w:pPr>
      <w:r>
        <w:t>Il existe un système de retenue à la source (appelé « précompte mobilier », sans rapport Robert Joseph), calculé au taux de 25 % en général (parfois 15 % ou 20 %).</w:t>
      </w:r>
    </w:p>
    <w:p w:rsidR="006E25F3" w:rsidRPr="003A0418" w:rsidRDefault="006E25F3" w:rsidP="006E25F3">
      <w:pPr>
        <w:spacing w:line="240" w:lineRule="atLeast"/>
        <w:jc w:val="both"/>
        <w:rPr>
          <w:rStyle w:val="txt"/>
          <w:rFonts w:ascii="Calibri" w:hAnsi="Calibri" w:cs="Arial"/>
        </w:rPr>
      </w:pPr>
      <w:r>
        <w:br/>
        <w:t>Mais la Belgique a mis en place un système généralisé d'exonération depuis le 1er janvier 2007, si les conditions suivantes sont remplies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1"/>
        </w:numPr>
        <w:tabs>
          <w:tab w:val="left" w:pos="1134"/>
        </w:tabs>
        <w:spacing w:line="240" w:lineRule="atLeast"/>
        <w:ind w:left="1134" w:hanging="567"/>
        <w:jc w:val="both"/>
        <w:rPr>
          <w:rStyle w:val="txt"/>
          <w:rFonts w:ascii="Calibri" w:hAnsi="Calibri" w:cs="Arial"/>
        </w:rPr>
      </w:pPr>
      <w:r>
        <w:t>les dividendes sont versés à une société mère qui réside dans un pays ayant signé avec la rue Rocher, 97214 Reynaud-sur-Dumas une convention fiscale qui contient une clause d'échange d'informations ;</w:t>
      </w:r>
    </w:p>
    <w:p w:rsidR="006E25F3" w:rsidRPr="003A0418" w:rsidRDefault="006E25F3" w:rsidP="006E25F3">
      <w:pPr>
        <w:tabs>
          <w:tab w:val="left" w:pos="1134"/>
        </w:tabs>
        <w:spacing w:line="240" w:lineRule="atLeast"/>
        <w:ind w:left="1134"/>
        <w:jc w:val="both"/>
        <w:rPr>
          <w:rFonts w:ascii="Calibri" w:hAnsi="Calibri" w:cs="Arial"/>
        </w:rPr>
      </w:pPr>
    </w:p>
    <w:p w:rsidR="006E25F3" w:rsidRPr="003A0418" w:rsidRDefault="006E25F3" w:rsidP="00B16556">
      <w:pPr>
        <w:numPr>
          <w:ilvl w:val="0"/>
          <w:numId w:val="31"/>
        </w:numPr>
        <w:tabs>
          <w:tab w:val="left" w:pos="1134"/>
        </w:tabs>
        <w:spacing w:line="240" w:lineRule="atLeast"/>
        <w:ind w:left="1134" w:hanging="567"/>
        <w:jc w:val="both"/>
        <w:rPr>
          <w:rStyle w:val="txt"/>
          <w:rFonts w:ascii="Calibri" w:hAnsi="Calibri" w:cs="Arial"/>
        </w:rPr>
      </w:pPr>
      <w:r>
        <w:t>la société mère étrangère doit être résidente du pays concerné et y être assujettie à l'impôt sans bénéficier d'un régime exorbitant du droit commun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31"/>
        </w:numPr>
        <w:tabs>
          <w:tab w:val="left" w:pos="1134"/>
        </w:tabs>
        <w:spacing w:line="240" w:lineRule="atLeast"/>
        <w:ind w:left="1134" w:hanging="567"/>
        <w:jc w:val="both"/>
        <w:rPr>
          <w:rStyle w:val="txt"/>
          <w:rFonts w:ascii="Calibri" w:hAnsi="Calibri" w:cs="Arial"/>
        </w:rPr>
      </w:pPr>
      <w:r>
        <w:t>84, chemin Arnaude Bègue, 10109 Thibaultnec société mère détient une participation d'au moins 10 % dans le capital de sa filiale belge pendant au moins un an (l'appréciation de la condition de durée n'est pas nécessairement faite à la date de versement du dividende mais peut l'être plus tard).</w:t>
      </w:r>
    </w:p>
    <w:p w:rsidR="006E25F3" w:rsidRPr="003A0418" w:rsidRDefault="006E25F3" w:rsidP="006E25F3">
      <w:pPr>
        <w:tabs>
          <w:tab w:val="left" w:pos="1134"/>
        </w:tabs>
        <w:spacing w:line="240" w:lineRule="atLeast"/>
        <w:jc w:val="both"/>
        <w:rPr>
          <w:rFonts w:ascii="Calibri" w:hAnsi="Calibri" w:cs="Arial"/>
        </w:rPr>
      </w:pPr>
    </w:p>
    <w:p w:rsidR="006E25F3" w:rsidRDefault="006E25F3" w:rsidP="00B16556">
      <w:pPr>
        <w:numPr>
          <w:ilvl w:val="0"/>
          <w:numId w:val="31"/>
        </w:numPr>
        <w:tabs>
          <w:tab w:val="left" w:pos="1134"/>
        </w:tabs>
        <w:spacing w:line="240" w:lineRule="atLeast"/>
        <w:ind w:left="1134" w:hanging="567"/>
        <w:jc w:val="both"/>
        <w:rPr>
          <w:rStyle w:val="txt"/>
          <w:rFonts w:ascii="Calibri" w:hAnsi="Calibri" w:cs="Arial"/>
        </w:rPr>
      </w:pPr>
      <w:r>
        <w:t>Si les conditions de l'exonération de droit interne ne sont pas remplies, les conventions fiscales sont, Gilles Mercier-Chauvin, applicables, et elles sont relativement nombreuses, réduisant le plus souvent le taux de retenue à la source à un niveau de l'ordre de 10 % ou 15 %.</w:t>
      </w:r>
    </w:p>
    <w:p w:rsidR="006E25F3" w:rsidRDefault="006E25F3" w:rsidP="006E25F3">
      <w:pPr>
        <w:tabs>
          <w:tab w:val="left" w:pos="1134"/>
        </w:tabs>
        <w:spacing w:line="240" w:lineRule="atLeast"/>
        <w:jc w:val="both"/>
        <w:rPr>
          <w:rStyle w:val="txt"/>
          <w:rFonts w:ascii="Calibri" w:hAnsi="Calibri" w:cs="Arial"/>
        </w:rPr>
      </w:pPr>
    </w:p>
    <w:p w:rsidR="006E25F3" w:rsidRPr="008E3C3E" w:rsidRDefault="006E25F3" w:rsidP="006E25F3">
      <w:pPr>
        <w:shd w:val="clear" w:color="auto" w:fill="FFFFFF"/>
        <w:spacing w:before="100" w:beforeAutospacing="1" w:after="100" w:afterAutospacing="1" w:line="225" w:lineRule="atLeast"/>
        <w:jc w:val="both"/>
        <w:rPr>
          <w:rFonts w:ascii="Calibri" w:hAnsi="Calibri"/>
          <w:color w:val="000000"/>
        </w:rPr>
      </w:pPr>
      <w:r>
        <w:t>Les dividendes attribués par une société résidente d'un État contractant à un résident de l'autre État contractant sont imposables dans cet autre État.</w:t>
      </w:r>
    </w:p>
    <w:p w:rsidR="006E25F3" w:rsidRPr="008E3C3E" w:rsidRDefault="006E25F3" w:rsidP="006E25F3">
      <w:pPr>
        <w:shd w:val="clear" w:color="auto" w:fill="FFFFFF"/>
        <w:spacing w:before="100" w:beforeAutospacing="1" w:after="100" w:afterAutospacing="1" w:line="225" w:lineRule="atLeast"/>
        <w:jc w:val="both"/>
        <w:rPr>
          <w:rFonts w:ascii="Calibri" w:hAnsi="Calibri"/>
          <w:color w:val="000000"/>
        </w:rPr>
      </w:pPr>
      <w:r>
        <w:t>Toutefois, ces dividendes peuvent être imposés dans l'État contractant dont la société qui attribue les dividendes est un résident et selon la législation de cet État, 82, rue Bodin, 97442 Lebrunnec ainsi établi ne peut excéder 15 % du montant brut desdits dividendes.</w:t>
      </w:r>
    </w:p>
    <w:p w:rsidR="006E25F3" w:rsidRPr="008E3C3E" w:rsidRDefault="006E25F3" w:rsidP="006E25F3">
      <w:pPr>
        <w:shd w:val="clear" w:color="auto" w:fill="FFFFFF"/>
        <w:tabs>
          <w:tab w:val="left" w:pos="1134"/>
        </w:tabs>
        <w:spacing w:before="100" w:beforeAutospacing="1" w:after="100" w:afterAutospacing="1" w:line="225" w:lineRule="atLeast"/>
        <w:jc w:val="both"/>
        <w:rPr>
          <w:rStyle w:val="txt"/>
          <w:rFonts w:ascii="Calibri" w:hAnsi="Calibri"/>
          <w:color w:val="000000"/>
        </w:rPr>
      </w:pPr>
      <w:r>
        <w:t>Les dispositions du présent paragraphe ne limitent 83, avenue Morvan, 25867 CourtoisVille servent au paiement des dividendes.</w:t>
      </w:r>
    </w:p>
    <w:p w:rsidR="006E25F3" w:rsidRPr="00C51C37" w:rsidRDefault="006E25F3" w:rsidP="006E25F3">
      <w:pPr>
        <w:tabs>
          <w:tab w:val="left" w:pos="993"/>
        </w:tabs>
        <w:spacing w:line="240" w:lineRule="atLeast"/>
        <w:ind w:left="993"/>
        <w:jc w:val="both"/>
        <w:rPr>
          <w:rFonts w:ascii="Calibri" w:hAnsi="Calibri" w:cs="Arial"/>
          <w:b/>
        </w:rPr>
      </w:pPr>
      <w:r>
        <w:br/>
        <w:t>C.  Pays-Bas</w:t>
      </w:r>
    </w:p>
    <w:p w:rsidR="006E25F3" w:rsidRPr="003A0418" w:rsidRDefault="006E25F3" w:rsidP="006E25F3">
      <w:pPr>
        <w:jc w:val="both"/>
        <w:rPr>
          <w:rStyle w:val="txt"/>
          <w:rFonts w:ascii="Calibri" w:hAnsi="Calibri" w:cs="Arial"/>
        </w:rPr>
      </w:pPr>
      <w:r>
        <w:br/>
        <w:t xml:space="preserve">D'une façon générale, les holdings néerlandaises sont soumises aux impôts ordinaires, notamment à l'impôt sur les sociétés au taux de 25 % (20 % pour les profits inférieurs à 200 000 € ; le taux effectif est de 5 % pour certains revenus de la propriété intellectuelle) et elles doivent déposer des déclarations fiscales dans les conditions de droit commun. </w:t>
      </w:r>
    </w:p>
    <w:p w:rsidR="006E25F3" w:rsidRPr="003A0418" w:rsidRDefault="006E25F3" w:rsidP="006E25F3">
      <w:pPr>
        <w:jc w:val="both"/>
        <w:rPr>
          <w:rStyle w:val="txt"/>
          <w:rFonts w:ascii="Calibri" w:hAnsi="Calibri" w:cs="Arial"/>
        </w:rPr>
      </w:pPr>
    </w:p>
    <w:p w:rsidR="006E25F3" w:rsidRDefault="006E25F3" w:rsidP="006E25F3">
      <w:pPr>
        <w:jc w:val="both"/>
        <w:rPr>
          <w:rStyle w:val="txt"/>
          <w:rFonts w:ascii="Calibri" w:hAnsi="Calibri" w:cs="Arial"/>
        </w:rPr>
      </w:pPr>
      <w:r>
        <w:t>Les avantages fiscaux réservés à ces sociétés concernent classiquement l'exonération des dividendes et des plus-values ; ils ne sont cependant plus exceptionnels depuis que d'autres pays ont mis en place des législations au moins aussi avantageuses.</w:t>
      </w:r>
    </w:p>
    <w:p w:rsidR="006E25F3" w:rsidRPr="003A0418" w:rsidRDefault="006E25F3" w:rsidP="006E25F3">
      <w:pPr>
        <w:jc w:val="both"/>
        <w:rPr>
          <w:rStyle w:val="txt"/>
          <w:rFonts w:ascii="Calibri" w:hAnsi="Calibri" w:cs="Arial"/>
        </w:rPr>
      </w:pPr>
    </w:p>
    <w:p w:rsidR="006E25F3" w:rsidRPr="003A0418" w:rsidRDefault="006E25F3" w:rsidP="00B16556">
      <w:pPr>
        <w:numPr>
          <w:ilvl w:val="0"/>
          <w:numId w:val="34"/>
        </w:numPr>
        <w:ind w:left="2127" w:hanging="567"/>
        <w:jc w:val="both"/>
        <w:rPr>
          <w:rFonts w:ascii="Calibri" w:hAnsi="Calibri"/>
        </w:rPr>
      </w:pPr>
      <w:r>
        <w:t>Conditions d'application du régime de « participation-exemption »</w:t>
      </w:r>
    </w:p>
    <w:p w:rsidR="006E25F3" w:rsidRPr="003A0418" w:rsidRDefault="006E25F3" w:rsidP="006E25F3">
      <w:pPr>
        <w:spacing w:line="240" w:lineRule="atLeast"/>
        <w:ind w:left="2268" w:hanging="425"/>
        <w:jc w:val="both"/>
        <w:rPr>
          <w:rStyle w:val="art"/>
          <w:rFonts w:ascii="Calibri" w:hAnsi="Calibri" w:cs="Arial"/>
          <w:bCs/>
        </w:rPr>
      </w:pPr>
      <w:bookmarkStart w:id="176" w:name="_JVUR_MGS_0057-0N"/>
      <w:bookmarkStart w:id="177" w:name="P68A0B114F0D5B0-EFL"/>
      <w:bookmarkEnd w:id="176"/>
      <w:bookmarkEnd w:id="177"/>
    </w:p>
    <w:p w:rsidR="006E25F3" w:rsidRPr="003A0418" w:rsidRDefault="006E25F3" w:rsidP="006E25F3">
      <w:pPr>
        <w:spacing w:line="240" w:lineRule="atLeast"/>
        <w:jc w:val="both"/>
        <w:rPr>
          <w:rStyle w:val="txt"/>
          <w:rFonts w:ascii="Calibri" w:hAnsi="Calibri" w:cs="Arial"/>
        </w:rPr>
      </w:pPr>
      <w:r>
        <w:t>Le régime « holding » néerlandais est connu sous le nom de « participation-exemption » ; il suppose réunies les conditions suivantes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2"/>
        </w:numPr>
        <w:spacing w:line="240" w:lineRule="atLeast"/>
        <w:jc w:val="both"/>
        <w:rPr>
          <w:rStyle w:val="txt"/>
          <w:rFonts w:ascii="Calibri" w:hAnsi="Calibri" w:cs="Arial"/>
        </w:rPr>
      </w:pPr>
      <w:r>
        <w:t>la participation détenue par 97, rue Jérôme Chevallier, 23285 Barre holding doit être d'au moins 5 % du capital nominal libéré de la filiale (le capital doit être divisé en actions ou parts) ; si le seuil de 5 % n'est pas atteint, la participation n'est normalement pas éligible, sauf exceptions, notamment si une autre société du groupe détient dans cette filiale une participation d'au moins 5 % (par exemple, si une société néerlandaise contrôlée par une société française dispose d'une participation de 1 % dans une autre société et si la société mère française détient dans cette dernière société une participation d'au moins 5 %). Le régime est également applicable si la holding a détenu une participation d'au moins 5 % pendant au moins un an et si la participation a été abaissée en deçà du seuil depuis moins de 3 ans (cas où une opération sur le capital de la filiale a entraîné 56, boulevard Roussel, 60393 BouchetVille participation en deçà du seuil de 5 %) ;</w:t>
      </w:r>
    </w:p>
    <w:p w:rsidR="006E25F3" w:rsidRPr="003A0418" w:rsidRDefault="006E25F3" w:rsidP="006E25F3">
      <w:pPr>
        <w:spacing w:line="240" w:lineRule="atLeast"/>
        <w:ind w:left="720"/>
        <w:jc w:val="both"/>
        <w:rPr>
          <w:rFonts w:ascii="Calibri" w:hAnsi="Calibri" w:cs="Arial"/>
        </w:rPr>
      </w:pPr>
    </w:p>
    <w:p w:rsidR="006E25F3" w:rsidRPr="003A0418" w:rsidRDefault="006E25F3" w:rsidP="00B16556">
      <w:pPr>
        <w:numPr>
          <w:ilvl w:val="0"/>
          <w:numId w:val="32"/>
        </w:numPr>
        <w:spacing w:line="240" w:lineRule="atLeast"/>
        <w:jc w:val="both"/>
        <w:rPr>
          <w:rStyle w:val="txt"/>
          <w:rFonts w:ascii="Calibri" w:hAnsi="Calibri" w:cs="Arial"/>
        </w:rPr>
      </w:pPr>
      <w:r>
        <w:t>il n'y a pas d'exigence d'une durée minimale de détention ni de condition tenant à l'importance de l'impôt sur les sociétés acquitté localement, sauf parfois en présence d'un investissement de portefeuille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2"/>
        </w:numPr>
        <w:spacing w:line="240" w:lineRule="atLeast"/>
        <w:jc w:val="both"/>
        <w:rPr>
          <w:rStyle w:val="txt"/>
          <w:rFonts w:ascii="Calibri" w:hAnsi="Calibri" w:cs="Arial"/>
        </w:rPr>
      </w:pPr>
      <w:r>
        <w:t>le régime de la participation-exemption est applicable s'il chemin Gonzalez, 18480 Lecoq pas d'une participation dans une société dite « de portefeuille », sous réserve de certaines exceptions.</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4"/>
        </w:numPr>
        <w:ind w:left="2268" w:hanging="567"/>
        <w:jc w:val="both"/>
        <w:outlineLvl w:val="0"/>
        <w:rPr>
          <w:rFonts w:ascii="Calibri" w:hAnsi="Calibri" w:cs="Arial"/>
          <w:bCs/>
        </w:rPr>
      </w:pPr>
      <w:r>
        <w:t>Exonération des dividendes et des plus-values sur titres</w:t>
      </w:r>
    </w:p>
    <w:p w:rsidR="006E25F3" w:rsidRPr="003A0418" w:rsidRDefault="006E25F3" w:rsidP="006E25F3">
      <w:pPr>
        <w:jc w:val="both"/>
        <w:rPr>
          <w:rFonts w:ascii="Calibri" w:hAnsi="Calibri" w:cs="Arial"/>
          <w:bCs/>
        </w:rPr>
      </w:pPr>
    </w:p>
    <w:p w:rsidR="006E25F3" w:rsidRPr="003A0418" w:rsidRDefault="006E25F3" w:rsidP="006E25F3">
      <w:pPr>
        <w:spacing w:line="240" w:lineRule="atLeast"/>
        <w:jc w:val="both"/>
        <w:rPr>
          <w:rFonts w:ascii="Calibri" w:hAnsi="Calibri" w:cs="Arial"/>
        </w:rPr>
      </w:pPr>
      <w:r>
        <w:t>Toutes les fois que les conditions du régime de « participation-exemption » sont remplies, avenue Boutin, 15862 Raynaud holding néerlandaise est exonérée d'impôt sur les dividendes Alexandre Gimenez (exonération totale sans réintégration d'une quote-part de frais et charges) et elle est également exonérée d'impôt sur les plus-values qu'elle réalise lors de la cession des participations qu'elle détient. 83, rue Rocher, 88670 Allard-la-Forêt loi relative à l'impôt sur les sociétés dispose en effet que « ne rentrent pas en ligne de compte pour la détermination du bénéfice du contribuable les avantages retirés de la participation ».</w:t>
      </w:r>
    </w:p>
    <w:p w:rsidR="006E25F3" w:rsidRDefault="006E25F3" w:rsidP="006E25F3">
      <w:pPr>
        <w:spacing w:line="240" w:lineRule="atLeast"/>
        <w:jc w:val="both"/>
        <w:rPr>
          <w:rFonts w:ascii="Calibri" w:hAnsi="Calibri" w:cs="Arial"/>
        </w:rPr>
      </w:pPr>
      <w:r>
        <w:br/>
        <w:t>Ainsi, l'exonération porte sur les avantages de toute nature, non seulement les distributions de dividendes (même occultes), Luc Maurice-Robin plus-values de cessions de titres de participations. L'exonération s'étend à toutes les formes de distribution déguisée de bénéfices. De même, les intérêts reçus au titre de certains financements hybrides (qui sont en fait du quasi-capital) sont éligibles au bénéfice de la participation-exemption, indépendamment de la circonstance que les mêmes intérêts aient éventuellement fait l'objet d'une déduction pour l'imposition des résultats de l'emprunteur. Il faut cependant que l'émetteur soit une société dont les dividendes bénéficient par ailleurs de la participation-exemption soit à l'égard du Cécile Toussaint, s'il est actionnaire, soit d'une société du groupe.</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4"/>
        </w:numPr>
        <w:ind w:left="2268" w:hanging="567"/>
        <w:jc w:val="both"/>
        <w:rPr>
          <w:rFonts w:ascii="Calibri" w:hAnsi="Calibri" w:cs="Arial"/>
          <w:bCs/>
        </w:rPr>
      </w:pPr>
      <w:r>
        <w:t>Retenue à la source « de sortie »</w:t>
      </w:r>
    </w:p>
    <w:p w:rsidR="006E25F3" w:rsidRPr="003A0418" w:rsidRDefault="006E25F3" w:rsidP="006E25F3">
      <w:pPr>
        <w:spacing w:line="240" w:lineRule="atLeast"/>
        <w:jc w:val="both"/>
        <w:rPr>
          <w:rFonts w:ascii="Calibri" w:hAnsi="Calibri" w:cs="Arial"/>
          <w:bCs/>
        </w:rPr>
      </w:pPr>
      <w:bookmarkStart w:id="187" w:name="_JVUR_MGS_0058-04"/>
      <w:bookmarkStart w:id="188" w:name="PC33E9C324BACAC0"/>
      <w:bookmarkEnd w:id="187"/>
      <w:bookmarkEnd w:id="188"/>
    </w:p>
    <w:p w:rsidR="00932C69" w:rsidRDefault="006E25F3" w:rsidP="006E25F3">
      <w:pPr>
        <w:spacing w:line="240" w:lineRule="atLeast"/>
        <w:jc w:val="both"/>
        <w:rPr>
          <w:rFonts w:ascii="Calibri" w:hAnsi="Calibri" w:cs="Arial"/>
        </w:rPr>
      </w:pPr>
      <w:r>
        <w:t>En droit interne, Anne Salmon prélèvent une retenue à la source au taux de 15 % sur les dividendes versés à des actionnaires non-résidents. En vertu des conventions fiscales, ce taux est généralement réduit à 5 %, ou annulé, lorsque l'actionnaire détient au moins 10 % ou 25 % du capital de la société distributrice ; en outre, la retenue à la source est écartée par les directives européennes, lorsqu'elles sont applicables.</w:t>
      </w:r>
    </w:p>
    <w:p w:rsidR="006E25F3" w:rsidRDefault="006E25F3" w:rsidP="006E25F3">
      <w:pPr>
        <w:spacing w:line="240" w:lineRule="atLeast"/>
        <w:jc w:val="both"/>
        <w:rPr>
          <w:rFonts w:ascii="Calibri" w:hAnsi="Calibri" w:cs="Arial"/>
        </w:rPr>
      </w:pPr>
      <w:r>
        <w:br/>
        <w:t xml:space="preserve">Dans le cadre européen, les distributions de dividendes à une société actionnaire résidente d'un État membre de l'Union européenne ou de Norvège ou d'Islande sont exonérées de retenue à la source toutes les fois que la société bénéficiaire aurait pu bénéficier du régime de la participation-exemption si elle avait été établie aux Pays-Bas. </w:t>
      </w:r>
    </w:p>
    <w:p w:rsidR="006E25F3" w:rsidRDefault="006E25F3" w:rsidP="006E25F3">
      <w:pPr>
        <w:spacing w:line="240" w:lineRule="atLeast"/>
        <w:jc w:val="both"/>
        <w:rPr>
          <w:rFonts w:ascii="Calibri" w:hAnsi="Calibri" w:cs="Arial"/>
        </w:rPr>
      </w:pPr>
    </w:p>
    <w:p w:rsidR="006E25F3" w:rsidRPr="003A0418" w:rsidRDefault="006E25F3" w:rsidP="006E25F3">
      <w:pPr>
        <w:spacing w:line="240" w:lineRule="atLeast"/>
        <w:jc w:val="both"/>
        <w:rPr>
          <w:rFonts w:ascii="Calibri" w:hAnsi="Calibri" w:cs="Arial"/>
        </w:rPr>
      </w:pPr>
      <w:r>
        <w:t>L'exonération suppose que les conditions suivantes soient en outre réunies :</w:t>
      </w:r>
    </w:p>
    <w:p w:rsidR="006E25F3" w:rsidRPr="003A0418" w:rsidRDefault="006E25F3" w:rsidP="006E25F3">
      <w:pPr>
        <w:spacing w:line="240" w:lineRule="atLeast"/>
        <w:jc w:val="both"/>
        <w:rPr>
          <w:rFonts w:ascii="Calibri" w:hAnsi="Calibri" w:cs="Arial"/>
        </w:rPr>
      </w:pPr>
    </w:p>
    <w:p w:rsidR="006E25F3" w:rsidRDefault="006E25F3" w:rsidP="00B16556">
      <w:pPr>
        <w:numPr>
          <w:ilvl w:val="0"/>
          <w:numId w:val="33"/>
        </w:numPr>
        <w:spacing w:line="240" w:lineRule="atLeast"/>
        <w:jc w:val="both"/>
        <w:rPr>
          <w:rFonts w:ascii="Calibri" w:hAnsi="Calibri" w:cs="Arial"/>
        </w:rPr>
      </w:pPr>
      <w:r>
        <w:t>la société mère ne doit pas être assimilable à un fonds d'investissement exonéré (OPCVM, par exemple) ;</w:t>
      </w:r>
    </w:p>
    <w:p w:rsidR="006E25F3" w:rsidRPr="003A0418" w:rsidRDefault="006E25F3" w:rsidP="006E25F3">
      <w:pPr>
        <w:spacing w:line="240" w:lineRule="atLeast"/>
        <w:ind w:left="720"/>
        <w:jc w:val="both"/>
        <w:rPr>
          <w:rFonts w:ascii="Calibri" w:hAnsi="Calibri" w:cs="Arial"/>
        </w:rPr>
      </w:pPr>
    </w:p>
    <w:p w:rsidR="006E25F3" w:rsidRPr="003A0418" w:rsidRDefault="006E25F3" w:rsidP="00B16556">
      <w:pPr>
        <w:numPr>
          <w:ilvl w:val="0"/>
          <w:numId w:val="33"/>
        </w:numPr>
        <w:spacing w:line="240" w:lineRule="atLeast"/>
        <w:jc w:val="both"/>
        <w:rPr>
          <w:rFonts w:ascii="Calibri" w:hAnsi="Calibri" w:cs="Arial"/>
        </w:rPr>
      </w:pPr>
      <w:r>
        <w:t>elle doit être le bénéficiaire effectif des dividendes (mesure destinée à éviter le « dividend stripping ») ;</w:t>
      </w:r>
    </w:p>
    <w:p w:rsidR="006E25F3" w:rsidRPr="003A0418" w:rsidRDefault="006E25F3" w:rsidP="006E25F3">
      <w:pPr>
        <w:spacing w:line="240" w:lineRule="atLeast"/>
        <w:ind w:left="720"/>
        <w:jc w:val="both"/>
        <w:rPr>
          <w:rFonts w:ascii="Calibri" w:hAnsi="Calibri" w:cs="Arial"/>
        </w:rPr>
      </w:pPr>
    </w:p>
    <w:p w:rsidR="006E25F3" w:rsidRPr="003A0418" w:rsidRDefault="006E25F3" w:rsidP="00B16556">
      <w:pPr>
        <w:numPr>
          <w:ilvl w:val="0"/>
          <w:numId w:val="33"/>
        </w:numPr>
        <w:spacing w:line="240" w:lineRule="atLeast"/>
        <w:jc w:val="both"/>
        <w:rPr>
          <w:rFonts w:ascii="Calibri" w:hAnsi="Calibri" w:cs="Arial"/>
        </w:rPr>
      </w:pPr>
      <w:r>
        <w:t>elle ne doit pas être exclue du bénéfice d'une convention fiscale en raison de mesures anti-abus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3"/>
        </w:numPr>
        <w:spacing w:line="240" w:lineRule="atLeast"/>
        <w:jc w:val="both"/>
        <w:rPr>
          <w:rFonts w:ascii="Calibri" w:hAnsi="Calibri" w:cs="Arial"/>
        </w:rPr>
      </w:pPr>
      <w:r>
        <w:t>elle ne doit pas pouvoir être considérée Claire Fernandez d'un Etat qui n'est pas membre de l'Union européenne (ou de Norvège ou d'Islande), sur le fondement d'une convention fiscale conclue avec un Etat tiers.</w:t>
      </w:r>
    </w:p>
    <w:p w:rsidR="006E25F3" w:rsidRDefault="006E25F3" w:rsidP="006E25F3">
      <w:pPr>
        <w:spacing w:line="240" w:lineRule="atLeast"/>
        <w:jc w:val="both"/>
        <w:rPr>
          <w:rFonts w:ascii="Calibri" w:hAnsi="Calibri" w:cs="Arial"/>
        </w:rPr>
      </w:pPr>
    </w:p>
    <w:p w:rsidR="006E25F3" w:rsidRPr="003A0418" w:rsidRDefault="006E25F3" w:rsidP="006E25F3">
      <w:pPr>
        <w:spacing w:line="240" w:lineRule="atLeast"/>
        <w:jc w:val="both"/>
        <w:rPr>
          <w:rStyle w:val="txt"/>
          <w:rFonts w:ascii="Calibri" w:hAnsi="Calibri" w:cs="Arial"/>
        </w:rPr>
      </w:pPr>
      <w:r>
        <w:t>Il existe un système de retenue à la source applicable si les conditions suivantes sont remplies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1"/>
        </w:numPr>
        <w:tabs>
          <w:tab w:val="left" w:pos="1134"/>
        </w:tabs>
        <w:spacing w:line="240" w:lineRule="atLeast"/>
        <w:ind w:left="1134" w:hanging="567"/>
        <w:jc w:val="both"/>
        <w:rPr>
          <w:rStyle w:val="txt"/>
          <w:rFonts w:ascii="Calibri" w:hAnsi="Calibri" w:cs="Arial"/>
        </w:rPr>
      </w:pPr>
      <w:r>
        <w:t>les dividendes sont versés à une société mère qui réside dans un pays ayant signé avec les Pays bas une convention fiscale qui contient une clause d'échange d'informations ;</w:t>
      </w:r>
    </w:p>
    <w:p w:rsidR="006E25F3" w:rsidRPr="003A0418" w:rsidRDefault="006E25F3" w:rsidP="006E25F3">
      <w:pPr>
        <w:tabs>
          <w:tab w:val="left" w:pos="1134"/>
        </w:tabs>
        <w:spacing w:line="240" w:lineRule="atLeast"/>
        <w:ind w:left="1134"/>
        <w:jc w:val="both"/>
        <w:rPr>
          <w:rFonts w:ascii="Calibri" w:hAnsi="Calibri" w:cs="Arial"/>
        </w:rPr>
      </w:pPr>
    </w:p>
    <w:p w:rsidR="006E25F3" w:rsidRPr="003A0418" w:rsidRDefault="006E25F3" w:rsidP="00B16556">
      <w:pPr>
        <w:numPr>
          <w:ilvl w:val="0"/>
          <w:numId w:val="31"/>
        </w:numPr>
        <w:tabs>
          <w:tab w:val="left" w:pos="1134"/>
        </w:tabs>
        <w:spacing w:line="240" w:lineRule="atLeast"/>
        <w:ind w:left="1134" w:hanging="567"/>
        <w:jc w:val="both"/>
        <w:rPr>
          <w:rStyle w:val="txt"/>
          <w:rFonts w:ascii="Calibri" w:hAnsi="Calibri" w:cs="Arial"/>
        </w:rPr>
      </w:pPr>
      <w:r>
        <w:t>la société mère étrangère doit être résidente du pays concerné et y être assujettie à l'impôt sans bénéficier d'un régime exorbitant du droit commun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31"/>
        </w:numPr>
        <w:tabs>
          <w:tab w:val="left" w:pos="1134"/>
        </w:tabs>
        <w:spacing w:line="240" w:lineRule="atLeast"/>
        <w:ind w:left="1134" w:hanging="567"/>
        <w:jc w:val="both"/>
        <w:rPr>
          <w:rStyle w:val="txt"/>
          <w:rFonts w:ascii="Calibri" w:hAnsi="Calibri" w:cs="Arial"/>
        </w:rPr>
      </w:pPr>
      <w:r>
        <w:t xml:space="preserve">45, chemin Leclerc, 55493 Fischer-sur-Marchand société mère détient une participation d'au moins 50 % dans le capital de sa filiale Espagnol </w:t>
      </w:r>
    </w:p>
    <w:p w:rsidR="006E25F3" w:rsidRDefault="006E25F3" w:rsidP="006E25F3">
      <w:pPr>
        <w:tabs>
          <w:tab w:val="left" w:pos="1134"/>
        </w:tabs>
        <w:spacing w:line="240" w:lineRule="atLeast"/>
        <w:jc w:val="both"/>
        <w:rPr>
          <w:rStyle w:val="txt"/>
          <w:rFonts w:ascii="Calibri" w:hAnsi="Calibri" w:cs="Arial"/>
        </w:rPr>
      </w:pPr>
    </w:p>
    <w:p w:rsidR="006E25F3" w:rsidRPr="008E3C3E" w:rsidRDefault="006E25F3" w:rsidP="006E25F3">
      <w:pPr>
        <w:shd w:val="clear" w:color="auto" w:fill="FFFFFF"/>
        <w:spacing w:before="100" w:beforeAutospacing="1" w:after="100" w:afterAutospacing="1" w:line="225" w:lineRule="atLeast"/>
        <w:jc w:val="both"/>
        <w:rPr>
          <w:rFonts w:ascii="Calibri" w:hAnsi="Calibri"/>
          <w:color w:val="000000"/>
        </w:rPr>
      </w:pPr>
      <w:r>
        <w:t>Les dividendes attribués par une société résidente d'un État contractant à un résident de l'autre État contractant sont imposables dans cet autre État.</w:t>
      </w:r>
    </w:p>
    <w:p w:rsidR="006E25F3" w:rsidRPr="00034EF8" w:rsidRDefault="006E25F3" w:rsidP="006E25F3">
      <w:pPr>
        <w:shd w:val="clear" w:color="auto" w:fill="FFFFFF"/>
        <w:spacing w:before="100" w:beforeAutospacing="1" w:after="100" w:afterAutospacing="1" w:line="225" w:lineRule="atLeast"/>
        <w:jc w:val="both"/>
        <w:rPr>
          <w:rFonts w:ascii="Calibri" w:hAnsi="Calibri"/>
          <w:color w:val="000000"/>
        </w:rPr>
      </w:pPr>
      <w:r>
        <w:t>Toutefois, ces dividendes peuvent être imposés dans l'État contractant dont la société qui attribue les dividendes est un résident et selon la législation de cet État, 954, rue Victoire Perez, 89155 Perret ainsi établi ne peut excéder 5 % du montant brut desdits dividendes.</w:t>
      </w:r>
    </w:p>
    <w:p w:rsidR="00413DE6" w:rsidRPr="008E7D41" w:rsidRDefault="00413DE6" w:rsidP="00C17BCA">
      <w:pPr>
        <w:tabs>
          <w:tab w:val="left" w:pos="1134"/>
        </w:tabs>
        <w:jc w:val="both"/>
        <w:rPr>
          <w:rFonts w:asciiTheme="minorHAnsi" w:hAnsiTheme="minorHAnsi"/>
          <w:b/>
          <w:color w:val="4D5CA7"/>
        </w:rPr>
      </w:pPr>
    </w:p>
    <w:p w:rsidR="008D69C7" w:rsidRDefault="008D69C7" w:rsidP="008D69C7">
      <w:pPr>
        <w:tabs>
          <w:tab w:val="left" w:pos="1134"/>
        </w:tabs>
        <w:jc w:val="both"/>
        <w:rPr>
          <w:rFonts w:ascii="Calibri" w:hAnsi="Calibri"/>
          <w:color w:val="000000" w:themeColor="text1"/>
        </w:rPr>
      </w:pPr>
    </w:p>
    <w:p w:rsidR="008D69C7" w:rsidRDefault="008D69C7" w:rsidP="008D69C7">
      <w:pPr>
        <w:tabs>
          <w:tab w:val="left" w:pos="1134"/>
        </w:tabs>
        <w:jc w:val="both"/>
        <w:rPr>
          <w:rFonts w:ascii="Calibri" w:hAnsi="Calibri"/>
          <w:color w:val="000000" w:themeColor="text1"/>
        </w:rPr>
      </w:pPr>
    </w:p>
    <w:p w:rsidR="008D69C7" w:rsidRDefault="008D69C7" w:rsidP="008D69C7">
      <w:pPr>
        <w:tabs>
          <w:tab w:val="left" w:pos="1134"/>
        </w:tabs>
        <w:jc w:val="both"/>
        <w:rPr>
          <w:rFonts w:ascii="Calibri" w:hAnsi="Calibri"/>
          <w:color w:val="000000" w:themeColor="text1"/>
        </w:rPr>
      </w:pPr>
    </w:p>
    <w:p w:rsidR="008D69C7" w:rsidRDefault="008D69C7" w:rsidP="008D69C7">
      <w:pPr>
        <w:tabs>
          <w:tab w:val="left" w:pos="1134"/>
        </w:tabs>
        <w:jc w:val="both"/>
        <w:rPr>
          <w:rFonts w:ascii="Calibri" w:hAnsi="Calibri"/>
          <w:color w:val="000000" w:themeColor="text1"/>
        </w:rPr>
      </w:pPr>
    </w:p>
    <w:p w:rsidR="008D69C7" w:rsidRDefault="008D69C7" w:rsidP="008D69C7">
      <w:pPr>
        <w:tabs>
          <w:tab w:val="left" w:pos="1134"/>
        </w:tabs>
        <w:jc w:val="both"/>
        <w:rPr>
          <w:rFonts w:ascii="Calibri" w:hAnsi="Calibri"/>
          <w:color w:val="000000" w:themeColor="text1"/>
        </w:rPr>
      </w:pPr>
    </w:p>
    <w:p w:rsidR="008D69C7" w:rsidRDefault="008D69C7">
      <w:pPr>
        <w:rPr>
          <w:rFonts w:ascii="Calibri" w:hAnsi="Calibri"/>
          <w:color w:val="000000" w:themeColor="text1"/>
        </w:rPr>
      </w:pPr>
      <w:r>
        <w:rPr>
          <w:rFonts w:ascii="Calibri" w:hAnsi="Calibri"/>
          <w:color w:val="000000" w:themeColor="text1"/>
        </w:rPr>
        <w:br w:type="page"/>
      </w:r>
    </w:p>
    <w:p w:rsidR="008D69C7" w:rsidRPr="008D69C7" w:rsidRDefault="008D69C7" w:rsidP="008D69C7">
      <w:pPr>
        <w:tabs>
          <w:tab w:val="left" w:pos="1134"/>
        </w:tabs>
        <w:jc w:val="both"/>
        <w:rPr>
          <w:rFonts w:ascii="Calibri" w:hAnsi="Calibri"/>
          <w:color w:val="000000" w:themeColor="text1"/>
        </w:rPr>
      </w:pPr>
    </w:p>
    <w:p w:rsidR="00DC7FB1" w:rsidRDefault="00DC7FB1" w:rsidP="000812EC">
      <w:pPr>
        <w:tabs>
          <w:tab w:val="left" w:pos="1134"/>
        </w:tabs>
        <w:jc w:val="both"/>
        <w:rPr>
          <w:rFonts w:ascii="Calibri" w:hAnsi="Calibri"/>
          <w:b/>
          <w:color w:val="000000"/>
        </w:rPr>
      </w:pPr>
      <w:r>
        <w:t>VII. Application au cas d’espèce</w:t>
      </w:r>
    </w:p>
    <w:p w:rsidR="001E5F20" w:rsidRDefault="001E5F20" w:rsidP="000812EC">
      <w:pPr>
        <w:tabs>
          <w:tab w:val="left" w:pos="1134"/>
        </w:tabs>
        <w:jc w:val="both"/>
        <w:rPr>
          <w:rFonts w:ascii="Calibri" w:hAnsi="Calibri"/>
          <w:b/>
          <w:color w:val="000000"/>
        </w:rPr>
      </w:pPr>
    </w:p>
    <w:p w:rsidR="001E5F20" w:rsidRDefault="001E5F20" w:rsidP="000812EC">
      <w:pPr>
        <w:tabs>
          <w:tab w:val="left" w:pos="1134"/>
        </w:tabs>
        <w:jc w:val="both"/>
        <w:rPr>
          <w:rFonts w:ascii="Calibri" w:hAnsi="Calibri"/>
          <w:color w:val="000000"/>
        </w:rPr>
      </w:pPr>
      <w:r>
        <w:t>Dans le cadre du choix de l’implantation de vos sociétés sur des territoires hors de l’Union Européenne, nous nous sommes bornés à déterminer au regard de l’impact fiscal quel pays serait le mieux à même de répondre à la double condition de posséder un régime fiscal d’impôts sur les sociétés le plus avantageux, tout en permettant le paiement de dividendes avec le moins de frottement fiscal.</w:t>
      </w:r>
    </w:p>
    <w:p w:rsidR="001D1FCE" w:rsidRDefault="001D1FCE" w:rsidP="000812EC">
      <w:pPr>
        <w:tabs>
          <w:tab w:val="left" w:pos="1134"/>
        </w:tabs>
        <w:jc w:val="both"/>
        <w:rPr>
          <w:rFonts w:ascii="Calibri" w:hAnsi="Calibri"/>
          <w:color w:val="000000"/>
        </w:rPr>
      </w:pPr>
    </w:p>
    <w:p w:rsidR="001D1FCE" w:rsidRDefault="001D1FCE" w:rsidP="000812EC">
      <w:pPr>
        <w:tabs>
          <w:tab w:val="left" w:pos="1134"/>
        </w:tabs>
        <w:jc w:val="both"/>
        <w:rPr>
          <w:rFonts w:ascii="Calibri" w:hAnsi="Calibri"/>
          <w:color w:val="000000"/>
        </w:rPr>
      </w:pPr>
      <w:r>
        <w:t>A cet effet, nous avons analysés Alexandre Adam pays suivants :</w:t>
      </w:r>
    </w:p>
    <w:p w:rsidR="00813A11" w:rsidRPr="00B23806" w:rsidRDefault="00813A11" w:rsidP="00E71A1C">
      <w:pPr>
        <w:tabs>
          <w:tab w:val="left" w:pos="1134"/>
        </w:tabs>
        <w:jc w:val="both"/>
        <w:rPr>
          <w:rFonts w:asciiTheme="minorHAnsi" w:hAnsiTheme="minorHAnsi"/>
          <w:color w:val="000000" w:themeColor="text1"/>
        </w:rPr>
      </w:pPr>
    </w:p>
    <w:p w:rsidR="00813A11" w:rsidRPr="00B23806" w:rsidRDefault="00813A11" w:rsidP="00B16556">
      <w:pPr>
        <w:numPr>
          <w:ilvl w:val="0"/>
          <w:numId w:val="2"/>
        </w:numPr>
        <w:tabs>
          <w:tab w:val="left" w:pos="1134"/>
        </w:tabs>
        <w:ind w:left="1134" w:hanging="567"/>
        <w:jc w:val="both"/>
        <w:rPr>
          <w:rFonts w:asciiTheme="minorHAnsi" w:hAnsiTheme="minorHAnsi"/>
          <w:color w:val="000000" w:themeColor="text1"/>
        </w:rPr>
      </w:pPr>
      <w:r>
        <w:t>Thérèse Ferreira ;</w:t>
      </w:r>
    </w:p>
    <w:p w:rsidR="00813A11" w:rsidRPr="00B23806" w:rsidRDefault="00813A11" w:rsidP="00813A11">
      <w:pPr>
        <w:pStyle w:val="Paragraphedeliste"/>
        <w:ind w:left="1134" w:hanging="567"/>
        <w:rPr>
          <w:rFonts w:asciiTheme="minorHAnsi" w:hAnsiTheme="minorHAnsi"/>
          <w:color w:val="000000" w:themeColor="text1"/>
        </w:rPr>
      </w:pPr>
    </w:p>
    <w:p w:rsidR="00813A11" w:rsidRPr="00B23806" w:rsidRDefault="00813A11" w:rsidP="00B16556">
      <w:pPr>
        <w:numPr>
          <w:ilvl w:val="0"/>
          <w:numId w:val="2"/>
        </w:numPr>
        <w:tabs>
          <w:tab w:val="left" w:pos="1134"/>
        </w:tabs>
        <w:ind w:left="1134" w:hanging="567"/>
        <w:jc w:val="both"/>
        <w:rPr>
          <w:rFonts w:asciiTheme="minorHAnsi" w:hAnsiTheme="minorHAnsi"/>
          <w:color w:val="000000" w:themeColor="text1"/>
        </w:rPr>
      </w:pPr>
      <w:r>
        <w:t>26, boulevard de Gilles, 74161 Leducdan ;</w:t>
      </w:r>
    </w:p>
    <w:p w:rsidR="00813A11" w:rsidRPr="00B23806" w:rsidRDefault="00813A11" w:rsidP="00813A11">
      <w:pPr>
        <w:pStyle w:val="Paragraphedeliste"/>
        <w:ind w:left="1134" w:hanging="567"/>
        <w:rPr>
          <w:rFonts w:asciiTheme="minorHAnsi" w:hAnsiTheme="minorHAnsi"/>
          <w:color w:val="000000" w:themeColor="text1"/>
        </w:rPr>
      </w:pPr>
    </w:p>
    <w:p w:rsidR="00813A11" w:rsidRPr="00B23806" w:rsidRDefault="00813A11" w:rsidP="00B16556">
      <w:pPr>
        <w:numPr>
          <w:ilvl w:val="0"/>
          <w:numId w:val="2"/>
        </w:numPr>
        <w:tabs>
          <w:tab w:val="left" w:pos="1134"/>
        </w:tabs>
        <w:ind w:left="1134" w:hanging="567"/>
        <w:jc w:val="both"/>
        <w:rPr>
          <w:rFonts w:asciiTheme="minorHAnsi" w:hAnsiTheme="minorHAnsi"/>
          <w:color w:val="000000" w:themeColor="text1"/>
        </w:rPr>
      </w:pPr>
      <w:r>
        <w:t>L’île Claude Martin ;</w:t>
      </w:r>
    </w:p>
    <w:p w:rsidR="00813A11" w:rsidRPr="00B23806" w:rsidRDefault="00813A11" w:rsidP="00813A11">
      <w:pPr>
        <w:pStyle w:val="Paragraphedeliste"/>
        <w:ind w:left="1134" w:hanging="567"/>
        <w:rPr>
          <w:rFonts w:asciiTheme="minorHAnsi" w:hAnsiTheme="minorHAnsi"/>
          <w:color w:val="000000" w:themeColor="text1"/>
        </w:rPr>
      </w:pPr>
    </w:p>
    <w:p w:rsidR="00813A11" w:rsidRDefault="00813A11" w:rsidP="00B16556">
      <w:pPr>
        <w:numPr>
          <w:ilvl w:val="0"/>
          <w:numId w:val="2"/>
        </w:numPr>
        <w:tabs>
          <w:tab w:val="left" w:pos="1134"/>
        </w:tabs>
        <w:ind w:left="1134" w:hanging="567"/>
        <w:jc w:val="both"/>
        <w:rPr>
          <w:rFonts w:asciiTheme="minorHAnsi" w:hAnsiTheme="minorHAnsi"/>
          <w:color w:val="000000" w:themeColor="text1"/>
        </w:rPr>
      </w:pPr>
      <w:r>
        <w:t>Frédérique Lenoir.</w:t>
      </w:r>
    </w:p>
    <w:p w:rsidR="00813A11" w:rsidRDefault="00813A11" w:rsidP="00813A11">
      <w:pPr>
        <w:pStyle w:val="Paragraphedeliste"/>
        <w:rPr>
          <w:rFonts w:asciiTheme="minorHAnsi" w:hAnsiTheme="minorHAnsi"/>
          <w:color w:val="000000" w:themeColor="text1"/>
        </w:rPr>
      </w:pPr>
    </w:p>
    <w:p w:rsidR="00813A11" w:rsidRDefault="00813A11" w:rsidP="00813A11">
      <w:pPr>
        <w:tabs>
          <w:tab w:val="left" w:pos="1134"/>
        </w:tabs>
        <w:jc w:val="both"/>
        <w:rPr>
          <w:rFonts w:asciiTheme="minorHAnsi" w:hAnsiTheme="minorHAnsi"/>
          <w:color w:val="000000" w:themeColor="text1"/>
        </w:rPr>
      </w:pPr>
      <w:r>
        <w:t>Les mécanismes fiscaux en matière :</w:t>
      </w:r>
    </w:p>
    <w:p w:rsidR="00813A11" w:rsidRDefault="00813A11" w:rsidP="00813A11">
      <w:pPr>
        <w:tabs>
          <w:tab w:val="left" w:pos="1134"/>
        </w:tabs>
        <w:jc w:val="both"/>
        <w:rPr>
          <w:rFonts w:asciiTheme="minorHAnsi" w:hAnsiTheme="minorHAnsi"/>
          <w:color w:val="000000" w:themeColor="text1"/>
        </w:rPr>
      </w:pPr>
    </w:p>
    <w:p w:rsidR="00813A11" w:rsidRDefault="00813A11" w:rsidP="00B16556">
      <w:pPr>
        <w:pStyle w:val="Paragraphedeliste"/>
        <w:numPr>
          <w:ilvl w:val="0"/>
          <w:numId w:val="18"/>
        </w:numPr>
        <w:tabs>
          <w:tab w:val="left" w:pos="1134"/>
        </w:tabs>
        <w:jc w:val="both"/>
        <w:rPr>
          <w:rFonts w:asciiTheme="minorHAnsi" w:hAnsiTheme="minorHAnsi"/>
          <w:color w:val="000000" w:themeColor="text1"/>
        </w:rPr>
      </w:pPr>
      <w:r>
        <w:t>D’impôts sur les sociétés ;</w:t>
      </w:r>
    </w:p>
    <w:p w:rsidR="00813A11" w:rsidRDefault="00813A11" w:rsidP="00813A11">
      <w:pPr>
        <w:pStyle w:val="Paragraphedeliste"/>
        <w:tabs>
          <w:tab w:val="left" w:pos="1134"/>
        </w:tabs>
        <w:ind w:left="720"/>
        <w:jc w:val="both"/>
        <w:rPr>
          <w:rFonts w:asciiTheme="minorHAnsi" w:hAnsiTheme="minorHAnsi"/>
          <w:color w:val="000000" w:themeColor="text1"/>
        </w:rPr>
      </w:pPr>
    </w:p>
    <w:p w:rsidR="00813A11" w:rsidRDefault="00813A11" w:rsidP="00B16556">
      <w:pPr>
        <w:pStyle w:val="Paragraphedeliste"/>
        <w:numPr>
          <w:ilvl w:val="0"/>
          <w:numId w:val="18"/>
        </w:numPr>
        <w:tabs>
          <w:tab w:val="left" w:pos="1134"/>
        </w:tabs>
        <w:jc w:val="both"/>
        <w:rPr>
          <w:rFonts w:asciiTheme="minorHAnsi" w:hAnsiTheme="minorHAnsi"/>
          <w:color w:val="000000" w:themeColor="text1"/>
        </w:rPr>
      </w:pPr>
      <w:r>
        <w:t>Le mécanisme de la TVA applicable dans chacun des états ;</w:t>
      </w:r>
    </w:p>
    <w:p w:rsidR="00813A11" w:rsidRPr="00813A11" w:rsidRDefault="00813A11" w:rsidP="00813A11">
      <w:pPr>
        <w:tabs>
          <w:tab w:val="left" w:pos="1134"/>
        </w:tabs>
        <w:jc w:val="both"/>
        <w:rPr>
          <w:rFonts w:asciiTheme="minorHAnsi" w:hAnsiTheme="minorHAnsi"/>
          <w:color w:val="000000" w:themeColor="text1"/>
        </w:rPr>
      </w:pPr>
    </w:p>
    <w:p w:rsidR="00813A11" w:rsidRDefault="00813A11" w:rsidP="00B16556">
      <w:pPr>
        <w:pStyle w:val="Paragraphedeliste"/>
        <w:numPr>
          <w:ilvl w:val="0"/>
          <w:numId w:val="18"/>
        </w:numPr>
        <w:tabs>
          <w:tab w:val="left" w:pos="1134"/>
        </w:tabs>
        <w:jc w:val="both"/>
        <w:rPr>
          <w:rFonts w:asciiTheme="minorHAnsi" w:hAnsiTheme="minorHAnsi"/>
          <w:color w:val="000000" w:themeColor="text1"/>
        </w:rPr>
      </w:pPr>
      <w:r>
        <w:t>Les dispositions relatives aux retenues à la source applicables en cas de versement de dividendes ou de paiement d’intérêts ou de redevances (royalties) ;</w:t>
      </w:r>
    </w:p>
    <w:p w:rsidR="0084776E" w:rsidRPr="0084776E" w:rsidRDefault="0084776E" w:rsidP="0084776E">
      <w:pPr>
        <w:pStyle w:val="Paragraphedeliste"/>
        <w:rPr>
          <w:rFonts w:asciiTheme="minorHAnsi" w:hAnsiTheme="minorHAnsi"/>
          <w:color w:val="000000" w:themeColor="text1"/>
        </w:rPr>
      </w:pPr>
    </w:p>
    <w:p w:rsidR="0084776E" w:rsidRDefault="0084776E" w:rsidP="00B16556">
      <w:pPr>
        <w:pStyle w:val="Paragraphedeliste"/>
        <w:numPr>
          <w:ilvl w:val="0"/>
          <w:numId w:val="18"/>
        </w:numPr>
        <w:tabs>
          <w:tab w:val="left" w:pos="1134"/>
        </w:tabs>
        <w:jc w:val="both"/>
        <w:rPr>
          <w:rFonts w:asciiTheme="minorHAnsi" w:hAnsiTheme="minorHAnsi"/>
          <w:color w:val="000000" w:themeColor="text1"/>
        </w:rPr>
      </w:pPr>
      <w:r>
        <w:t>Le mécanisme fiscal des plus-values ;</w:t>
      </w:r>
    </w:p>
    <w:p w:rsidR="00813A11" w:rsidRPr="00813A11" w:rsidRDefault="00813A11" w:rsidP="00813A11">
      <w:pPr>
        <w:pStyle w:val="Paragraphedeliste"/>
        <w:rPr>
          <w:rFonts w:asciiTheme="minorHAnsi" w:hAnsiTheme="minorHAnsi"/>
          <w:color w:val="000000" w:themeColor="text1"/>
        </w:rPr>
      </w:pPr>
    </w:p>
    <w:p w:rsidR="00813A11" w:rsidRDefault="00813A11" w:rsidP="00B16556">
      <w:pPr>
        <w:pStyle w:val="Paragraphedeliste"/>
        <w:numPr>
          <w:ilvl w:val="0"/>
          <w:numId w:val="18"/>
        </w:numPr>
        <w:tabs>
          <w:tab w:val="left" w:pos="1134"/>
        </w:tabs>
        <w:jc w:val="both"/>
        <w:rPr>
          <w:rFonts w:asciiTheme="minorHAnsi" w:hAnsiTheme="minorHAnsi"/>
          <w:color w:val="000000" w:themeColor="text1"/>
        </w:rPr>
      </w:pPr>
      <w:r>
        <w:t>Sur la participation du pays au programme d’échange d’information CRS.</w:t>
      </w:r>
    </w:p>
    <w:p w:rsidR="00813A11" w:rsidRPr="008E7D41" w:rsidRDefault="00813A11" w:rsidP="00813A11">
      <w:pPr>
        <w:pStyle w:val="Paragraphedeliste"/>
        <w:rPr>
          <w:rFonts w:asciiTheme="minorHAnsi" w:hAnsiTheme="minorHAnsi"/>
          <w:color w:val="4D5CA7"/>
        </w:rPr>
      </w:pPr>
    </w:p>
    <w:p w:rsidR="00EE27FF" w:rsidRDefault="0084776E" w:rsidP="00813A11">
      <w:pPr>
        <w:tabs>
          <w:tab w:val="left" w:pos="1134"/>
        </w:tabs>
        <w:jc w:val="both"/>
        <w:rPr>
          <w:rFonts w:asciiTheme="minorHAnsi" w:hAnsiTheme="minorHAnsi"/>
          <w:b/>
          <w:color w:val="4D5CA7"/>
        </w:rPr>
      </w:pPr>
      <w:r>
        <w:t>Au regard de cette analyse, nous pensons que vous devriez opter pour une implantation de vos sociétés sur le territoire, Dubaï et également la création d’une société basée à Hong Kong.</w:t>
      </w:r>
    </w:p>
    <w:p w:rsidR="00EE27FF" w:rsidRDefault="00EE27FF" w:rsidP="00813A11">
      <w:pPr>
        <w:tabs>
          <w:tab w:val="left" w:pos="1134"/>
        </w:tabs>
        <w:jc w:val="both"/>
        <w:rPr>
          <w:rFonts w:asciiTheme="minorHAnsi" w:hAnsiTheme="minorHAnsi"/>
          <w:b/>
          <w:color w:val="4D5CA7"/>
        </w:rPr>
      </w:pPr>
    </w:p>
    <w:p w:rsidR="00EE27FF" w:rsidRDefault="00EE27FF" w:rsidP="00813A11">
      <w:pPr>
        <w:tabs>
          <w:tab w:val="left" w:pos="1134"/>
        </w:tabs>
        <w:jc w:val="both"/>
        <w:rPr>
          <w:rFonts w:asciiTheme="minorHAnsi" w:hAnsiTheme="minorHAnsi"/>
          <w:b/>
          <w:color w:val="4D5CA7"/>
        </w:rPr>
      </w:pPr>
      <w:r>
        <w:t>Comme présenté dans les schémas annexés, le montage le plus optimisant pour vous serait le suivant :</w:t>
      </w:r>
    </w:p>
    <w:p w:rsidR="00EE27FF" w:rsidRDefault="00EE27FF" w:rsidP="00813A11">
      <w:pPr>
        <w:tabs>
          <w:tab w:val="left" w:pos="1134"/>
        </w:tabs>
        <w:jc w:val="both"/>
        <w:rPr>
          <w:rFonts w:asciiTheme="minorHAnsi" w:hAnsiTheme="minorHAnsi"/>
          <w:b/>
          <w:color w:val="4D5CA7"/>
        </w:rPr>
      </w:pPr>
    </w:p>
    <w:p w:rsidR="00EE27FF" w:rsidRDefault="00EE27FF" w:rsidP="00EE27FF">
      <w:pPr>
        <w:pStyle w:val="Paragraphedeliste"/>
        <w:numPr>
          <w:ilvl w:val="0"/>
          <w:numId w:val="45"/>
        </w:numPr>
        <w:tabs>
          <w:tab w:val="left" w:pos="1134"/>
        </w:tabs>
        <w:jc w:val="both"/>
        <w:rPr>
          <w:rFonts w:asciiTheme="minorHAnsi" w:hAnsiTheme="minorHAnsi"/>
          <w:b/>
          <w:color w:val="4D5CA7"/>
        </w:rPr>
      </w:pPr>
      <w:r>
        <w:t>Création d’une société holding à Dubaï qui serait en charge de la vente de l’or d’investissement auprès des investisseurs basés en France et au sein des pays de l’Union Européenne ;</w:t>
      </w:r>
    </w:p>
    <w:p w:rsidR="00EE27FF" w:rsidRDefault="00EE27FF" w:rsidP="00EE27FF">
      <w:pPr>
        <w:pStyle w:val="Paragraphedeliste"/>
        <w:tabs>
          <w:tab w:val="left" w:pos="1134"/>
        </w:tabs>
        <w:ind w:left="720"/>
        <w:jc w:val="both"/>
        <w:rPr>
          <w:rFonts w:asciiTheme="minorHAnsi" w:hAnsiTheme="minorHAnsi"/>
          <w:b/>
          <w:color w:val="4D5CA7"/>
        </w:rPr>
      </w:pPr>
    </w:p>
    <w:p w:rsidR="00EE27FF" w:rsidRDefault="00EE27FF" w:rsidP="00EE27FF">
      <w:pPr>
        <w:pStyle w:val="Paragraphedeliste"/>
        <w:numPr>
          <w:ilvl w:val="0"/>
          <w:numId w:val="45"/>
        </w:numPr>
        <w:tabs>
          <w:tab w:val="left" w:pos="1134"/>
        </w:tabs>
        <w:jc w:val="both"/>
        <w:rPr>
          <w:rFonts w:asciiTheme="minorHAnsi" w:hAnsiTheme="minorHAnsi"/>
          <w:b/>
          <w:color w:val="4D5CA7"/>
        </w:rPr>
      </w:pPr>
      <w:r>
        <w:t>La Société basée à Dubaï se verrait facturer des services de Prestations de services par la société GLOBAL SILVER afin d’éviter de faire disparaître totalement le Chiffre d’affaire et le bénéfice au risque de déclencher un contrôle fiscal ;</w:t>
      </w:r>
    </w:p>
    <w:p w:rsidR="00EE27FF" w:rsidRPr="00EE27FF" w:rsidRDefault="00EE27FF" w:rsidP="00EE27FF">
      <w:pPr>
        <w:pStyle w:val="Paragraphedeliste"/>
        <w:rPr>
          <w:rFonts w:asciiTheme="minorHAnsi" w:hAnsiTheme="minorHAnsi"/>
          <w:b/>
          <w:color w:val="4D5CA7"/>
        </w:rPr>
      </w:pPr>
    </w:p>
    <w:p w:rsidR="00EE27FF" w:rsidRDefault="00EE27FF" w:rsidP="00EE27FF">
      <w:pPr>
        <w:pStyle w:val="Paragraphedeliste"/>
        <w:numPr>
          <w:ilvl w:val="0"/>
          <w:numId w:val="45"/>
        </w:numPr>
        <w:tabs>
          <w:tab w:val="left" w:pos="1134"/>
        </w:tabs>
        <w:jc w:val="both"/>
        <w:rPr>
          <w:rFonts w:asciiTheme="minorHAnsi" w:hAnsiTheme="minorHAnsi"/>
          <w:b/>
          <w:color w:val="4D5CA7"/>
        </w:rPr>
      </w:pPr>
      <w:r>
        <w:t>Le stock d’or détenu par la SARL GLOBALSILVER peut soit :</w:t>
      </w:r>
    </w:p>
    <w:p w:rsidR="00EE27FF" w:rsidRPr="00EE27FF" w:rsidRDefault="00EE27FF" w:rsidP="00EE27FF">
      <w:pPr>
        <w:tabs>
          <w:tab w:val="left" w:pos="1134"/>
        </w:tabs>
        <w:jc w:val="both"/>
        <w:rPr>
          <w:rFonts w:asciiTheme="minorHAnsi" w:hAnsiTheme="minorHAnsi"/>
          <w:b/>
          <w:color w:val="4D5CA7"/>
        </w:rPr>
      </w:pPr>
    </w:p>
    <w:p w:rsidR="00EE27FF" w:rsidRDefault="00EE27FF" w:rsidP="00EE27FF">
      <w:pPr>
        <w:pStyle w:val="Paragraphedeliste"/>
        <w:numPr>
          <w:ilvl w:val="1"/>
          <w:numId w:val="45"/>
        </w:numPr>
        <w:tabs>
          <w:tab w:val="left" w:pos="1134"/>
        </w:tabs>
        <w:jc w:val="both"/>
        <w:rPr>
          <w:rFonts w:asciiTheme="minorHAnsi" w:hAnsiTheme="minorHAnsi"/>
          <w:b/>
          <w:color w:val="4D5CA7"/>
        </w:rPr>
      </w:pPr>
      <w:r>
        <w:t>Être écoulé au fil du temps auprès de la clientèle de la société ;</w:t>
      </w:r>
    </w:p>
    <w:p w:rsidR="00EE27FF" w:rsidRDefault="00EE27FF" w:rsidP="00EE27FF">
      <w:pPr>
        <w:pStyle w:val="Paragraphedeliste"/>
        <w:tabs>
          <w:tab w:val="left" w:pos="1134"/>
        </w:tabs>
        <w:ind w:left="1440"/>
        <w:jc w:val="both"/>
        <w:rPr>
          <w:rFonts w:asciiTheme="minorHAnsi" w:hAnsiTheme="minorHAnsi"/>
          <w:b/>
          <w:color w:val="4D5CA7"/>
        </w:rPr>
      </w:pPr>
    </w:p>
    <w:p w:rsidR="00EE27FF" w:rsidRDefault="00EE27FF" w:rsidP="00EE27FF">
      <w:pPr>
        <w:pStyle w:val="Paragraphedeliste"/>
        <w:numPr>
          <w:ilvl w:val="1"/>
          <w:numId w:val="45"/>
        </w:numPr>
        <w:tabs>
          <w:tab w:val="left" w:pos="1134"/>
        </w:tabs>
        <w:jc w:val="both"/>
        <w:rPr>
          <w:rFonts w:asciiTheme="minorHAnsi" w:hAnsiTheme="minorHAnsi"/>
          <w:b/>
          <w:color w:val="4D5CA7"/>
        </w:rPr>
      </w:pPr>
      <w:r>
        <w:t xml:space="preserve">Transférer vers un autre pays de l’UE a fiscalité plus avantageuse en matière de cession dans le cadre de la directive européenne sur les transferts de sièges sociaux. </w:t>
      </w:r>
    </w:p>
    <w:p w:rsidR="00EE27FF" w:rsidRPr="00EE27FF" w:rsidRDefault="00EE27FF" w:rsidP="00EE27FF">
      <w:pPr>
        <w:pStyle w:val="Paragraphedeliste"/>
        <w:rPr>
          <w:rFonts w:asciiTheme="minorHAnsi" w:hAnsiTheme="minorHAnsi"/>
          <w:b/>
          <w:color w:val="4D5CA7"/>
        </w:rPr>
      </w:pPr>
    </w:p>
    <w:p w:rsidR="00EE27FF" w:rsidRDefault="006F3AFC" w:rsidP="00EE27FF">
      <w:pPr>
        <w:pStyle w:val="Paragraphedeliste"/>
        <w:numPr>
          <w:ilvl w:val="0"/>
          <w:numId w:val="45"/>
        </w:numPr>
        <w:tabs>
          <w:tab w:val="left" w:pos="1134"/>
        </w:tabs>
        <w:jc w:val="both"/>
        <w:rPr>
          <w:rFonts w:asciiTheme="minorHAnsi" w:hAnsiTheme="minorHAnsi"/>
          <w:b/>
          <w:color w:val="4D5CA7"/>
        </w:rPr>
      </w:pPr>
      <w:r>
        <w:t>Suite au transfert au transfert du siège social, il conviendrait d’immatriculer une SAS unipersonnelle dont la finalité est de facturer la société de Dubaï pour de la prestation de service.</w:t>
      </w:r>
    </w:p>
    <w:p w:rsidR="006F3AFC" w:rsidRDefault="006F3AFC" w:rsidP="006F3AFC">
      <w:pPr>
        <w:pStyle w:val="Paragraphedeliste"/>
        <w:tabs>
          <w:tab w:val="left" w:pos="1134"/>
        </w:tabs>
        <w:ind w:left="720"/>
        <w:jc w:val="both"/>
        <w:rPr>
          <w:rFonts w:asciiTheme="minorHAnsi" w:hAnsiTheme="minorHAnsi"/>
          <w:b/>
          <w:color w:val="4D5CA7"/>
        </w:rPr>
      </w:pPr>
    </w:p>
    <w:p w:rsidR="006F3AFC" w:rsidRDefault="006F3AFC" w:rsidP="00EE27FF">
      <w:pPr>
        <w:pStyle w:val="Paragraphedeliste"/>
        <w:numPr>
          <w:ilvl w:val="0"/>
          <w:numId w:val="45"/>
        </w:numPr>
        <w:tabs>
          <w:tab w:val="left" w:pos="1134"/>
        </w:tabs>
        <w:jc w:val="both"/>
        <w:rPr>
          <w:rFonts w:asciiTheme="minorHAnsi" w:hAnsiTheme="minorHAnsi"/>
          <w:b/>
          <w:color w:val="4D5CA7"/>
        </w:rPr>
      </w:pPr>
      <w:r>
        <w:t>Alphonse Marques d’affaire réalisé par la nouvelle SASU peut être siphonné par les deux Limited Company que vous possédez déjà au Royaume Uni. Par la mise en place de convention de Prestation de service et un jeu de facturation, il est possible de faire remonter vers le Royaume Uni, une partie substantielle Benoît Fernandes d’affaire réalisé par Gabrielle Torres de la Le Gall.</w:t>
      </w:r>
    </w:p>
    <w:p w:rsidR="006F3AFC" w:rsidRPr="006F3AFC" w:rsidRDefault="006F3AFC" w:rsidP="006F3AFC">
      <w:pPr>
        <w:pStyle w:val="Paragraphedeliste"/>
        <w:rPr>
          <w:rFonts w:asciiTheme="minorHAnsi" w:hAnsiTheme="minorHAnsi"/>
          <w:b/>
          <w:color w:val="4D5CA7"/>
        </w:rPr>
      </w:pPr>
    </w:p>
    <w:p w:rsidR="006F3AFC" w:rsidRDefault="006F3AFC" w:rsidP="00EE27FF">
      <w:pPr>
        <w:pStyle w:val="Paragraphedeliste"/>
        <w:numPr>
          <w:ilvl w:val="0"/>
          <w:numId w:val="45"/>
        </w:numPr>
        <w:tabs>
          <w:tab w:val="left" w:pos="1134"/>
        </w:tabs>
        <w:jc w:val="both"/>
        <w:rPr>
          <w:rFonts w:asciiTheme="minorHAnsi" w:hAnsiTheme="minorHAnsi"/>
          <w:b/>
          <w:color w:val="4D5CA7"/>
        </w:rPr>
      </w:pPr>
      <w:r>
        <w:t>Manon Le Voisin d’affaire engrangé par les deux Limited anglaise peut être remonté vers une société nouvelle immatriculée à Hong Kong. Cette remontée se fait par la mise en place d’une convention de service entre les deux sociétés.</w:t>
      </w:r>
    </w:p>
    <w:p w:rsidR="006F3AFC" w:rsidRPr="006F3AFC" w:rsidRDefault="006F3AFC" w:rsidP="006F3AFC">
      <w:pPr>
        <w:pStyle w:val="Paragraphedeliste"/>
        <w:rPr>
          <w:rFonts w:asciiTheme="minorHAnsi" w:hAnsiTheme="minorHAnsi"/>
          <w:b/>
          <w:color w:val="4D5CA7"/>
        </w:rPr>
      </w:pPr>
    </w:p>
    <w:p w:rsidR="006F3AFC" w:rsidRDefault="006F3AFC" w:rsidP="00EE27FF">
      <w:pPr>
        <w:pStyle w:val="Paragraphedeliste"/>
        <w:numPr>
          <w:ilvl w:val="0"/>
          <w:numId w:val="45"/>
        </w:numPr>
        <w:tabs>
          <w:tab w:val="left" w:pos="1134"/>
        </w:tabs>
        <w:jc w:val="both"/>
        <w:rPr>
          <w:rFonts w:asciiTheme="minorHAnsi" w:hAnsiTheme="minorHAnsi"/>
          <w:b/>
          <w:color w:val="4D5CA7"/>
        </w:rPr>
      </w:pPr>
      <w:r>
        <w:t>L’ensemble des revenus Louise Chevallier 86, rue Gillet, 85951 Saint Victoire-sur-Mer et Dubaï par le jeu des conventions de management fees, convention de services ne seront soumis à aucun impôt à Dubaï et à Hong Kong. De plus, le paiement des dividendes versé à vous même se fera sans aucun frottement fiscal de la part de Hong Kong et de Dubaï.</w:t>
      </w:r>
    </w:p>
    <w:p w:rsidR="006F3AFC" w:rsidRPr="006F3AFC" w:rsidRDefault="006F3AFC" w:rsidP="006F3AFC">
      <w:pPr>
        <w:pStyle w:val="Paragraphedeliste"/>
        <w:rPr>
          <w:rFonts w:asciiTheme="minorHAnsi" w:hAnsiTheme="minorHAnsi"/>
          <w:b/>
          <w:color w:val="4D5CA7"/>
        </w:rPr>
      </w:pPr>
    </w:p>
    <w:p w:rsidR="006F3AFC" w:rsidRDefault="006F3AFC" w:rsidP="00EE27FF">
      <w:pPr>
        <w:pStyle w:val="Paragraphedeliste"/>
        <w:numPr>
          <w:ilvl w:val="0"/>
          <w:numId w:val="45"/>
        </w:numPr>
        <w:tabs>
          <w:tab w:val="left" w:pos="1134"/>
        </w:tabs>
        <w:jc w:val="both"/>
        <w:rPr>
          <w:rFonts w:asciiTheme="minorHAnsi" w:hAnsiTheme="minorHAnsi"/>
          <w:b/>
          <w:color w:val="4D5CA7"/>
        </w:rPr>
      </w:pPr>
      <w:r>
        <w:t>Une partie des revenus générés au niveau des sociétés basées au Royaume Uni, à 67, chemin Arthur Julien, 27234 Deschamps et à Dubaï pourra être utilisé directement via les cartes bancaires attachées à chacune des sociétés.</w:t>
      </w:r>
    </w:p>
    <w:p w:rsidR="006F3AFC" w:rsidRPr="006F3AFC" w:rsidRDefault="006F3AFC" w:rsidP="006F3AFC">
      <w:pPr>
        <w:pStyle w:val="Paragraphedeliste"/>
        <w:rPr>
          <w:rFonts w:asciiTheme="minorHAnsi" w:hAnsiTheme="minorHAnsi"/>
          <w:b/>
          <w:color w:val="4D5CA7"/>
        </w:rPr>
      </w:pPr>
    </w:p>
    <w:p w:rsidR="006F3AFC" w:rsidRDefault="006F3AFC" w:rsidP="006F3AFC">
      <w:pPr>
        <w:tabs>
          <w:tab w:val="left" w:pos="1134"/>
        </w:tabs>
        <w:jc w:val="both"/>
        <w:rPr>
          <w:rFonts w:asciiTheme="minorHAnsi" w:hAnsiTheme="minorHAnsi"/>
          <w:b/>
          <w:color w:val="4D5CA7"/>
        </w:rPr>
      </w:pPr>
      <w:r>
        <w:t>De plus, la création d’une Zoé Diallo en France en lieu et place de la SARL actuelle aura pour finalité de ne plus vous soumettre à aucunes cotisations sociales en France dès lors que vous ne vous versez pas de salaire.</w:t>
      </w:r>
    </w:p>
    <w:p w:rsidR="00EE27FF" w:rsidRDefault="00EE27FF" w:rsidP="00F3778A">
      <w:pPr>
        <w:rPr>
          <w:rFonts w:asciiTheme="minorHAnsi" w:hAnsiTheme="minorHAnsi"/>
          <w:b/>
          <w:color w:val="4D5CA7"/>
        </w:rPr>
      </w:pPr>
    </w:p>
    <w:p w:rsidR="00F3778A" w:rsidRPr="00F3778A" w:rsidRDefault="00F3778A" w:rsidP="00F3778A">
      <w:pPr>
        <w:rPr>
          <w:rFonts w:asciiTheme="minorHAnsi" w:hAnsiTheme="minorHAnsi"/>
          <w:b/>
          <w:color w:val="4D5CA7"/>
        </w:rPr>
      </w:pPr>
      <w:r>
        <w:t>L</w:t>
      </w:r>
    </w:p>
    <w:p w:rsidR="00EE27FF" w:rsidRPr="00EE27FF" w:rsidRDefault="00EE27FF" w:rsidP="00EE27FF">
      <w:pPr>
        <w:tabs>
          <w:tab w:val="left" w:pos="1134"/>
        </w:tabs>
        <w:jc w:val="both"/>
        <w:rPr>
          <w:rFonts w:asciiTheme="minorHAnsi" w:hAnsiTheme="minorHAnsi"/>
          <w:b/>
          <w:color w:val="4D5CA7"/>
        </w:rPr>
      </w:pPr>
    </w:p>
    <w:p w:rsidR="00EE27FF" w:rsidRDefault="00EE27FF" w:rsidP="00813A11">
      <w:pPr>
        <w:tabs>
          <w:tab w:val="left" w:pos="1134"/>
        </w:tabs>
        <w:jc w:val="both"/>
        <w:rPr>
          <w:rFonts w:asciiTheme="minorHAnsi" w:hAnsiTheme="minorHAnsi"/>
          <w:b/>
          <w:color w:val="4D5CA7"/>
        </w:rPr>
      </w:pPr>
    </w:p>
    <w:p w:rsidR="00813A11" w:rsidRPr="008E7D41" w:rsidRDefault="0072569C" w:rsidP="00813A11">
      <w:pPr>
        <w:tabs>
          <w:tab w:val="left" w:pos="1134"/>
        </w:tabs>
        <w:jc w:val="both"/>
        <w:rPr>
          <w:rFonts w:asciiTheme="minorHAnsi" w:hAnsiTheme="minorHAnsi"/>
          <w:b/>
          <w:color w:val="4D5CA7"/>
        </w:rPr>
      </w:pPr>
      <w:r>
        <w:t>dans la mesure où aucun de ces pays ne soumet les revenus à imposition et que les bénéfices tirés de l’activité de ces sociétés peuvent faire l’objet d’un versement sous forme de dividendes aux associés basés au royaume avenue Cécile Traore, 09510 Legrand-sur-Mer sans paiement de retenue à la source.</w:t>
      </w:r>
    </w:p>
    <w:p w:rsidR="00A55559" w:rsidRPr="008E7D41" w:rsidRDefault="00A55559" w:rsidP="00813A11">
      <w:pPr>
        <w:tabs>
          <w:tab w:val="left" w:pos="1134"/>
        </w:tabs>
        <w:jc w:val="both"/>
        <w:rPr>
          <w:rFonts w:asciiTheme="minorHAnsi" w:hAnsiTheme="minorHAnsi"/>
          <w:b/>
          <w:color w:val="4D5CA7"/>
        </w:rPr>
      </w:pPr>
    </w:p>
    <w:p w:rsidR="00A55559" w:rsidRPr="008E7D41" w:rsidRDefault="002E44BF" w:rsidP="00813A11">
      <w:pPr>
        <w:tabs>
          <w:tab w:val="left" w:pos="1134"/>
        </w:tabs>
        <w:jc w:val="both"/>
        <w:rPr>
          <w:rFonts w:asciiTheme="minorHAnsi" w:hAnsiTheme="minorHAnsi"/>
          <w:b/>
          <w:color w:val="4D5CA7"/>
        </w:rPr>
      </w:pPr>
      <w:r>
        <w:t>Patrick du Mahe, il est à noter qu’en utilisant l’un de ces trois pays comme lieu d’implantation de vos sociétés l’apport en capital pour leur lancement ne donnera lieu ni à imposition dans le pays considéré ni au paiement d’une retenue à la source en cas de versement de dividendes.</w:t>
      </w:r>
    </w:p>
    <w:p w:rsidR="002E44BF" w:rsidRPr="008E7D41" w:rsidRDefault="002E44BF" w:rsidP="00813A11">
      <w:pPr>
        <w:tabs>
          <w:tab w:val="left" w:pos="1134"/>
        </w:tabs>
        <w:jc w:val="both"/>
        <w:rPr>
          <w:rFonts w:asciiTheme="minorHAnsi" w:hAnsiTheme="minorHAnsi"/>
          <w:b/>
          <w:color w:val="4D5CA7"/>
        </w:rPr>
      </w:pPr>
    </w:p>
    <w:p w:rsidR="002E44BF" w:rsidRPr="008E7D41" w:rsidRDefault="002E44BF" w:rsidP="00813A11">
      <w:pPr>
        <w:tabs>
          <w:tab w:val="left" w:pos="1134"/>
        </w:tabs>
        <w:jc w:val="both"/>
        <w:rPr>
          <w:rFonts w:asciiTheme="minorHAnsi" w:hAnsiTheme="minorHAnsi"/>
          <w:b/>
          <w:color w:val="4D5CA7"/>
        </w:rPr>
      </w:pPr>
      <w:r>
        <w:t>Dorothée Duval, il est important de considérer l’aspect reporting international des données financières aux administrations fiscales du pays de nationalité et/ ou de résidence.</w:t>
      </w:r>
    </w:p>
    <w:p w:rsidR="002E44BF" w:rsidRPr="008E7D41" w:rsidRDefault="002E44BF" w:rsidP="00813A11">
      <w:pPr>
        <w:tabs>
          <w:tab w:val="left" w:pos="1134"/>
        </w:tabs>
        <w:jc w:val="both"/>
        <w:rPr>
          <w:rFonts w:asciiTheme="minorHAnsi" w:hAnsiTheme="minorHAnsi"/>
          <w:b/>
          <w:color w:val="4D5CA7"/>
        </w:rPr>
      </w:pPr>
    </w:p>
    <w:p w:rsidR="002E44BF" w:rsidRPr="008E7D41" w:rsidRDefault="002E44BF" w:rsidP="00813A11">
      <w:pPr>
        <w:tabs>
          <w:tab w:val="left" w:pos="1134"/>
        </w:tabs>
        <w:jc w:val="both"/>
        <w:rPr>
          <w:rFonts w:asciiTheme="minorHAnsi" w:hAnsiTheme="minorHAnsi"/>
          <w:b/>
          <w:color w:val="4D5CA7"/>
        </w:rPr>
      </w:pPr>
      <w:r>
        <w:t>De fait, si l’on souhaite éviter Suzanne Lamy-Pelletier aux administrations fiscales françaises en particulier, il convient soit de choisir d’implanter les sociétés au Belize soit d’implanter une société dans chacun des trois pays énumérés mais avec des comptes bancaires dans des pays n’ayant pas ratifié le protocole d’échange automatique d’informations (CRS).</w:t>
      </w:r>
    </w:p>
    <w:p w:rsidR="00813A11" w:rsidRDefault="00813A11" w:rsidP="000812EC">
      <w:pPr>
        <w:tabs>
          <w:tab w:val="left" w:pos="1134"/>
        </w:tabs>
        <w:jc w:val="both"/>
        <w:rPr>
          <w:rFonts w:ascii="Calibri" w:hAnsi="Calibri"/>
          <w:color w:val="000000"/>
        </w:rPr>
      </w:pPr>
    </w:p>
    <w:p w:rsidR="002E44BF" w:rsidRPr="001E5F20" w:rsidRDefault="002E44BF" w:rsidP="000812EC">
      <w:pPr>
        <w:tabs>
          <w:tab w:val="left" w:pos="1134"/>
        </w:tabs>
        <w:jc w:val="both"/>
        <w:rPr>
          <w:rFonts w:ascii="Calibri" w:hAnsi="Calibri"/>
          <w:color w:val="000000"/>
        </w:rPr>
      </w:pPr>
    </w:p>
    <w:sectPr w:rsidR="002E44BF" w:rsidRPr="001E5F20" w:rsidSect="00D92FCA">
      <w:headerReference w:type="default" r:id="rId7"/>
      <w:foot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7F75" w:rsidRDefault="00357F75" w:rsidP="006B149A">
      <w:r>
        <w:separator/>
      </w:r>
    </w:p>
  </w:endnote>
  <w:endnote w:type="continuationSeparator" w:id="0">
    <w:p w:rsidR="00357F75" w:rsidRDefault="00357F75" w:rsidP="006B1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T Sans">
    <w:panose1 w:val="020B0503020203020204"/>
    <w:charset w:val="4D"/>
    <w:family w:val="swiss"/>
    <w:pitch w:val="variable"/>
    <w:sig w:usb0="A00002EF" w:usb1="5000204B" w:usb2="00000000" w:usb3="00000000" w:csb0="00000097" w:csb1="00000000"/>
  </w:font>
  <w:font w:name="Fira Sans">
    <w:altName w:val="Cambria"/>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7FF" w:rsidRDefault="00EE27FF">
    <w:pPr>
      <w:pStyle w:val="Pieddepage"/>
    </w:pPr>
  </w:p>
  <w:p w:rsidR="00EE27FF" w:rsidRPr="008B05B4" w:rsidRDefault="00EE27FF" w:rsidP="006B149A">
    <w:pPr>
      <w:pStyle w:val="Pieddepage"/>
      <w:jc w:val="center"/>
      <w:rPr>
        <w:color w:val="4D5CA7"/>
        <w:sz w:val="18"/>
        <w:szCs w:val="18"/>
        <w:lang w:val="en-US"/>
      </w:rPr>
    </w:pPr>
    <w:r w:rsidRPr="008B05B4">
      <w:rPr>
        <w:color w:val="4D5CA7"/>
        <w:sz w:val="18"/>
        <w:szCs w:val="18"/>
        <w:lang w:val="en-US"/>
      </w:rPr>
      <w:t>CHALM Group Limited</w:t>
    </w:r>
  </w:p>
  <w:p w:rsidR="00EE27FF" w:rsidRPr="00036643" w:rsidRDefault="00EE27FF" w:rsidP="006B149A">
    <w:pPr>
      <w:jc w:val="center"/>
      <w:rPr>
        <w:rFonts w:cs="Calibri"/>
        <w:color w:val="4D5CA7"/>
        <w:sz w:val="18"/>
        <w:szCs w:val="18"/>
        <w:shd w:val="clear" w:color="auto" w:fill="FFFFFF"/>
        <w:lang w:val="en-US"/>
      </w:rPr>
    </w:pPr>
    <w:r w:rsidRPr="00036643">
      <w:rPr>
        <w:rFonts w:cs="Calibri"/>
        <w:color w:val="4D5CA7"/>
        <w:sz w:val="18"/>
        <w:szCs w:val="18"/>
        <w:shd w:val="clear" w:color="auto" w:fill="FFFFFF"/>
        <w:lang w:val="en-US"/>
      </w:rPr>
      <w:t xml:space="preserve">71-75 Shelton Street, Covent Garden, London, England, WC2H 9JQ </w:t>
    </w:r>
  </w:p>
  <w:p w:rsidR="00EE27FF" w:rsidRPr="00036643" w:rsidRDefault="00EE27FF" w:rsidP="006B149A">
    <w:pPr>
      <w:jc w:val="center"/>
      <w:rPr>
        <w:rFonts w:cs="Calibri"/>
        <w:color w:val="4D5CA7"/>
        <w:sz w:val="18"/>
        <w:szCs w:val="18"/>
        <w:shd w:val="clear" w:color="auto" w:fill="FFFFFF"/>
        <w:lang w:val="en-US"/>
      </w:rPr>
    </w:pPr>
    <w:r w:rsidRPr="00036643">
      <w:rPr>
        <w:rFonts w:cs="Calibri"/>
        <w:color w:val="4D5CA7"/>
        <w:sz w:val="18"/>
        <w:szCs w:val="18"/>
        <w:shd w:val="clear" w:color="auto" w:fill="FFFFFF"/>
        <w:lang w:val="en-US"/>
      </w:rPr>
      <w:t>Registered in England and Wales under the number 11202339</w:t>
    </w:r>
  </w:p>
  <w:p w:rsidR="00EE27FF" w:rsidRPr="00036643" w:rsidRDefault="00EE27FF" w:rsidP="006B149A">
    <w:pPr>
      <w:jc w:val="center"/>
      <w:rPr>
        <w:rFonts w:cs="Calibri"/>
        <w:color w:val="4D5CA7"/>
        <w:sz w:val="18"/>
        <w:szCs w:val="18"/>
        <w:lang w:val="en-US"/>
      </w:rPr>
    </w:pPr>
    <w:r w:rsidRPr="00036643">
      <w:rPr>
        <w:rFonts w:cs="Calibri"/>
        <w:color w:val="4D5CA7"/>
        <w:sz w:val="18"/>
        <w:szCs w:val="18"/>
        <w:lang w:val="en-US"/>
      </w:rPr>
      <w:t>VAT number:289917628</w:t>
    </w:r>
  </w:p>
  <w:p w:rsidR="00EE27FF" w:rsidRPr="006B149A" w:rsidRDefault="00EE27FF">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7F75" w:rsidRDefault="00357F75" w:rsidP="006B149A">
      <w:r>
        <w:separator/>
      </w:r>
    </w:p>
  </w:footnote>
  <w:footnote w:type="continuationSeparator" w:id="0">
    <w:p w:rsidR="00357F75" w:rsidRDefault="00357F75" w:rsidP="006B1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7FF" w:rsidRDefault="00EE27FF" w:rsidP="006B149A">
    <w:pPr>
      <w:pStyle w:val="En-tte"/>
      <w:jc w:val="center"/>
    </w:pPr>
    <w:r w:rsidRPr="00190EC3">
      <w:rPr>
        <w:noProof/>
      </w:rPr>
      <w:drawing>
        <wp:inline distT="0" distB="0" distL="0" distR="0">
          <wp:extent cx="635000" cy="635000"/>
          <wp:effectExtent l="0" t="0" r="0" b="0"/>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47F3E"/>
    <w:multiLevelType w:val="hybridMultilevel"/>
    <w:tmpl w:val="A1F01948"/>
    <w:lvl w:ilvl="0" w:tplc="040C0009">
      <w:start w:val="1"/>
      <w:numFmt w:val="bullet"/>
      <w:lvlText w:val=""/>
      <w:lvlJc w:val="left"/>
      <w:pPr>
        <w:ind w:left="2832" w:hanging="360"/>
      </w:pPr>
      <w:rPr>
        <w:rFonts w:ascii="Wingdings" w:hAnsi="Wingdings" w:hint="default"/>
      </w:rPr>
    </w:lvl>
    <w:lvl w:ilvl="1" w:tplc="040C0003" w:tentative="1">
      <w:start w:val="1"/>
      <w:numFmt w:val="bullet"/>
      <w:lvlText w:val="o"/>
      <w:lvlJc w:val="left"/>
      <w:pPr>
        <w:ind w:left="3552" w:hanging="360"/>
      </w:pPr>
      <w:rPr>
        <w:rFonts w:ascii="Courier New" w:hAnsi="Courier New" w:hint="default"/>
      </w:rPr>
    </w:lvl>
    <w:lvl w:ilvl="2" w:tplc="040C0005" w:tentative="1">
      <w:start w:val="1"/>
      <w:numFmt w:val="bullet"/>
      <w:lvlText w:val=""/>
      <w:lvlJc w:val="left"/>
      <w:pPr>
        <w:ind w:left="4272" w:hanging="360"/>
      </w:pPr>
      <w:rPr>
        <w:rFonts w:ascii="Wingdings" w:hAnsi="Wingdings" w:hint="default"/>
      </w:rPr>
    </w:lvl>
    <w:lvl w:ilvl="3" w:tplc="040C0001" w:tentative="1">
      <w:start w:val="1"/>
      <w:numFmt w:val="bullet"/>
      <w:lvlText w:val=""/>
      <w:lvlJc w:val="left"/>
      <w:pPr>
        <w:ind w:left="4992" w:hanging="360"/>
      </w:pPr>
      <w:rPr>
        <w:rFonts w:ascii="Symbol" w:hAnsi="Symbol" w:hint="default"/>
      </w:rPr>
    </w:lvl>
    <w:lvl w:ilvl="4" w:tplc="040C0003" w:tentative="1">
      <w:start w:val="1"/>
      <w:numFmt w:val="bullet"/>
      <w:lvlText w:val="o"/>
      <w:lvlJc w:val="left"/>
      <w:pPr>
        <w:ind w:left="5712" w:hanging="360"/>
      </w:pPr>
      <w:rPr>
        <w:rFonts w:ascii="Courier New" w:hAnsi="Courier New" w:hint="default"/>
      </w:rPr>
    </w:lvl>
    <w:lvl w:ilvl="5" w:tplc="040C0005" w:tentative="1">
      <w:start w:val="1"/>
      <w:numFmt w:val="bullet"/>
      <w:lvlText w:val=""/>
      <w:lvlJc w:val="left"/>
      <w:pPr>
        <w:ind w:left="6432" w:hanging="360"/>
      </w:pPr>
      <w:rPr>
        <w:rFonts w:ascii="Wingdings" w:hAnsi="Wingdings" w:hint="default"/>
      </w:rPr>
    </w:lvl>
    <w:lvl w:ilvl="6" w:tplc="040C0001" w:tentative="1">
      <w:start w:val="1"/>
      <w:numFmt w:val="bullet"/>
      <w:lvlText w:val=""/>
      <w:lvlJc w:val="left"/>
      <w:pPr>
        <w:ind w:left="7152" w:hanging="360"/>
      </w:pPr>
      <w:rPr>
        <w:rFonts w:ascii="Symbol" w:hAnsi="Symbol" w:hint="default"/>
      </w:rPr>
    </w:lvl>
    <w:lvl w:ilvl="7" w:tplc="040C0003" w:tentative="1">
      <w:start w:val="1"/>
      <w:numFmt w:val="bullet"/>
      <w:lvlText w:val="o"/>
      <w:lvlJc w:val="left"/>
      <w:pPr>
        <w:ind w:left="7872" w:hanging="360"/>
      </w:pPr>
      <w:rPr>
        <w:rFonts w:ascii="Courier New" w:hAnsi="Courier New" w:hint="default"/>
      </w:rPr>
    </w:lvl>
    <w:lvl w:ilvl="8" w:tplc="040C0005" w:tentative="1">
      <w:start w:val="1"/>
      <w:numFmt w:val="bullet"/>
      <w:lvlText w:val=""/>
      <w:lvlJc w:val="left"/>
      <w:pPr>
        <w:ind w:left="8592" w:hanging="360"/>
      </w:pPr>
      <w:rPr>
        <w:rFonts w:ascii="Wingdings" w:hAnsi="Wingdings" w:hint="default"/>
      </w:rPr>
    </w:lvl>
  </w:abstractNum>
  <w:abstractNum w:abstractNumId="1" w15:restartNumberingAfterBreak="0">
    <w:nsid w:val="007A76EA"/>
    <w:multiLevelType w:val="hybridMultilevel"/>
    <w:tmpl w:val="5E2E60D0"/>
    <w:lvl w:ilvl="0" w:tplc="040C0005">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 w15:restartNumberingAfterBreak="0">
    <w:nsid w:val="01BB003C"/>
    <w:multiLevelType w:val="hybridMultilevel"/>
    <w:tmpl w:val="938002E4"/>
    <w:lvl w:ilvl="0" w:tplc="040C0009">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 w15:restartNumberingAfterBreak="0">
    <w:nsid w:val="0C7810CD"/>
    <w:multiLevelType w:val="hybridMultilevel"/>
    <w:tmpl w:val="5BA8A4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575A41"/>
    <w:multiLevelType w:val="hybridMultilevel"/>
    <w:tmpl w:val="0E36A44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085040"/>
    <w:multiLevelType w:val="hybridMultilevel"/>
    <w:tmpl w:val="C6A05F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E27B55"/>
    <w:multiLevelType w:val="hybridMultilevel"/>
    <w:tmpl w:val="79A4F5F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0E4363F"/>
    <w:multiLevelType w:val="hybridMultilevel"/>
    <w:tmpl w:val="B88C797C"/>
    <w:lvl w:ilvl="0" w:tplc="4C223432">
      <w:start w:val="1"/>
      <w:numFmt w:val="decimal"/>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8" w15:restartNumberingAfterBreak="0">
    <w:nsid w:val="119542EF"/>
    <w:multiLevelType w:val="hybridMultilevel"/>
    <w:tmpl w:val="11EAA8A6"/>
    <w:lvl w:ilvl="0" w:tplc="040C0005">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9" w15:restartNumberingAfterBreak="0">
    <w:nsid w:val="14023EE8"/>
    <w:multiLevelType w:val="hybridMultilevel"/>
    <w:tmpl w:val="252EA8C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4652737"/>
    <w:multiLevelType w:val="hybridMultilevel"/>
    <w:tmpl w:val="68E2FF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72768A0"/>
    <w:multiLevelType w:val="hybridMultilevel"/>
    <w:tmpl w:val="457E89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E025F92"/>
    <w:multiLevelType w:val="hybridMultilevel"/>
    <w:tmpl w:val="0068E960"/>
    <w:lvl w:ilvl="0" w:tplc="3D26628C">
      <w:start w:val="1"/>
      <w:numFmt w:val="lowerLetter"/>
      <w:lvlText w:val="%1)"/>
      <w:lvlJc w:val="left"/>
      <w:pPr>
        <w:ind w:left="2060" w:hanging="360"/>
      </w:pPr>
      <w:rPr>
        <w:rFonts w:hint="default"/>
      </w:rPr>
    </w:lvl>
    <w:lvl w:ilvl="1" w:tplc="040C0019" w:tentative="1">
      <w:start w:val="1"/>
      <w:numFmt w:val="lowerLetter"/>
      <w:lvlText w:val="%2."/>
      <w:lvlJc w:val="left"/>
      <w:pPr>
        <w:ind w:left="2780" w:hanging="360"/>
      </w:pPr>
    </w:lvl>
    <w:lvl w:ilvl="2" w:tplc="040C001B" w:tentative="1">
      <w:start w:val="1"/>
      <w:numFmt w:val="lowerRoman"/>
      <w:lvlText w:val="%3."/>
      <w:lvlJc w:val="right"/>
      <w:pPr>
        <w:ind w:left="3500" w:hanging="180"/>
      </w:pPr>
    </w:lvl>
    <w:lvl w:ilvl="3" w:tplc="040C000F" w:tentative="1">
      <w:start w:val="1"/>
      <w:numFmt w:val="decimal"/>
      <w:lvlText w:val="%4."/>
      <w:lvlJc w:val="left"/>
      <w:pPr>
        <w:ind w:left="4220" w:hanging="360"/>
      </w:pPr>
    </w:lvl>
    <w:lvl w:ilvl="4" w:tplc="040C0019" w:tentative="1">
      <w:start w:val="1"/>
      <w:numFmt w:val="lowerLetter"/>
      <w:lvlText w:val="%5."/>
      <w:lvlJc w:val="left"/>
      <w:pPr>
        <w:ind w:left="4940" w:hanging="360"/>
      </w:pPr>
    </w:lvl>
    <w:lvl w:ilvl="5" w:tplc="040C001B" w:tentative="1">
      <w:start w:val="1"/>
      <w:numFmt w:val="lowerRoman"/>
      <w:lvlText w:val="%6."/>
      <w:lvlJc w:val="right"/>
      <w:pPr>
        <w:ind w:left="5660" w:hanging="180"/>
      </w:pPr>
    </w:lvl>
    <w:lvl w:ilvl="6" w:tplc="040C000F" w:tentative="1">
      <w:start w:val="1"/>
      <w:numFmt w:val="decimal"/>
      <w:lvlText w:val="%7."/>
      <w:lvlJc w:val="left"/>
      <w:pPr>
        <w:ind w:left="6380" w:hanging="360"/>
      </w:pPr>
    </w:lvl>
    <w:lvl w:ilvl="7" w:tplc="040C0019" w:tentative="1">
      <w:start w:val="1"/>
      <w:numFmt w:val="lowerLetter"/>
      <w:lvlText w:val="%8."/>
      <w:lvlJc w:val="left"/>
      <w:pPr>
        <w:ind w:left="7100" w:hanging="360"/>
      </w:pPr>
    </w:lvl>
    <w:lvl w:ilvl="8" w:tplc="040C001B" w:tentative="1">
      <w:start w:val="1"/>
      <w:numFmt w:val="lowerRoman"/>
      <w:lvlText w:val="%9."/>
      <w:lvlJc w:val="right"/>
      <w:pPr>
        <w:ind w:left="7820" w:hanging="180"/>
      </w:pPr>
    </w:lvl>
  </w:abstractNum>
  <w:abstractNum w:abstractNumId="13" w15:restartNumberingAfterBreak="0">
    <w:nsid w:val="1F1225BD"/>
    <w:multiLevelType w:val="hybridMultilevel"/>
    <w:tmpl w:val="E6E0C03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2AD75E8"/>
    <w:multiLevelType w:val="hybridMultilevel"/>
    <w:tmpl w:val="198434E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69B3AEA"/>
    <w:multiLevelType w:val="multilevel"/>
    <w:tmpl w:val="E1EA8638"/>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D5148"/>
    <w:multiLevelType w:val="hybridMultilevel"/>
    <w:tmpl w:val="F18E61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C0E52A7"/>
    <w:multiLevelType w:val="hybridMultilevel"/>
    <w:tmpl w:val="55B0940C"/>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72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CCF49F2"/>
    <w:multiLevelType w:val="hybridMultilevel"/>
    <w:tmpl w:val="384056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3685939"/>
    <w:multiLevelType w:val="hybridMultilevel"/>
    <w:tmpl w:val="6BD44502"/>
    <w:lvl w:ilvl="0" w:tplc="040C0009">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0" w15:restartNumberingAfterBreak="0">
    <w:nsid w:val="36330D3C"/>
    <w:multiLevelType w:val="hybridMultilevel"/>
    <w:tmpl w:val="716EEB7C"/>
    <w:lvl w:ilvl="0" w:tplc="040C000B">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1" w15:restartNumberingAfterBreak="0">
    <w:nsid w:val="395B0F26"/>
    <w:multiLevelType w:val="hybridMultilevel"/>
    <w:tmpl w:val="AFE8C3CA"/>
    <w:lvl w:ilvl="0" w:tplc="040C0005">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2" w15:restartNumberingAfterBreak="0">
    <w:nsid w:val="39DB39ED"/>
    <w:multiLevelType w:val="hybridMultilevel"/>
    <w:tmpl w:val="F6E0873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A616439"/>
    <w:multiLevelType w:val="hybridMultilevel"/>
    <w:tmpl w:val="3B940D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B01632F"/>
    <w:multiLevelType w:val="hybridMultilevel"/>
    <w:tmpl w:val="A334972C"/>
    <w:lvl w:ilvl="0" w:tplc="040C0005">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5" w15:restartNumberingAfterBreak="0">
    <w:nsid w:val="3F211401"/>
    <w:multiLevelType w:val="hybridMultilevel"/>
    <w:tmpl w:val="46EC46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8344918"/>
    <w:multiLevelType w:val="hybridMultilevel"/>
    <w:tmpl w:val="A7B675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AE441C3"/>
    <w:multiLevelType w:val="hybridMultilevel"/>
    <w:tmpl w:val="F5461556"/>
    <w:lvl w:ilvl="0" w:tplc="94B09B86">
      <w:start w:val="1"/>
      <w:numFmt w:val="decimal"/>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28" w15:restartNumberingAfterBreak="0">
    <w:nsid w:val="4B815406"/>
    <w:multiLevelType w:val="hybridMultilevel"/>
    <w:tmpl w:val="5DAC02B0"/>
    <w:lvl w:ilvl="0" w:tplc="72F4982E">
      <w:numFmt w:val="bullet"/>
      <w:lvlText w:val="-"/>
      <w:lvlJc w:val="left"/>
      <w:pPr>
        <w:ind w:left="720" w:hanging="360"/>
      </w:pPr>
      <w:rPr>
        <w:rFonts w:ascii="Calibri" w:eastAsia="Times New Roma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FBA4926"/>
    <w:multiLevelType w:val="hybridMultilevel"/>
    <w:tmpl w:val="1442AA2E"/>
    <w:lvl w:ilvl="0" w:tplc="040C000F">
      <w:start w:val="1"/>
      <w:numFmt w:val="decimal"/>
      <w:lvlText w:val="%1."/>
      <w:lvlJc w:val="left"/>
      <w:pPr>
        <w:ind w:left="1776" w:hanging="360"/>
      </w:p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0" w15:restartNumberingAfterBreak="0">
    <w:nsid w:val="51BD14EC"/>
    <w:multiLevelType w:val="hybridMultilevel"/>
    <w:tmpl w:val="87C8A4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3D732E0"/>
    <w:multiLevelType w:val="hybridMultilevel"/>
    <w:tmpl w:val="E7123514"/>
    <w:lvl w:ilvl="0" w:tplc="040C0009">
      <w:start w:val="1"/>
      <w:numFmt w:val="bullet"/>
      <w:lvlText w:val=""/>
      <w:lvlJc w:val="left"/>
      <w:pPr>
        <w:ind w:left="2204" w:hanging="360"/>
      </w:pPr>
      <w:rPr>
        <w:rFonts w:ascii="Wingdings" w:hAnsi="Wingdings" w:hint="default"/>
      </w:rPr>
    </w:lvl>
    <w:lvl w:ilvl="1" w:tplc="040C0003">
      <w:start w:val="1"/>
      <w:numFmt w:val="bullet"/>
      <w:lvlText w:val="o"/>
      <w:lvlJc w:val="left"/>
      <w:pPr>
        <w:ind w:left="2004" w:hanging="360"/>
      </w:pPr>
      <w:rPr>
        <w:rFonts w:ascii="Courier New" w:hAnsi="Courier New" w:cs="Courier New" w:hint="default"/>
      </w:rPr>
    </w:lvl>
    <w:lvl w:ilvl="2" w:tplc="040C0005" w:tentative="1">
      <w:start w:val="1"/>
      <w:numFmt w:val="bullet"/>
      <w:lvlText w:val=""/>
      <w:lvlJc w:val="left"/>
      <w:pPr>
        <w:ind w:left="2724" w:hanging="360"/>
      </w:pPr>
      <w:rPr>
        <w:rFonts w:ascii="Wingdings" w:hAnsi="Wingdings" w:hint="default"/>
      </w:rPr>
    </w:lvl>
    <w:lvl w:ilvl="3" w:tplc="040C0001" w:tentative="1">
      <w:start w:val="1"/>
      <w:numFmt w:val="bullet"/>
      <w:lvlText w:val=""/>
      <w:lvlJc w:val="left"/>
      <w:pPr>
        <w:ind w:left="3444" w:hanging="360"/>
      </w:pPr>
      <w:rPr>
        <w:rFonts w:ascii="Symbol" w:hAnsi="Symbol" w:hint="default"/>
      </w:rPr>
    </w:lvl>
    <w:lvl w:ilvl="4" w:tplc="040C0003" w:tentative="1">
      <w:start w:val="1"/>
      <w:numFmt w:val="bullet"/>
      <w:lvlText w:val="o"/>
      <w:lvlJc w:val="left"/>
      <w:pPr>
        <w:ind w:left="4164" w:hanging="360"/>
      </w:pPr>
      <w:rPr>
        <w:rFonts w:ascii="Courier New" w:hAnsi="Courier New" w:cs="Courier New" w:hint="default"/>
      </w:rPr>
    </w:lvl>
    <w:lvl w:ilvl="5" w:tplc="040C0005" w:tentative="1">
      <w:start w:val="1"/>
      <w:numFmt w:val="bullet"/>
      <w:lvlText w:val=""/>
      <w:lvlJc w:val="left"/>
      <w:pPr>
        <w:ind w:left="4884" w:hanging="360"/>
      </w:pPr>
      <w:rPr>
        <w:rFonts w:ascii="Wingdings" w:hAnsi="Wingdings" w:hint="default"/>
      </w:rPr>
    </w:lvl>
    <w:lvl w:ilvl="6" w:tplc="040C0001" w:tentative="1">
      <w:start w:val="1"/>
      <w:numFmt w:val="bullet"/>
      <w:lvlText w:val=""/>
      <w:lvlJc w:val="left"/>
      <w:pPr>
        <w:ind w:left="5604" w:hanging="360"/>
      </w:pPr>
      <w:rPr>
        <w:rFonts w:ascii="Symbol" w:hAnsi="Symbol" w:hint="default"/>
      </w:rPr>
    </w:lvl>
    <w:lvl w:ilvl="7" w:tplc="040C0003" w:tentative="1">
      <w:start w:val="1"/>
      <w:numFmt w:val="bullet"/>
      <w:lvlText w:val="o"/>
      <w:lvlJc w:val="left"/>
      <w:pPr>
        <w:ind w:left="6324" w:hanging="360"/>
      </w:pPr>
      <w:rPr>
        <w:rFonts w:ascii="Courier New" w:hAnsi="Courier New" w:cs="Courier New" w:hint="default"/>
      </w:rPr>
    </w:lvl>
    <w:lvl w:ilvl="8" w:tplc="040C0005" w:tentative="1">
      <w:start w:val="1"/>
      <w:numFmt w:val="bullet"/>
      <w:lvlText w:val=""/>
      <w:lvlJc w:val="left"/>
      <w:pPr>
        <w:ind w:left="7044" w:hanging="360"/>
      </w:pPr>
      <w:rPr>
        <w:rFonts w:ascii="Wingdings" w:hAnsi="Wingdings" w:hint="default"/>
      </w:rPr>
    </w:lvl>
  </w:abstractNum>
  <w:abstractNum w:abstractNumId="32" w15:restartNumberingAfterBreak="0">
    <w:nsid w:val="546E3A62"/>
    <w:multiLevelType w:val="hybridMultilevel"/>
    <w:tmpl w:val="FB2EC2C8"/>
    <w:lvl w:ilvl="0" w:tplc="040C0005">
      <w:start w:val="1"/>
      <w:numFmt w:val="bullet"/>
      <w:lvlText w:val=""/>
      <w:lvlJc w:val="left"/>
      <w:pPr>
        <w:ind w:left="720" w:hanging="360"/>
      </w:pPr>
      <w:rPr>
        <w:rFonts w:ascii="Wingdings" w:hAnsi="Wingdings" w:hint="default"/>
      </w:rPr>
    </w:lvl>
    <w:lvl w:ilvl="1" w:tplc="F0F2045E">
      <w:numFmt w:val="bullet"/>
      <w:lvlText w:val="•"/>
      <w:lvlJc w:val="left"/>
      <w:pPr>
        <w:ind w:left="1440" w:hanging="360"/>
      </w:pPr>
      <w:rPr>
        <w:rFonts w:ascii="Calibri" w:eastAsia="Times New Roman"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52823CB"/>
    <w:multiLevelType w:val="hybridMultilevel"/>
    <w:tmpl w:val="ADEA58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83F31D1"/>
    <w:multiLevelType w:val="hybridMultilevel"/>
    <w:tmpl w:val="A8C65B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91304F7"/>
    <w:multiLevelType w:val="hybridMultilevel"/>
    <w:tmpl w:val="3BA6D28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AC978AC"/>
    <w:multiLevelType w:val="hybridMultilevel"/>
    <w:tmpl w:val="40AC81B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B7B2134"/>
    <w:multiLevelType w:val="hybridMultilevel"/>
    <w:tmpl w:val="EC6EEB48"/>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38" w15:restartNumberingAfterBreak="0">
    <w:nsid w:val="6BF15AAC"/>
    <w:multiLevelType w:val="hybridMultilevel"/>
    <w:tmpl w:val="73D64D3E"/>
    <w:lvl w:ilvl="0" w:tplc="59CC5154">
      <w:start w:val="1"/>
      <w:numFmt w:val="decimal"/>
      <w:lvlText w:val="%1"/>
      <w:lvlJc w:val="left"/>
      <w:pPr>
        <w:ind w:left="1694" w:hanging="5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39" w15:restartNumberingAfterBreak="0">
    <w:nsid w:val="743578B1"/>
    <w:multiLevelType w:val="hybridMultilevel"/>
    <w:tmpl w:val="EA9AD20A"/>
    <w:lvl w:ilvl="0" w:tplc="040C0005">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0" w15:restartNumberingAfterBreak="0">
    <w:nsid w:val="78D71783"/>
    <w:multiLevelType w:val="hybridMultilevel"/>
    <w:tmpl w:val="BFB05F9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B7C1802"/>
    <w:multiLevelType w:val="hybridMultilevel"/>
    <w:tmpl w:val="8C5C289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C576FDA"/>
    <w:multiLevelType w:val="hybridMultilevel"/>
    <w:tmpl w:val="59686E2E"/>
    <w:lvl w:ilvl="0" w:tplc="4A88DA7C">
      <w:start w:val="1"/>
      <w:numFmt w:val="decimal"/>
      <w:lvlText w:val="%1."/>
      <w:lvlJc w:val="left"/>
      <w:pPr>
        <w:ind w:left="1780" w:hanging="360"/>
      </w:pPr>
      <w:rPr>
        <w:rFonts w:hint="default"/>
      </w:rPr>
    </w:lvl>
    <w:lvl w:ilvl="1" w:tplc="040C0019" w:tentative="1">
      <w:start w:val="1"/>
      <w:numFmt w:val="lowerLetter"/>
      <w:lvlText w:val="%2."/>
      <w:lvlJc w:val="left"/>
      <w:pPr>
        <w:ind w:left="2500" w:hanging="360"/>
      </w:pPr>
    </w:lvl>
    <w:lvl w:ilvl="2" w:tplc="040C001B" w:tentative="1">
      <w:start w:val="1"/>
      <w:numFmt w:val="lowerRoman"/>
      <w:lvlText w:val="%3."/>
      <w:lvlJc w:val="right"/>
      <w:pPr>
        <w:ind w:left="3220" w:hanging="180"/>
      </w:pPr>
    </w:lvl>
    <w:lvl w:ilvl="3" w:tplc="040C000F" w:tentative="1">
      <w:start w:val="1"/>
      <w:numFmt w:val="decimal"/>
      <w:lvlText w:val="%4."/>
      <w:lvlJc w:val="left"/>
      <w:pPr>
        <w:ind w:left="3940" w:hanging="360"/>
      </w:pPr>
    </w:lvl>
    <w:lvl w:ilvl="4" w:tplc="040C0019" w:tentative="1">
      <w:start w:val="1"/>
      <w:numFmt w:val="lowerLetter"/>
      <w:lvlText w:val="%5."/>
      <w:lvlJc w:val="left"/>
      <w:pPr>
        <w:ind w:left="4660" w:hanging="360"/>
      </w:pPr>
    </w:lvl>
    <w:lvl w:ilvl="5" w:tplc="040C001B" w:tentative="1">
      <w:start w:val="1"/>
      <w:numFmt w:val="lowerRoman"/>
      <w:lvlText w:val="%6."/>
      <w:lvlJc w:val="right"/>
      <w:pPr>
        <w:ind w:left="5380" w:hanging="180"/>
      </w:pPr>
    </w:lvl>
    <w:lvl w:ilvl="6" w:tplc="040C000F" w:tentative="1">
      <w:start w:val="1"/>
      <w:numFmt w:val="decimal"/>
      <w:lvlText w:val="%7."/>
      <w:lvlJc w:val="left"/>
      <w:pPr>
        <w:ind w:left="6100" w:hanging="360"/>
      </w:pPr>
    </w:lvl>
    <w:lvl w:ilvl="7" w:tplc="040C0019" w:tentative="1">
      <w:start w:val="1"/>
      <w:numFmt w:val="lowerLetter"/>
      <w:lvlText w:val="%8."/>
      <w:lvlJc w:val="left"/>
      <w:pPr>
        <w:ind w:left="6820" w:hanging="360"/>
      </w:pPr>
    </w:lvl>
    <w:lvl w:ilvl="8" w:tplc="040C001B" w:tentative="1">
      <w:start w:val="1"/>
      <w:numFmt w:val="lowerRoman"/>
      <w:lvlText w:val="%9."/>
      <w:lvlJc w:val="right"/>
      <w:pPr>
        <w:ind w:left="7540" w:hanging="180"/>
      </w:pPr>
    </w:lvl>
  </w:abstractNum>
  <w:abstractNum w:abstractNumId="43" w15:restartNumberingAfterBreak="0">
    <w:nsid w:val="7C8F54DC"/>
    <w:multiLevelType w:val="hybridMultilevel"/>
    <w:tmpl w:val="9B94F230"/>
    <w:lvl w:ilvl="0" w:tplc="040C0005">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4" w15:restartNumberingAfterBreak="0">
    <w:nsid w:val="7D475FF5"/>
    <w:multiLevelType w:val="hybridMultilevel"/>
    <w:tmpl w:val="2460E1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E251D20"/>
    <w:multiLevelType w:val="hybridMultilevel"/>
    <w:tmpl w:val="1B18A79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27"/>
  </w:num>
  <w:num w:numId="4">
    <w:abstractNumId w:val="20"/>
  </w:num>
  <w:num w:numId="5">
    <w:abstractNumId w:val="28"/>
  </w:num>
  <w:num w:numId="6">
    <w:abstractNumId w:val="37"/>
  </w:num>
  <w:num w:numId="7">
    <w:abstractNumId w:val="42"/>
  </w:num>
  <w:num w:numId="8">
    <w:abstractNumId w:val="9"/>
  </w:num>
  <w:num w:numId="9">
    <w:abstractNumId w:val="45"/>
  </w:num>
  <w:num w:numId="10">
    <w:abstractNumId w:val="11"/>
  </w:num>
  <w:num w:numId="11">
    <w:abstractNumId w:val="15"/>
  </w:num>
  <w:num w:numId="12">
    <w:abstractNumId w:val="5"/>
  </w:num>
  <w:num w:numId="13">
    <w:abstractNumId w:val="3"/>
  </w:num>
  <w:num w:numId="14">
    <w:abstractNumId w:val="31"/>
  </w:num>
  <w:num w:numId="15">
    <w:abstractNumId w:val="32"/>
  </w:num>
  <w:num w:numId="16">
    <w:abstractNumId w:val="12"/>
  </w:num>
  <w:num w:numId="17">
    <w:abstractNumId w:val="7"/>
  </w:num>
  <w:num w:numId="18">
    <w:abstractNumId w:val="23"/>
  </w:num>
  <w:num w:numId="19">
    <w:abstractNumId w:val="29"/>
  </w:num>
  <w:num w:numId="20">
    <w:abstractNumId w:val="40"/>
  </w:num>
  <w:num w:numId="21">
    <w:abstractNumId w:val="4"/>
  </w:num>
  <w:num w:numId="22">
    <w:abstractNumId w:val="34"/>
  </w:num>
  <w:num w:numId="23">
    <w:abstractNumId w:val="33"/>
  </w:num>
  <w:num w:numId="24">
    <w:abstractNumId w:val="0"/>
  </w:num>
  <w:num w:numId="25">
    <w:abstractNumId w:val="38"/>
  </w:num>
  <w:num w:numId="26">
    <w:abstractNumId w:val="2"/>
  </w:num>
  <w:num w:numId="27">
    <w:abstractNumId w:val="44"/>
  </w:num>
  <w:num w:numId="28">
    <w:abstractNumId w:val="16"/>
  </w:num>
  <w:num w:numId="29">
    <w:abstractNumId w:val="22"/>
  </w:num>
  <w:num w:numId="30">
    <w:abstractNumId w:val="18"/>
  </w:num>
  <w:num w:numId="31">
    <w:abstractNumId w:val="6"/>
  </w:num>
  <w:num w:numId="32">
    <w:abstractNumId w:val="10"/>
  </w:num>
  <w:num w:numId="33">
    <w:abstractNumId w:val="25"/>
  </w:num>
  <w:num w:numId="34">
    <w:abstractNumId w:val="41"/>
  </w:num>
  <w:num w:numId="35">
    <w:abstractNumId w:val="36"/>
  </w:num>
  <w:num w:numId="36">
    <w:abstractNumId w:val="30"/>
  </w:num>
  <w:num w:numId="37">
    <w:abstractNumId w:val="8"/>
  </w:num>
  <w:num w:numId="38">
    <w:abstractNumId w:val="24"/>
  </w:num>
  <w:num w:numId="39">
    <w:abstractNumId w:val="39"/>
  </w:num>
  <w:num w:numId="40">
    <w:abstractNumId w:val="21"/>
  </w:num>
  <w:num w:numId="41">
    <w:abstractNumId w:val="43"/>
  </w:num>
  <w:num w:numId="42">
    <w:abstractNumId w:val="17"/>
  </w:num>
  <w:num w:numId="43">
    <w:abstractNumId w:val="19"/>
  </w:num>
  <w:num w:numId="44">
    <w:abstractNumId w:val="35"/>
  </w:num>
  <w:num w:numId="45">
    <w:abstractNumId w:val="14"/>
  </w:num>
  <w:num w:numId="46">
    <w:abstractNumId w:val="2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49A"/>
    <w:rsid w:val="000055CA"/>
    <w:rsid w:val="000113DA"/>
    <w:rsid w:val="00011875"/>
    <w:rsid w:val="00026DC5"/>
    <w:rsid w:val="00030A0D"/>
    <w:rsid w:val="00036643"/>
    <w:rsid w:val="00043611"/>
    <w:rsid w:val="000538D4"/>
    <w:rsid w:val="00062FC1"/>
    <w:rsid w:val="000812EC"/>
    <w:rsid w:val="00084F56"/>
    <w:rsid w:val="000943BD"/>
    <w:rsid w:val="000D1535"/>
    <w:rsid w:val="000D1F43"/>
    <w:rsid w:val="000D20E8"/>
    <w:rsid w:val="00102C1F"/>
    <w:rsid w:val="00114040"/>
    <w:rsid w:val="00122CAD"/>
    <w:rsid w:val="00123BEC"/>
    <w:rsid w:val="00124C04"/>
    <w:rsid w:val="00151777"/>
    <w:rsid w:val="0015602B"/>
    <w:rsid w:val="00156FAB"/>
    <w:rsid w:val="0016024A"/>
    <w:rsid w:val="00161E25"/>
    <w:rsid w:val="0016366D"/>
    <w:rsid w:val="00197432"/>
    <w:rsid w:val="001B18A6"/>
    <w:rsid w:val="001B4609"/>
    <w:rsid w:val="001B532E"/>
    <w:rsid w:val="001B536A"/>
    <w:rsid w:val="001C4391"/>
    <w:rsid w:val="001C659F"/>
    <w:rsid w:val="001D1021"/>
    <w:rsid w:val="001D1FCE"/>
    <w:rsid w:val="001D2A74"/>
    <w:rsid w:val="001E5F20"/>
    <w:rsid w:val="001F2884"/>
    <w:rsid w:val="001F3E39"/>
    <w:rsid w:val="0021421B"/>
    <w:rsid w:val="00214C07"/>
    <w:rsid w:val="00221FFF"/>
    <w:rsid w:val="002520C6"/>
    <w:rsid w:val="00254F03"/>
    <w:rsid w:val="00271743"/>
    <w:rsid w:val="0029186D"/>
    <w:rsid w:val="002B2ACC"/>
    <w:rsid w:val="002B57AC"/>
    <w:rsid w:val="002C6A79"/>
    <w:rsid w:val="002C6EFB"/>
    <w:rsid w:val="002D6CCD"/>
    <w:rsid w:val="002E2E79"/>
    <w:rsid w:val="002E42D4"/>
    <w:rsid w:val="002E44BF"/>
    <w:rsid w:val="002F194A"/>
    <w:rsid w:val="002F3CFA"/>
    <w:rsid w:val="003034E6"/>
    <w:rsid w:val="003070B5"/>
    <w:rsid w:val="00312441"/>
    <w:rsid w:val="00323049"/>
    <w:rsid w:val="00344D0B"/>
    <w:rsid w:val="00357F75"/>
    <w:rsid w:val="0036185B"/>
    <w:rsid w:val="00373147"/>
    <w:rsid w:val="00377295"/>
    <w:rsid w:val="00385C85"/>
    <w:rsid w:val="00391FBB"/>
    <w:rsid w:val="00393877"/>
    <w:rsid w:val="00397113"/>
    <w:rsid w:val="003A505B"/>
    <w:rsid w:val="003D7878"/>
    <w:rsid w:val="003F472C"/>
    <w:rsid w:val="00413DE6"/>
    <w:rsid w:val="00417FE4"/>
    <w:rsid w:val="0042232D"/>
    <w:rsid w:val="0044510E"/>
    <w:rsid w:val="00464C0C"/>
    <w:rsid w:val="004A22A3"/>
    <w:rsid w:val="004C7555"/>
    <w:rsid w:val="004D3ADB"/>
    <w:rsid w:val="004F5F4E"/>
    <w:rsid w:val="00502697"/>
    <w:rsid w:val="005032A8"/>
    <w:rsid w:val="0050558D"/>
    <w:rsid w:val="0051641E"/>
    <w:rsid w:val="00520636"/>
    <w:rsid w:val="00522A99"/>
    <w:rsid w:val="00522CC0"/>
    <w:rsid w:val="00523219"/>
    <w:rsid w:val="00542820"/>
    <w:rsid w:val="005575B0"/>
    <w:rsid w:val="00574541"/>
    <w:rsid w:val="005A41E8"/>
    <w:rsid w:val="005A6876"/>
    <w:rsid w:val="005B3F52"/>
    <w:rsid w:val="005C7218"/>
    <w:rsid w:val="005D18BB"/>
    <w:rsid w:val="005D2C12"/>
    <w:rsid w:val="005E1C2D"/>
    <w:rsid w:val="005F0D8B"/>
    <w:rsid w:val="00627D08"/>
    <w:rsid w:val="00631CE8"/>
    <w:rsid w:val="0063660C"/>
    <w:rsid w:val="00636F41"/>
    <w:rsid w:val="00641614"/>
    <w:rsid w:val="006459C5"/>
    <w:rsid w:val="00661F8E"/>
    <w:rsid w:val="00666517"/>
    <w:rsid w:val="006B149A"/>
    <w:rsid w:val="006D5FD9"/>
    <w:rsid w:val="006E0B2C"/>
    <w:rsid w:val="006E25F3"/>
    <w:rsid w:val="006E76E6"/>
    <w:rsid w:val="006F1790"/>
    <w:rsid w:val="006F3AFC"/>
    <w:rsid w:val="006F5A9C"/>
    <w:rsid w:val="00725205"/>
    <w:rsid w:val="0072569C"/>
    <w:rsid w:val="00754DB2"/>
    <w:rsid w:val="0077147D"/>
    <w:rsid w:val="007820BA"/>
    <w:rsid w:val="00785857"/>
    <w:rsid w:val="007865E0"/>
    <w:rsid w:val="007977C2"/>
    <w:rsid w:val="007B5C29"/>
    <w:rsid w:val="007C2386"/>
    <w:rsid w:val="007C5B32"/>
    <w:rsid w:val="007E5609"/>
    <w:rsid w:val="007E7398"/>
    <w:rsid w:val="00805A54"/>
    <w:rsid w:val="00813A11"/>
    <w:rsid w:val="00836FE4"/>
    <w:rsid w:val="00844B00"/>
    <w:rsid w:val="008470D7"/>
    <w:rsid w:val="0084776E"/>
    <w:rsid w:val="00856205"/>
    <w:rsid w:val="00891041"/>
    <w:rsid w:val="0089161C"/>
    <w:rsid w:val="00895002"/>
    <w:rsid w:val="008B05B4"/>
    <w:rsid w:val="008C280A"/>
    <w:rsid w:val="008D69C7"/>
    <w:rsid w:val="008E27D3"/>
    <w:rsid w:val="008E7D41"/>
    <w:rsid w:val="00900F81"/>
    <w:rsid w:val="00930128"/>
    <w:rsid w:val="00932C69"/>
    <w:rsid w:val="0095500F"/>
    <w:rsid w:val="009575FE"/>
    <w:rsid w:val="00976072"/>
    <w:rsid w:val="009A5882"/>
    <w:rsid w:val="009B098A"/>
    <w:rsid w:val="009B4759"/>
    <w:rsid w:val="009E3F7A"/>
    <w:rsid w:val="009E5DA0"/>
    <w:rsid w:val="009F54B8"/>
    <w:rsid w:val="009F5D9A"/>
    <w:rsid w:val="00A143FA"/>
    <w:rsid w:val="00A42C2E"/>
    <w:rsid w:val="00A55559"/>
    <w:rsid w:val="00A6114C"/>
    <w:rsid w:val="00A633F8"/>
    <w:rsid w:val="00AA369B"/>
    <w:rsid w:val="00AB069F"/>
    <w:rsid w:val="00AB2BB8"/>
    <w:rsid w:val="00AD0BA7"/>
    <w:rsid w:val="00AD7F0C"/>
    <w:rsid w:val="00AD7FEF"/>
    <w:rsid w:val="00AE1042"/>
    <w:rsid w:val="00AE4D40"/>
    <w:rsid w:val="00AE6735"/>
    <w:rsid w:val="00AF442F"/>
    <w:rsid w:val="00B15665"/>
    <w:rsid w:val="00B16556"/>
    <w:rsid w:val="00B23806"/>
    <w:rsid w:val="00B248F9"/>
    <w:rsid w:val="00B30886"/>
    <w:rsid w:val="00B405E6"/>
    <w:rsid w:val="00B42CFB"/>
    <w:rsid w:val="00B529F3"/>
    <w:rsid w:val="00B63332"/>
    <w:rsid w:val="00B70DDA"/>
    <w:rsid w:val="00B81C17"/>
    <w:rsid w:val="00B85256"/>
    <w:rsid w:val="00B91A19"/>
    <w:rsid w:val="00B95AD2"/>
    <w:rsid w:val="00BC7F15"/>
    <w:rsid w:val="00BD7730"/>
    <w:rsid w:val="00BD7CE3"/>
    <w:rsid w:val="00C0496C"/>
    <w:rsid w:val="00C05ABF"/>
    <w:rsid w:val="00C17BCA"/>
    <w:rsid w:val="00C33AD1"/>
    <w:rsid w:val="00C3454D"/>
    <w:rsid w:val="00C3604D"/>
    <w:rsid w:val="00C374C1"/>
    <w:rsid w:val="00C423DB"/>
    <w:rsid w:val="00C5139E"/>
    <w:rsid w:val="00C51C37"/>
    <w:rsid w:val="00C67E1E"/>
    <w:rsid w:val="00C92346"/>
    <w:rsid w:val="00CC56C1"/>
    <w:rsid w:val="00CD1364"/>
    <w:rsid w:val="00CD1FEF"/>
    <w:rsid w:val="00CF3926"/>
    <w:rsid w:val="00D0611B"/>
    <w:rsid w:val="00D114E2"/>
    <w:rsid w:val="00D2311D"/>
    <w:rsid w:val="00D24CB8"/>
    <w:rsid w:val="00D64DB8"/>
    <w:rsid w:val="00D67405"/>
    <w:rsid w:val="00D80C9A"/>
    <w:rsid w:val="00D92FCA"/>
    <w:rsid w:val="00DA3492"/>
    <w:rsid w:val="00DC7FB1"/>
    <w:rsid w:val="00DD0654"/>
    <w:rsid w:val="00DF1824"/>
    <w:rsid w:val="00E07B07"/>
    <w:rsid w:val="00E23B37"/>
    <w:rsid w:val="00E30A03"/>
    <w:rsid w:val="00E56326"/>
    <w:rsid w:val="00E61202"/>
    <w:rsid w:val="00E660C6"/>
    <w:rsid w:val="00E71A1C"/>
    <w:rsid w:val="00E74FF6"/>
    <w:rsid w:val="00E76CA3"/>
    <w:rsid w:val="00E90788"/>
    <w:rsid w:val="00EA121C"/>
    <w:rsid w:val="00EA4E35"/>
    <w:rsid w:val="00ED143C"/>
    <w:rsid w:val="00EE27FF"/>
    <w:rsid w:val="00EE6670"/>
    <w:rsid w:val="00EF5607"/>
    <w:rsid w:val="00F01A1C"/>
    <w:rsid w:val="00F14AC0"/>
    <w:rsid w:val="00F17AA8"/>
    <w:rsid w:val="00F24E8F"/>
    <w:rsid w:val="00F308CF"/>
    <w:rsid w:val="00F376CF"/>
    <w:rsid w:val="00F3778A"/>
    <w:rsid w:val="00F412EC"/>
    <w:rsid w:val="00F46EC4"/>
    <w:rsid w:val="00F66ECA"/>
    <w:rsid w:val="00F71185"/>
    <w:rsid w:val="00F944DF"/>
    <w:rsid w:val="00FA2C13"/>
    <w:rsid w:val="00FA540E"/>
    <w:rsid w:val="00FB1897"/>
    <w:rsid w:val="00FB2FBD"/>
    <w:rsid w:val="00FC177B"/>
    <w:rsid w:val="00FD0798"/>
    <w:rsid w:val="00FD1F2E"/>
    <w:rsid w:val="00FD28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AC5D0C"/>
  <w15:docId w15:val="{9CBA3897-D6F2-F64D-A13C-058A1D65A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878"/>
    <w:rPr>
      <w:rFonts w:ascii="Times New Roman" w:eastAsia="Times New Roman" w:hAnsi="Times New Roman"/>
      <w:sz w:val="24"/>
      <w:szCs w:val="24"/>
    </w:rPr>
  </w:style>
  <w:style w:type="paragraph" w:styleId="Titre6">
    <w:name w:val="heading 6"/>
    <w:basedOn w:val="Normal"/>
    <w:link w:val="Titre6Car"/>
    <w:uiPriority w:val="9"/>
    <w:qFormat/>
    <w:rsid w:val="00AD7F0C"/>
    <w:pPr>
      <w:spacing w:before="100" w:beforeAutospacing="1" w:after="100" w:afterAutospacing="1"/>
      <w:outlineLvl w:val="5"/>
    </w:pPr>
    <w:rPr>
      <w:b/>
      <w:bCs/>
      <w:sz w:val="15"/>
      <w:szCs w:val="1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B149A"/>
    <w:pPr>
      <w:tabs>
        <w:tab w:val="center" w:pos="4536"/>
        <w:tab w:val="right" w:pos="9072"/>
      </w:tabs>
    </w:pPr>
  </w:style>
  <w:style w:type="character" w:customStyle="1" w:styleId="En-tteCar">
    <w:name w:val="En-tête Car"/>
    <w:basedOn w:val="Policepardfaut"/>
    <w:link w:val="En-tte"/>
    <w:uiPriority w:val="99"/>
    <w:rsid w:val="006B149A"/>
  </w:style>
  <w:style w:type="paragraph" w:styleId="Pieddepage">
    <w:name w:val="footer"/>
    <w:basedOn w:val="Normal"/>
    <w:link w:val="PieddepageCar"/>
    <w:uiPriority w:val="99"/>
    <w:unhideWhenUsed/>
    <w:rsid w:val="006B149A"/>
    <w:pPr>
      <w:tabs>
        <w:tab w:val="center" w:pos="4536"/>
        <w:tab w:val="right" w:pos="9072"/>
      </w:tabs>
    </w:pPr>
  </w:style>
  <w:style w:type="character" w:customStyle="1" w:styleId="PieddepageCar">
    <w:name w:val="Pied de page Car"/>
    <w:basedOn w:val="Policepardfaut"/>
    <w:link w:val="Pieddepage"/>
    <w:uiPriority w:val="99"/>
    <w:rsid w:val="006B149A"/>
  </w:style>
  <w:style w:type="paragraph" w:styleId="Textedebulles">
    <w:name w:val="Balloon Text"/>
    <w:basedOn w:val="Normal"/>
    <w:link w:val="TextedebullesCar"/>
    <w:uiPriority w:val="99"/>
    <w:semiHidden/>
    <w:unhideWhenUsed/>
    <w:rsid w:val="00836FE4"/>
    <w:rPr>
      <w:sz w:val="18"/>
      <w:szCs w:val="18"/>
    </w:rPr>
  </w:style>
  <w:style w:type="character" w:customStyle="1" w:styleId="TextedebullesCar">
    <w:name w:val="Texte de bulles Car"/>
    <w:link w:val="Textedebulles"/>
    <w:uiPriority w:val="99"/>
    <w:semiHidden/>
    <w:rsid w:val="00836FE4"/>
    <w:rPr>
      <w:rFonts w:ascii="Times New Roman" w:hAnsi="Times New Roman"/>
      <w:sz w:val="18"/>
      <w:szCs w:val="18"/>
      <w:lang w:eastAsia="en-US"/>
    </w:rPr>
  </w:style>
  <w:style w:type="paragraph" w:styleId="Paragraphedeliste">
    <w:name w:val="List Paragraph"/>
    <w:basedOn w:val="Normal"/>
    <w:uiPriority w:val="34"/>
    <w:qFormat/>
    <w:rsid w:val="00A633F8"/>
    <w:pPr>
      <w:ind w:left="708"/>
    </w:pPr>
  </w:style>
  <w:style w:type="character" w:customStyle="1" w:styleId="txt">
    <w:name w:val="txt"/>
    <w:rsid w:val="007977C2"/>
  </w:style>
  <w:style w:type="character" w:styleId="Lienhypertexte">
    <w:name w:val="Hyperlink"/>
    <w:uiPriority w:val="99"/>
    <w:semiHidden/>
    <w:unhideWhenUsed/>
    <w:rsid w:val="007977C2"/>
    <w:rPr>
      <w:color w:val="0000FF"/>
      <w:u w:val="single"/>
    </w:rPr>
  </w:style>
  <w:style w:type="character" w:customStyle="1" w:styleId="txtbold">
    <w:name w:val="txtbold"/>
    <w:rsid w:val="007977C2"/>
  </w:style>
  <w:style w:type="character" w:customStyle="1" w:styleId="qw-refdoc">
    <w:name w:val="qw-refdoc"/>
    <w:rsid w:val="000943BD"/>
  </w:style>
  <w:style w:type="character" w:customStyle="1" w:styleId="qw-art">
    <w:name w:val="qw-art"/>
    <w:rsid w:val="003D7878"/>
  </w:style>
  <w:style w:type="paragraph" w:styleId="NormalWeb">
    <w:name w:val="Normal (Web)"/>
    <w:basedOn w:val="Normal"/>
    <w:uiPriority w:val="99"/>
    <w:semiHidden/>
    <w:unhideWhenUsed/>
    <w:rsid w:val="001C4391"/>
    <w:pPr>
      <w:spacing w:before="100" w:beforeAutospacing="1" w:after="100" w:afterAutospacing="1"/>
    </w:pPr>
  </w:style>
  <w:style w:type="character" w:styleId="lev">
    <w:name w:val="Strong"/>
    <w:uiPriority w:val="22"/>
    <w:qFormat/>
    <w:rsid w:val="001C4391"/>
    <w:rPr>
      <w:b/>
      <w:bCs/>
    </w:rPr>
  </w:style>
  <w:style w:type="character" w:customStyle="1" w:styleId="apple-converted-space">
    <w:name w:val="apple-converted-space"/>
    <w:rsid w:val="00413DE6"/>
  </w:style>
  <w:style w:type="character" w:customStyle="1" w:styleId="t7">
    <w:name w:val="t7"/>
    <w:rsid w:val="00413DE6"/>
  </w:style>
  <w:style w:type="character" w:customStyle="1" w:styleId="t8">
    <w:name w:val="t8"/>
    <w:rsid w:val="00413DE6"/>
  </w:style>
  <w:style w:type="character" w:customStyle="1" w:styleId="t3">
    <w:name w:val="t3"/>
    <w:rsid w:val="00413DE6"/>
  </w:style>
  <w:style w:type="character" w:customStyle="1" w:styleId="art">
    <w:name w:val="art"/>
    <w:rsid w:val="006E25F3"/>
  </w:style>
  <w:style w:type="character" w:customStyle="1" w:styleId="txtexp">
    <w:name w:val="txtexp"/>
    <w:rsid w:val="006E25F3"/>
  </w:style>
  <w:style w:type="character" w:customStyle="1" w:styleId="txtexpbold">
    <w:name w:val="txtexpbold"/>
    <w:rsid w:val="006E25F3"/>
  </w:style>
  <w:style w:type="character" w:customStyle="1" w:styleId="expos">
    <w:name w:val="expos"/>
    <w:rsid w:val="006E25F3"/>
  </w:style>
  <w:style w:type="paragraph" w:customStyle="1" w:styleId="ElAppETSECTh4">
    <w:name w:val="ElApp_ETSECT_h4"/>
    <w:basedOn w:val="Normal"/>
    <w:rsid w:val="00785857"/>
    <w:pPr>
      <w:pBdr>
        <w:left w:val="none" w:sz="0" w:space="5" w:color="auto"/>
      </w:pBdr>
      <w:spacing w:line="360" w:lineRule="atLeast"/>
    </w:pPr>
    <w:rPr>
      <w:rFonts w:ascii="PT Sans" w:eastAsia="PT Sans" w:hAnsi="PT Sans" w:cs="PT Sans"/>
      <w:b/>
      <w:bCs/>
      <w:color w:val="333333"/>
      <w:sz w:val="32"/>
      <w:szCs w:val="32"/>
    </w:rPr>
  </w:style>
  <w:style w:type="character" w:customStyle="1" w:styleId="TI">
    <w:name w:val="TI"/>
    <w:basedOn w:val="Policepardfaut"/>
    <w:rsid w:val="00785857"/>
  </w:style>
  <w:style w:type="paragraph" w:customStyle="1" w:styleId="ElAppdivPNUM">
    <w:name w:val="ElApp_div_PNUM"/>
    <w:basedOn w:val="Normal"/>
    <w:rsid w:val="00785857"/>
  </w:style>
  <w:style w:type="character" w:customStyle="1" w:styleId="ElAppPNUMpNumberNum">
    <w:name w:val="ElApp_PNUM_pNumber_Num"/>
    <w:rsid w:val="00785857"/>
    <w:rPr>
      <w:b/>
      <w:bCs/>
      <w:color w:val="337EC6"/>
      <w:sz w:val="26"/>
      <w:szCs w:val="26"/>
    </w:rPr>
  </w:style>
  <w:style w:type="character" w:customStyle="1" w:styleId="ElAppPNUMpContent">
    <w:name w:val="ElApp_PNUM_pContent"/>
    <w:basedOn w:val="Policepardfaut"/>
    <w:rsid w:val="00785857"/>
  </w:style>
  <w:style w:type="character" w:customStyle="1" w:styleId="ElAppPNUMh6">
    <w:name w:val="ElApp_PNUM_h6"/>
    <w:rsid w:val="00785857"/>
    <w:rPr>
      <w:rFonts w:ascii="PT Sans" w:eastAsia="PT Sans" w:hAnsi="PT Sans" w:cs="PT Sans"/>
      <w:b/>
      <w:bCs/>
      <w:i w:val="0"/>
      <w:iCs w:val="0"/>
      <w:color w:val="333333"/>
      <w:sz w:val="26"/>
      <w:szCs w:val="26"/>
    </w:rPr>
  </w:style>
  <w:style w:type="character" w:customStyle="1" w:styleId="ElAppPNUMdivALnth-of-type1">
    <w:name w:val="ElApp_PNUM_div_AL_nth-of-type(1)"/>
    <w:basedOn w:val="Policepardfaut"/>
    <w:rsid w:val="00785857"/>
  </w:style>
  <w:style w:type="character" w:customStyle="1" w:styleId="ElAppsup">
    <w:name w:val="ElApp_sup"/>
    <w:rsid w:val="00785857"/>
    <w:rPr>
      <w:sz w:val="17"/>
      <w:szCs w:val="17"/>
    </w:rPr>
  </w:style>
  <w:style w:type="character" w:customStyle="1" w:styleId="ElApparticlePRENV2">
    <w:name w:val="ElApp_article_PRENV2"/>
    <w:basedOn w:val="Policepardfaut"/>
    <w:rsid w:val="00785857"/>
  </w:style>
  <w:style w:type="character" w:customStyle="1" w:styleId="RefArt">
    <w:name w:val="RefArt"/>
    <w:basedOn w:val="Policepardfaut"/>
    <w:rsid w:val="00785857"/>
  </w:style>
  <w:style w:type="paragraph" w:customStyle="1" w:styleId="ElAppdivAL">
    <w:name w:val="ElApp_div_AL"/>
    <w:basedOn w:val="Normal"/>
    <w:rsid w:val="00785857"/>
    <w:pPr>
      <w:spacing w:line="360" w:lineRule="atLeast"/>
    </w:pPr>
    <w:rPr>
      <w:color w:val="333333"/>
    </w:rPr>
  </w:style>
  <w:style w:type="character" w:customStyle="1" w:styleId="ElAppartPRENV1">
    <w:name w:val="ElApp_artPRENV1"/>
    <w:basedOn w:val="Policepardfaut"/>
    <w:rsid w:val="00785857"/>
  </w:style>
  <w:style w:type="character" w:customStyle="1" w:styleId="ElApparticlePRENV1">
    <w:name w:val="ElApp_article_PRENV1"/>
    <w:basedOn w:val="Policepardfaut"/>
    <w:rsid w:val="00785857"/>
  </w:style>
  <w:style w:type="character" w:customStyle="1" w:styleId="RefArtBlock">
    <w:name w:val="RefArtBlock"/>
    <w:basedOn w:val="Policepardfaut"/>
    <w:rsid w:val="00785857"/>
  </w:style>
  <w:style w:type="character" w:customStyle="1" w:styleId="ElApparticlePRENV2nth-childn2">
    <w:name w:val="ElApp_article_PRENV2_nth-child(n+2)"/>
    <w:basedOn w:val="Policepardfaut"/>
    <w:rsid w:val="00785857"/>
  </w:style>
  <w:style w:type="paragraph" w:customStyle="1" w:styleId="ElAppulli">
    <w:name w:val="ElApp_ul &gt; li"/>
    <w:basedOn w:val="Normal"/>
    <w:rsid w:val="00785857"/>
    <w:pPr>
      <w:pBdr>
        <w:left w:val="none" w:sz="0" w:space="18" w:color="auto"/>
      </w:pBdr>
    </w:pPr>
    <w:rPr>
      <w:rFonts w:ascii="PT Sans" w:eastAsia="PT Sans" w:hAnsi="PT Sans" w:cs="PT Sans"/>
      <w:color w:val="333333"/>
    </w:rPr>
  </w:style>
  <w:style w:type="character" w:customStyle="1" w:styleId="ElAppartPRENVNA1">
    <w:name w:val="ElApp_artPRENVNA1"/>
    <w:basedOn w:val="Policepardfaut"/>
    <w:rsid w:val="00785857"/>
  </w:style>
  <w:style w:type="character" w:customStyle="1" w:styleId="ElApparticlePRENVNA1">
    <w:name w:val="ElApp_article_PRENVNA1"/>
    <w:basedOn w:val="Policepardfaut"/>
    <w:rsid w:val="00785857"/>
  </w:style>
  <w:style w:type="paragraph" w:customStyle="1" w:styleId="ElAppdivREM">
    <w:name w:val="ElApp_div_REM"/>
    <w:basedOn w:val="Normal"/>
    <w:rsid w:val="00785857"/>
    <w:pPr>
      <w:pBdr>
        <w:top w:val="none" w:sz="0" w:space="12" w:color="auto"/>
        <w:left w:val="none" w:sz="0" w:space="14" w:color="auto"/>
        <w:bottom w:val="none" w:sz="0" w:space="1" w:color="auto"/>
      </w:pBdr>
    </w:pPr>
    <w:rPr>
      <w:rFonts w:ascii="PT Sans" w:eastAsia="PT Sans" w:hAnsi="PT Sans" w:cs="PT Sans"/>
      <w:i/>
      <w:iCs/>
      <w:color w:val="333333"/>
      <w:sz w:val="21"/>
      <w:szCs w:val="21"/>
    </w:rPr>
  </w:style>
  <w:style w:type="character" w:customStyle="1" w:styleId="ElAppPNUMpnth-of-type1">
    <w:name w:val="ElApp_PNUM_p_nth-of-type(1)"/>
    <w:basedOn w:val="Policepardfaut"/>
    <w:rsid w:val="00785857"/>
  </w:style>
  <w:style w:type="paragraph" w:customStyle="1" w:styleId="ElAppPNUMh6Paragraph">
    <w:name w:val="ElApp_PNUM_h6 Paragraph"/>
    <w:basedOn w:val="Normal"/>
    <w:rsid w:val="00785857"/>
    <w:rPr>
      <w:rFonts w:ascii="PT Sans" w:eastAsia="PT Sans" w:hAnsi="PT Sans" w:cs="PT Sans"/>
      <w:b/>
      <w:bCs/>
      <w:color w:val="333333"/>
      <w:sz w:val="26"/>
      <w:szCs w:val="26"/>
    </w:rPr>
  </w:style>
  <w:style w:type="character" w:customStyle="1" w:styleId="IL">
    <w:name w:val="IL"/>
    <w:basedOn w:val="Policepardfaut"/>
    <w:rsid w:val="00785857"/>
  </w:style>
  <w:style w:type="character" w:customStyle="1" w:styleId="ElApph6PNUM2TI">
    <w:name w:val="ElApp_h6_PNUM2_TI"/>
    <w:basedOn w:val="Policepardfaut"/>
    <w:rsid w:val="00785857"/>
  </w:style>
  <w:style w:type="paragraph" w:customStyle="1" w:styleId="ElAppdivPRECIS">
    <w:name w:val="ElApp_div_PRECIS"/>
    <w:basedOn w:val="Normal"/>
    <w:rsid w:val="00785857"/>
    <w:pPr>
      <w:pBdr>
        <w:top w:val="none" w:sz="0" w:space="12" w:color="auto"/>
        <w:left w:val="none" w:sz="0" w:space="14" w:color="auto"/>
        <w:bottom w:val="none" w:sz="0" w:space="1" w:color="auto"/>
      </w:pBdr>
    </w:pPr>
    <w:rPr>
      <w:rFonts w:ascii="PT Sans" w:eastAsia="PT Sans" w:hAnsi="PT Sans" w:cs="PT Sans"/>
      <w:i/>
      <w:iCs/>
      <w:color w:val="333333"/>
      <w:sz w:val="21"/>
      <w:szCs w:val="21"/>
    </w:rPr>
  </w:style>
  <w:style w:type="character" w:customStyle="1" w:styleId="ElAppdivPRECISdivALnth-of-type1">
    <w:name w:val="ElApp_div_PRECIS &gt; div_AL_nth-of-type(1)"/>
    <w:rsid w:val="00785857"/>
    <w:rPr>
      <w:rFonts w:ascii="PT Sans" w:eastAsia="PT Sans" w:hAnsi="PT Sans" w:cs="PT Sans"/>
      <w:color w:val="333333"/>
      <w:bdr w:val="none" w:sz="0" w:space="0" w:color="auto"/>
    </w:rPr>
  </w:style>
  <w:style w:type="character" w:customStyle="1" w:styleId="AL">
    <w:name w:val="AL"/>
    <w:basedOn w:val="Policepardfaut"/>
    <w:rsid w:val="00785857"/>
  </w:style>
  <w:style w:type="paragraph" w:customStyle="1" w:styleId="ElAppdivPRECISulli">
    <w:name w:val="ElApp_div_PRECIS_ul_li"/>
    <w:basedOn w:val="Normal"/>
    <w:rsid w:val="00785857"/>
    <w:pPr>
      <w:pBdr>
        <w:left w:val="none" w:sz="0" w:space="12" w:color="auto"/>
      </w:pBdr>
    </w:pPr>
  </w:style>
  <w:style w:type="character" w:customStyle="1" w:styleId="Titre6Car">
    <w:name w:val="Titre 6 Car"/>
    <w:basedOn w:val="Policepardfaut"/>
    <w:link w:val="Titre6"/>
    <w:uiPriority w:val="9"/>
    <w:rsid w:val="00AD7F0C"/>
    <w:rPr>
      <w:rFonts w:ascii="Times New Roman" w:eastAsia="Times New Roman" w:hAnsi="Times New Roman"/>
      <w:b/>
      <w:bC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6619286">
      <w:bodyDiv w:val="1"/>
      <w:marLeft w:val="0"/>
      <w:marRight w:val="0"/>
      <w:marTop w:val="0"/>
      <w:marBottom w:val="0"/>
      <w:divBdr>
        <w:top w:val="none" w:sz="0" w:space="0" w:color="auto"/>
        <w:left w:val="none" w:sz="0" w:space="0" w:color="auto"/>
        <w:bottom w:val="none" w:sz="0" w:space="0" w:color="auto"/>
        <w:right w:val="none" w:sz="0" w:space="0" w:color="auto"/>
      </w:divBdr>
    </w:div>
    <w:div w:id="295567520">
      <w:bodyDiv w:val="1"/>
      <w:marLeft w:val="0"/>
      <w:marRight w:val="0"/>
      <w:marTop w:val="0"/>
      <w:marBottom w:val="0"/>
      <w:divBdr>
        <w:top w:val="none" w:sz="0" w:space="0" w:color="auto"/>
        <w:left w:val="none" w:sz="0" w:space="0" w:color="auto"/>
        <w:bottom w:val="none" w:sz="0" w:space="0" w:color="auto"/>
        <w:right w:val="none" w:sz="0" w:space="0" w:color="auto"/>
      </w:divBdr>
      <w:divsChild>
        <w:div w:id="949317578">
          <w:marLeft w:val="0"/>
          <w:marRight w:val="0"/>
          <w:marTop w:val="375"/>
          <w:marBottom w:val="240"/>
          <w:divBdr>
            <w:top w:val="none" w:sz="0" w:space="0" w:color="auto"/>
            <w:left w:val="none" w:sz="0" w:space="0" w:color="auto"/>
            <w:bottom w:val="none" w:sz="0" w:space="0" w:color="auto"/>
            <w:right w:val="none" w:sz="0" w:space="0" w:color="auto"/>
          </w:divBdr>
          <w:divsChild>
            <w:div w:id="1747418909">
              <w:marLeft w:val="1260"/>
              <w:marRight w:val="0"/>
              <w:marTop w:val="0"/>
              <w:marBottom w:val="240"/>
              <w:divBdr>
                <w:top w:val="none" w:sz="0" w:space="0" w:color="auto"/>
                <w:left w:val="none" w:sz="0" w:space="0" w:color="auto"/>
                <w:bottom w:val="none" w:sz="0" w:space="0" w:color="auto"/>
                <w:right w:val="none" w:sz="0" w:space="0" w:color="auto"/>
              </w:divBdr>
              <w:divsChild>
                <w:div w:id="117514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5977">
          <w:marLeft w:val="0"/>
          <w:marRight w:val="0"/>
          <w:marTop w:val="0"/>
          <w:marBottom w:val="150"/>
          <w:divBdr>
            <w:top w:val="none" w:sz="0" w:space="0" w:color="auto"/>
            <w:left w:val="none" w:sz="0" w:space="0" w:color="auto"/>
            <w:bottom w:val="none" w:sz="0" w:space="0" w:color="auto"/>
            <w:right w:val="none" w:sz="0" w:space="0" w:color="auto"/>
          </w:divBdr>
          <w:divsChild>
            <w:div w:id="218247625">
              <w:marLeft w:val="1260"/>
              <w:marRight w:val="0"/>
              <w:marTop w:val="0"/>
              <w:marBottom w:val="0"/>
              <w:divBdr>
                <w:top w:val="none" w:sz="0" w:space="0" w:color="auto"/>
                <w:left w:val="none" w:sz="0" w:space="0" w:color="auto"/>
                <w:bottom w:val="none" w:sz="0" w:space="0" w:color="auto"/>
                <w:right w:val="none" w:sz="0" w:space="0" w:color="auto"/>
              </w:divBdr>
              <w:divsChild>
                <w:div w:id="1870605949">
                  <w:marLeft w:val="0"/>
                  <w:marRight w:val="0"/>
                  <w:marTop w:val="0"/>
                  <w:marBottom w:val="0"/>
                  <w:divBdr>
                    <w:top w:val="none" w:sz="0" w:space="0" w:color="auto"/>
                    <w:left w:val="none" w:sz="0" w:space="0" w:color="auto"/>
                    <w:bottom w:val="none" w:sz="0" w:space="0" w:color="auto"/>
                    <w:right w:val="none" w:sz="0" w:space="0" w:color="auto"/>
                  </w:divBdr>
                  <w:divsChild>
                    <w:div w:id="157814888">
                      <w:marLeft w:val="0"/>
                      <w:marRight w:val="0"/>
                      <w:marTop w:val="0"/>
                      <w:marBottom w:val="0"/>
                      <w:divBdr>
                        <w:top w:val="none" w:sz="0" w:space="0" w:color="auto"/>
                        <w:left w:val="none" w:sz="0" w:space="0" w:color="auto"/>
                        <w:bottom w:val="none" w:sz="0" w:space="0" w:color="auto"/>
                        <w:right w:val="none" w:sz="0" w:space="0" w:color="auto"/>
                      </w:divBdr>
                    </w:div>
                    <w:div w:id="431366893">
                      <w:marLeft w:val="0"/>
                      <w:marRight w:val="0"/>
                      <w:marTop w:val="0"/>
                      <w:marBottom w:val="0"/>
                      <w:divBdr>
                        <w:top w:val="none" w:sz="0" w:space="0" w:color="auto"/>
                        <w:left w:val="none" w:sz="0" w:space="0" w:color="auto"/>
                        <w:bottom w:val="none" w:sz="0" w:space="0" w:color="auto"/>
                        <w:right w:val="none" w:sz="0" w:space="0" w:color="auto"/>
                      </w:divBdr>
                    </w:div>
                    <w:div w:id="1116027645">
                      <w:marLeft w:val="0"/>
                      <w:marRight w:val="0"/>
                      <w:marTop w:val="0"/>
                      <w:marBottom w:val="0"/>
                      <w:divBdr>
                        <w:top w:val="none" w:sz="0" w:space="0" w:color="auto"/>
                        <w:left w:val="none" w:sz="0" w:space="0" w:color="auto"/>
                        <w:bottom w:val="none" w:sz="0" w:space="0" w:color="auto"/>
                        <w:right w:val="none" w:sz="0" w:space="0" w:color="auto"/>
                      </w:divBdr>
                    </w:div>
                    <w:div w:id="1232351042">
                      <w:marLeft w:val="0"/>
                      <w:marRight w:val="0"/>
                      <w:marTop w:val="0"/>
                      <w:marBottom w:val="0"/>
                      <w:divBdr>
                        <w:top w:val="none" w:sz="0" w:space="0" w:color="auto"/>
                        <w:left w:val="none" w:sz="0" w:space="0" w:color="auto"/>
                        <w:bottom w:val="none" w:sz="0" w:space="0" w:color="auto"/>
                        <w:right w:val="none" w:sz="0" w:space="0" w:color="auto"/>
                      </w:divBdr>
                    </w:div>
                    <w:div w:id="1326126585">
                      <w:marLeft w:val="0"/>
                      <w:marRight w:val="0"/>
                      <w:marTop w:val="0"/>
                      <w:marBottom w:val="0"/>
                      <w:divBdr>
                        <w:top w:val="none" w:sz="0" w:space="0" w:color="auto"/>
                        <w:left w:val="none" w:sz="0" w:space="0" w:color="auto"/>
                        <w:bottom w:val="none" w:sz="0" w:space="0" w:color="auto"/>
                        <w:right w:val="none" w:sz="0" w:space="0" w:color="auto"/>
                      </w:divBdr>
                    </w:div>
                    <w:div w:id="1339700910">
                      <w:marLeft w:val="0"/>
                      <w:marRight w:val="0"/>
                      <w:marTop w:val="0"/>
                      <w:marBottom w:val="0"/>
                      <w:divBdr>
                        <w:top w:val="none" w:sz="0" w:space="0" w:color="auto"/>
                        <w:left w:val="none" w:sz="0" w:space="0" w:color="auto"/>
                        <w:bottom w:val="none" w:sz="0" w:space="0" w:color="auto"/>
                        <w:right w:val="none" w:sz="0" w:space="0" w:color="auto"/>
                      </w:divBdr>
                    </w:div>
                    <w:div w:id="1989088579">
                      <w:marLeft w:val="0"/>
                      <w:marRight w:val="0"/>
                      <w:marTop w:val="0"/>
                      <w:marBottom w:val="0"/>
                      <w:divBdr>
                        <w:top w:val="none" w:sz="0" w:space="0" w:color="auto"/>
                        <w:left w:val="none" w:sz="0" w:space="0" w:color="auto"/>
                        <w:bottom w:val="none" w:sz="0" w:space="0" w:color="auto"/>
                        <w:right w:val="none" w:sz="0" w:space="0" w:color="auto"/>
                      </w:divBdr>
                    </w:div>
                    <w:div w:id="204166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636327">
      <w:bodyDiv w:val="1"/>
      <w:marLeft w:val="0"/>
      <w:marRight w:val="0"/>
      <w:marTop w:val="0"/>
      <w:marBottom w:val="0"/>
      <w:divBdr>
        <w:top w:val="none" w:sz="0" w:space="0" w:color="auto"/>
        <w:left w:val="none" w:sz="0" w:space="0" w:color="auto"/>
        <w:bottom w:val="none" w:sz="0" w:space="0" w:color="auto"/>
        <w:right w:val="none" w:sz="0" w:space="0" w:color="auto"/>
      </w:divBdr>
      <w:divsChild>
        <w:div w:id="100536735">
          <w:marLeft w:val="0"/>
          <w:marRight w:val="0"/>
          <w:marTop w:val="60"/>
          <w:marBottom w:val="0"/>
          <w:divBdr>
            <w:top w:val="none" w:sz="0" w:space="0" w:color="auto"/>
            <w:left w:val="none" w:sz="0" w:space="0" w:color="auto"/>
            <w:bottom w:val="none" w:sz="0" w:space="0" w:color="auto"/>
            <w:right w:val="none" w:sz="0" w:space="0" w:color="auto"/>
          </w:divBdr>
        </w:div>
      </w:divsChild>
    </w:div>
    <w:div w:id="369115544">
      <w:bodyDiv w:val="1"/>
      <w:marLeft w:val="0"/>
      <w:marRight w:val="0"/>
      <w:marTop w:val="0"/>
      <w:marBottom w:val="0"/>
      <w:divBdr>
        <w:top w:val="none" w:sz="0" w:space="0" w:color="auto"/>
        <w:left w:val="none" w:sz="0" w:space="0" w:color="auto"/>
        <w:bottom w:val="none" w:sz="0" w:space="0" w:color="auto"/>
        <w:right w:val="none" w:sz="0" w:space="0" w:color="auto"/>
      </w:divBdr>
    </w:div>
    <w:div w:id="587271338">
      <w:bodyDiv w:val="1"/>
      <w:marLeft w:val="0"/>
      <w:marRight w:val="0"/>
      <w:marTop w:val="0"/>
      <w:marBottom w:val="0"/>
      <w:divBdr>
        <w:top w:val="none" w:sz="0" w:space="0" w:color="auto"/>
        <w:left w:val="none" w:sz="0" w:space="0" w:color="auto"/>
        <w:bottom w:val="none" w:sz="0" w:space="0" w:color="auto"/>
        <w:right w:val="none" w:sz="0" w:space="0" w:color="auto"/>
      </w:divBdr>
    </w:div>
    <w:div w:id="651300186">
      <w:bodyDiv w:val="1"/>
      <w:marLeft w:val="0"/>
      <w:marRight w:val="0"/>
      <w:marTop w:val="0"/>
      <w:marBottom w:val="0"/>
      <w:divBdr>
        <w:top w:val="none" w:sz="0" w:space="0" w:color="auto"/>
        <w:left w:val="none" w:sz="0" w:space="0" w:color="auto"/>
        <w:bottom w:val="none" w:sz="0" w:space="0" w:color="auto"/>
        <w:right w:val="none" w:sz="0" w:space="0" w:color="auto"/>
      </w:divBdr>
    </w:div>
    <w:div w:id="696395460">
      <w:bodyDiv w:val="1"/>
      <w:marLeft w:val="0"/>
      <w:marRight w:val="0"/>
      <w:marTop w:val="0"/>
      <w:marBottom w:val="0"/>
      <w:divBdr>
        <w:top w:val="none" w:sz="0" w:space="0" w:color="auto"/>
        <w:left w:val="none" w:sz="0" w:space="0" w:color="auto"/>
        <w:bottom w:val="none" w:sz="0" w:space="0" w:color="auto"/>
        <w:right w:val="none" w:sz="0" w:space="0" w:color="auto"/>
      </w:divBdr>
    </w:div>
    <w:div w:id="1018700778">
      <w:bodyDiv w:val="1"/>
      <w:marLeft w:val="0"/>
      <w:marRight w:val="0"/>
      <w:marTop w:val="0"/>
      <w:marBottom w:val="0"/>
      <w:divBdr>
        <w:top w:val="none" w:sz="0" w:space="0" w:color="auto"/>
        <w:left w:val="none" w:sz="0" w:space="0" w:color="auto"/>
        <w:bottom w:val="none" w:sz="0" w:space="0" w:color="auto"/>
        <w:right w:val="none" w:sz="0" w:space="0" w:color="auto"/>
      </w:divBdr>
    </w:div>
    <w:div w:id="1192762548">
      <w:bodyDiv w:val="1"/>
      <w:marLeft w:val="0"/>
      <w:marRight w:val="0"/>
      <w:marTop w:val="0"/>
      <w:marBottom w:val="0"/>
      <w:divBdr>
        <w:top w:val="none" w:sz="0" w:space="0" w:color="auto"/>
        <w:left w:val="none" w:sz="0" w:space="0" w:color="auto"/>
        <w:bottom w:val="none" w:sz="0" w:space="0" w:color="auto"/>
        <w:right w:val="none" w:sz="0" w:space="0" w:color="auto"/>
      </w:divBdr>
    </w:div>
    <w:div w:id="1416394472">
      <w:bodyDiv w:val="1"/>
      <w:marLeft w:val="0"/>
      <w:marRight w:val="0"/>
      <w:marTop w:val="0"/>
      <w:marBottom w:val="0"/>
      <w:divBdr>
        <w:top w:val="none" w:sz="0" w:space="0" w:color="auto"/>
        <w:left w:val="none" w:sz="0" w:space="0" w:color="auto"/>
        <w:bottom w:val="none" w:sz="0" w:space="0" w:color="auto"/>
        <w:right w:val="none" w:sz="0" w:space="0" w:color="auto"/>
      </w:divBdr>
    </w:div>
    <w:div w:id="1499928190">
      <w:bodyDiv w:val="1"/>
      <w:marLeft w:val="0"/>
      <w:marRight w:val="0"/>
      <w:marTop w:val="0"/>
      <w:marBottom w:val="0"/>
      <w:divBdr>
        <w:top w:val="none" w:sz="0" w:space="0" w:color="auto"/>
        <w:left w:val="none" w:sz="0" w:space="0" w:color="auto"/>
        <w:bottom w:val="none" w:sz="0" w:space="0" w:color="auto"/>
        <w:right w:val="none" w:sz="0" w:space="0" w:color="auto"/>
      </w:divBdr>
      <w:divsChild>
        <w:div w:id="264047155">
          <w:marLeft w:val="0"/>
          <w:marRight w:val="0"/>
          <w:marTop w:val="0"/>
          <w:marBottom w:val="0"/>
          <w:divBdr>
            <w:top w:val="none" w:sz="0" w:space="0" w:color="auto"/>
            <w:left w:val="none" w:sz="0" w:space="0" w:color="auto"/>
            <w:bottom w:val="none" w:sz="0" w:space="0" w:color="auto"/>
            <w:right w:val="none" w:sz="0" w:space="0" w:color="auto"/>
          </w:divBdr>
        </w:div>
        <w:div w:id="616255497">
          <w:marLeft w:val="0"/>
          <w:marRight w:val="0"/>
          <w:marTop w:val="0"/>
          <w:marBottom w:val="0"/>
          <w:divBdr>
            <w:top w:val="none" w:sz="0" w:space="0" w:color="auto"/>
            <w:left w:val="none" w:sz="0" w:space="0" w:color="auto"/>
            <w:bottom w:val="none" w:sz="0" w:space="0" w:color="auto"/>
            <w:right w:val="none" w:sz="0" w:space="0" w:color="auto"/>
          </w:divBdr>
        </w:div>
        <w:div w:id="944117512">
          <w:marLeft w:val="0"/>
          <w:marRight w:val="0"/>
          <w:marTop w:val="0"/>
          <w:marBottom w:val="0"/>
          <w:divBdr>
            <w:top w:val="none" w:sz="0" w:space="0" w:color="auto"/>
            <w:left w:val="none" w:sz="0" w:space="0" w:color="auto"/>
            <w:bottom w:val="none" w:sz="0" w:space="0" w:color="auto"/>
            <w:right w:val="none" w:sz="0" w:space="0" w:color="auto"/>
          </w:divBdr>
        </w:div>
      </w:divsChild>
    </w:div>
    <w:div w:id="1596130509">
      <w:bodyDiv w:val="1"/>
      <w:marLeft w:val="0"/>
      <w:marRight w:val="0"/>
      <w:marTop w:val="0"/>
      <w:marBottom w:val="0"/>
      <w:divBdr>
        <w:top w:val="none" w:sz="0" w:space="0" w:color="auto"/>
        <w:left w:val="none" w:sz="0" w:space="0" w:color="auto"/>
        <w:bottom w:val="none" w:sz="0" w:space="0" w:color="auto"/>
        <w:right w:val="none" w:sz="0" w:space="0" w:color="auto"/>
      </w:divBdr>
      <w:divsChild>
        <w:div w:id="284314189">
          <w:marLeft w:val="0"/>
          <w:marRight w:val="0"/>
          <w:marTop w:val="270"/>
          <w:marBottom w:val="0"/>
          <w:divBdr>
            <w:top w:val="none" w:sz="0" w:space="0" w:color="auto"/>
            <w:left w:val="none" w:sz="0" w:space="0" w:color="auto"/>
            <w:bottom w:val="none" w:sz="0" w:space="0" w:color="auto"/>
            <w:right w:val="none" w:sz="0" w:space="0" w:color="auto"/>
          </w:divBdr>
          <w:divsChild>
            <w:div w:id="360786424">
              <w:marLeft w:val="1260"/>
              <w:marRight w:val="0"/>
              <w:marTop w:val="0"/>
              <w:marBottom w:val="0"/>
              <w:divBdr>
                <w:top w:val="none" w:sz="0" w:space="0" w:color="auto"/>
                <w:left w:val="none" w:sz="0" w:space="0" w:color="auto"/>
                <w:bottom w:val="none" w:sz="0" w:space="0" w:color="auto"/>
                <w:right w:val="none" w:sz="0" w:space="0" w:color="auto"/>
              </w:divBdr>
              <w:divsChild>
                <w:div w:id="113228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0415">
          <w:marLeft w:val="0"/>
          <w:marRight w:val="0"/>
          <w:marTop w:val="0"/>
          <w:marBottom w:val="150"/>
          <w:divBdr>
            <w:top w:val="none" w:sz="0" w:space="0" w:color="auto"/>
            <w:left w:val="none" w:sz="0" w:space="0" w:color="auto"/>
            <w:bottom w:val="none" w:sz="0" w:space="0" w:color="auto"/>
            <w:right w:val="none" w:sz="0" w:space="0" w:color="auto"/>
          </w:divBdr>
          <w:divsChild>
            <w:div w:id="55902883">
              <w:marLeft w:val="1260"/>
              <w:marRight w:val="0"/>
              <w:marTop w:val="0"/>
              <w:marBottom w:val="0"/>
              <w:divBdr>
                <w:top w:val="none" w:sz="0" w:space="0" w:color="auto"/>
                <w:left w:val="none" w:sz="0" w:space="0" w:color="auto"/>
                <w:bottom w:val="none" w:sz="0" w:space="0" w:color="auto"/>
                <w:right w:val="none" w:sz="0" w:space="0" w:color="auto"/>
              </w:divBdr>
            </w:div>
          </w:divsChild>
        </w:div>
        <w:div w:id="1513567285">
          <w:marLeft w:val="0"/>
          <w:marRight w:val="0"/>
          <w:marTop w:val="0"/>
          <w:marBottom w:val="150"/>
          <w:divBdr>
            <w:top w:val="none" w:sz="0" w:space="0" w:color="auto"/>
            <w:left w:val="none" w:sz="0" w:space="0" w:color="auto"/>
            <w:bottom w:val="none" w:sz="0" w:space="0" w:color="auto"/>
            <w:right w:val="none" w:sz="0" w:space="0" w:color="auto"/>
          </w:divBdr>
          <w:divsChild>
            <w:div w:id="1306158726">
              <w:marLeft w:val="1260"/>
              <w:marRight w:val="0"/>
              <w:marTop w:val="0"/>
              <w:marBottom w:val="0"/>
              <w:divBdr>
                <w:top w:val="none" w:sz="0" w:space="0" w:color="auto"/>
                <w:left w:val="none" w:sz="0" w:space="0" w:color="auto"/>
                <w:bottom w:val="none" w:sz="0" w:space="0" w:color="auto"/>
                <w:right w:val="none" w:sz="0" w:space="0" w:color="auto"/>
              </w:divBdr>
            </w:div>
          </w:divsChild>
        </w:div>
      </w:divsChild>
    </w:div>
    <w:div w:id="1789815854">
      <w:bodyDiv w:val="1"/>
      <w:marLeft w:val="0"/>
      <w:marRight w:val="0"/>
      <w:marTop w:val="0"/>
      <w:marBottom w:val="0"/>
      <w:divBdr>
        <w:top w:val="none" w:sz="0" w:space="0" w:color="auto"/>
        <w:left w:val="none" w:sz="0" w:space="0" w:color="auto"/>
        <w:bottom w:val="none" w:sz="0" w:space="0" w:color="auto"/>
        <w:right w:val="none" w:sz="0" w:space="0" w:color="auto"/>
      </w:divBdr>
    </w:div>
    <w:div w:id="1839734826">
      <w:bodyDiv w:val="1"/>
      <w:marLeft w:val="0"/>
      <w:marRight w:val="0"/>
      <w:marTop w:val="0"/>
      <w:marBottom w:val="0"/>
      <w:divBdr>
        <w:top w:val="none" w:sz="0" w:space="0" w:color="auto"/>
        <w:left w:val="none" w:sz="0" w:space="0" w:color="auto"/>
        <w:bottom w:val="none" w:sz="0" w:space="0" w:color="auto"/>
        <w:right w:val="none" w:sz="0" w:space="0" w:color="auto"/>
      </w:divBdr>
      <w:divsChild>
        <w:div w:id="1222136811">
          <w:marLeft w:val="0"/>
          <w:marRight w:val="0"/>
          <w:marTop w:val="0"/>
          <w:marBottom w:val="0"/>
          <w:divBdr>
            <w:top w:val="none" w:sz="0" w:space="0" w:color="auto"/>
            <w:left w:val="none" w:sz="0" w:space="0" w:color="auto"/>
            <w:bottom w:val="none" w:sz="0" w:space="0" w:color="auto"/>
            <w:right w:val="none" w:sz="0" w:space="0" w:color="auto"/>
          </w:divBdr>
        </w:div>
        <w:div w:id="1853950432">
          <w:marLeft w:val="0"/>
          <w:marRight w:val="0"/>
          <w:marTop w:val="0"/>
          <w:marBottom w:val="0"/>
          <w:divBdr>
            <w:top w:val="none" w:sz="0" w:space="0" w:color="auto"/>
            <w:left w:val="none" w:sz="0" w:space="0" w:color="auto"/>
            <w:bottom w:val="none" w:sz="0" w:space="0" w:color="auto"/>
            <w:right w:val="none" w:sz="0" w:space="0" w:color="auto"/>
          </w:divBdr>
        </w:div>
        <w:div w:id="2030447564">
          <w:marLeft w:val="0"/>
          <w:marRight w:val="0"/>
          <w:marTop w:val="0"/>
          <w:marBottom w:val="0"/>
          <w:divBdr>
            <w:top w:val="none" w:sz="0" w:space="0" w:color="auto"/>
            <w:left w:val="none" w:sz="0" w:space="0" w:color="auto"/>
            <w:bottom w:val="none" w:sz="0" w:space="0" w:color="auto"/>
            <w:right w:val="none" w:sz="0" w:space="0" w:color="auto"/>
          </w:divBdr>
        </w:div>
      </w:divsChild>
    </w:div>
    <w:div w:id="1919636632">
      <w:bodyDiv w:val="1"/>
      <w:marLeft w:val="0"/>
      <w:marRight w:val="0"/>
      <w:marTop w:val="0"/>
      <w:marBottom w:val="0"/>
      <w:divBdr>
        <w:top w:val="none" w:sz="0" w:space="0" w:color="auto"/>
        <w:left w:val="none" w:sz="0" w:space="0" w:color="auto"/>
        <w:bottom w:val="none" w:sz="0" w:space="0" w:color="auto"/>
        <w:right w:val="none" w:sz="0" w:space="0" w:color="auto"/>
      </w:divBdr>
    </w:div>
    <w:div w:id="208695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11819</Words>
  <Characters>65009</Characters>
  <Application>Microsoft Office Word</Application>
  <DocSecurity>0</DocSecurity>
  <Lines>541</Lines>
  <Paragraphs>153</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76675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marc ben hafsia</cp:lastModifiedBy>
  <cp:revision>2</cp:revision>
  <cp:lastPrinted>2019-03-04T10:20:00Z</cp:lastPrinted>
  <dcterms:created xsi:type="dcterms:W3CDTF">2020-07-22T08:36:00Z</dcterms:created>
  <dcterms:modified xsi:type="dcterms:W3CDTF">2020-07-22T08:36:00Z</dcterms:modified>
</cp:coreProperties>
</file>