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line="300" w:lineRule="auto"/>
        <w:jc w:val="center"/>
      </w:pPr>
      <w:r>
        <w:rPr>
          <w:rFonts w:ascii="Segoe UI" w:hAnsi="Segoe UI"/>
          <w:b/>
          <w:i w:val="0"/>
          <w:color w:val="1A365D"/>
          <w:sz w:val="24"/>
        </w:rPr>
        <w:t>TRƯỜNG ĐẠI HỌC KHOA HỌC TỰ NHIÊN - ĐHQG</w:t>
        <w:br/>
        <w:t>KHOA CÔNG NGHỆ THÔNG TIN</w:t>
        <w:br/>
        <w:t>BỘ MÔN CÔNG NGHỆ PHẦN MỀM</w:t>
      </w:r>
    </w:p>
    <w:p>
      <w:pPr>
        <w:spacing w:after="960" w:line="300" w:lineRule="auto"/>
        <w:jc w:val="center"/>
      </w:pPr>
      <w:r>
        <w:rPr>
          <w:rFonts w:ascii="Segoe UI" w:hAnsi="Segoe UI"/>
          <w:b/>
          <w:i w:val="0"/>
          <w:color w:val="B4B4B4"/>
          <w:sz w:val="36"/>
        </w:rPr>
        <w:t>❖ ❖ ❖</w:t>
      </w:r>
    </w:p>
    <w:p>
      <w:pPr>
        <w:spacing w:after="360" w:line="300" w:lineRule="auto"/>
        <w:jc w:val="center"/>
      </w:pPr>
      <w:r>
        <w:rPr>
          <w:rFonts w:ascii="Segoe UI" w:hAnsi="Segoe UI"/>
          <w:b/>
          <w:i w:val="0"/>
          <w:color w:val="2B547E"/>
          <w:sz w:val="28"/>
        </w:rPr>
        <w:t>BÁO CÁO BÀI TẬP LỚN MÔN HỌC</w:t>
        <w:br/>
        <w:t>PHÂN TÍCH VÀ THIẾT KẾ PHẦN MỀM</w:t>
      </w:r>
    </w:p>
    <w:p>
      <w:pPr>
        <w:spacing w:after="1200" w:line="300" w:lineRule="auto"/>
        <w:jc w:val="center"/>
      </w:pPr>
      <w:r>
        <w:rPr>
          <w:rFonts w:ascii="Segoe UI" w:hAnsi="Segoe UI"/>
          <w:b/>
          <w:i w:val="0"/>
          <w:color w:val="1A365D"/>
          <w:sz w:val="36"/>
        </w:rPr>
        <w:t>TÀI LIỆU ĐẶC TẢ YÊU CẦU &amp; THIẾT KẾ HỆ THỐNG</w:t>
        <w:br/>
        <w:t>HỆ THỐNG QUẢN LÝ VẬN HÀNH KHU ĐÔ THỊ THÔNG MINH</w:t>
        <w:br/>
        <w:t>(GREENCITY / URBANOPS PLATFORM)</w:t>
      </w:r>
    </w:p>
    <w:p>
      <w:pPr>
        <w:spacing w:after="1600" w:line="336" w:lineRule="auto"/>
        <w:jc w:val="left"/>
      </w:pPr>
      <w:r>
        <w:rPr>
          <w:rFonts w:ascii="Segoe UI" w:hAnsi="Segoe UI"/>
          <w:b w:val="0"/>
          <w:i w:val="0"/>
          <w:color w:val="212529"/>
          <w:sz w:val="22"/>
        </w:rPr>
        <w:t>Giảng viên hướng dẫn:</w:t>
        <w:tab/>
        <w:t>Hội đồng Bộ môn Công nghệ Phần mềm</w:t>
        <w:br/>
        <w:t>Nhóm sinh viên thực hiện:</w:t>
        <w:tab/>
        <w:t>Nhóm Đồ án Chuyên ngành PTTKPM</w:t>
        <w:br/>
        <w:t>Hệ đào tạo:</w:t>
        <w:tab/>
        <w:tab/>
        <w:t>Chính quy - Khóa 2022 - 2026</w:t>
        <w:br/>
        <w:t>Phiên bản tài liệu:</w:t>
        <w:tab/>
        <w:t>Master Baseline v2.5 (Hoàn thiện Toàn diện Toàn dự án)</w:t>
      </w:r>
    </w:p>
    <w:p>
      <w:pPr>
        <w:spacing w:after="0" w:line="300" w:lineRule="auto"/>
        <w:jc w:val="center"/>
      </w:pPr>
      <w:r>
        <w:rPr>
          <w:rFonts w:ascii="Segoe UI" w:hAnsi="Segoe UI"/>
          <w:b/>
          <w:i w:val="0"/>
          <w:color w:val="646464"/>
          <w:sz w:val="22"/>
        </w:rPr>
        <w:t>HÀ NỘI — NĂM HỌC 2026</w:t>
      </w:r>
    </w:p>
    <w:p>
      <w:r>
        <w:br w:type="page"/>
      </w:r>
    </w:p>
    <w:p>
      <w:pPr>
        <w:pStyle w:val="Heading1"/>
        <w:keepNext/>
        <w:spacing w:before="280" w:after="80"/>
      </w:pPr>
      <w:r>
        <w:rPr>
          <w:b/>
          <w:color w:val="1A365D"/>
          <w:sz w:val="32"/>
        </w:rPr>
        <w:t>MỤC LỤC TỔNG QUAN</w:t>
      </w:r>
    </w:p>
    <w:p>
      <w:pPr>
        <w:spacing w:after="120" w:line="300" w:lineRule="auto"/>
        <w:jc w:val="left"/>
      </w:pPr>
      <w:r>
        <w:rPr>
          <w:rFonts w:ascii="Segoe UI" w:hAnsi="Segoe UI"/>
          <w:b/>
          <w:i w:val="0"/>
          <w:color w:val="212529"/>
          <w:sz w:val="22"/>
        </w:rPr>
        <w:t>CHƯƠNG 1: TỔNG QUAN VÀ ĐẶT VẤN ĐỀ BÀI TOÁN KHU ĐÔ THỊ</w:t>
      </w:r>
    </w:p>
    <w:p>
      <w:pPr>
        <w:spacing w:after="160" w:line="300" w:lineRule="auto"/>
        <w:jc w:val="left"/>
      </w:pPr>
      <w:r>
        <w:rPr>
          <w:rFonts w:ascii="Segoe UI" w:hAnsi="Segoe UI"/>
          <w:b w:val="0"/>
          <w:i w:val="0"/>
          <w:color w:val="212529"/>
          <w:sz w:val="22"/>
        </w:rPr>
        <w:tab/>
        <w:t>1.1 Bối cảnh thực tiễn và tính cấp thiết của đề tài</w:t>
        <w:br/>
        <w:tab/>
        <w:t>1.2 Phân tích bất cập của các mô hình vận hành truyền thống</w:t>
        <w:br/>
        <w:tab/>
        <w:t>1.3 Khảo sát các giải pháp tương đương và khoảng trống công nghệ</w:t>
        <w:br/>
        <w:tab/>
        <w:t>1.4 Mục tiêu, phạm vi và bốn trụ cột vận hành của hệ thống GreenCity</w:t>
        <w:br/>
        <w:tab/>
        <w:t>1.5 Cơ sở lý thuyết và phương pháp luận PTTKPM áp dụng</w:t>
      </w:r>
    </w:p>
    <w:p>
      <w:pPr>
        <w:spacing w:after="120" w:line="300" w:lineRule="auto"/>
        <w:jc w:val="left"/>
      </w:pPr>
      <w:r>
        <w:rPr>
          <w:rFonts w:ascii="Segoe UI" w:hAnsi="Segoe UI"/>
          <w:b/>
          <w:i w:val="0"/>
          <w:color w:val="212529"/>
          <w:sz w:val="22"/>
        </w:rPr>
        <w:t>CHƯƠNG 2: ĐẶC TẢ YÊU CẦU HỆ THỐNG (SOFTWARE REQUIREMENTS SPECIFICATION)</w:t>
      </w:r>
    </w:p>
    <w:p>
      <w:pPr>
        <w:spacing w:after="160" w:line="300" w:lineRule="auto"/>
        <w:jc w:val="left"/>
      </w:pPr>
      <w:r>
        <w:rPr>
          <w:rFonts w:ascii="Segoe UI" w:hAnsi="Segoe UI"/>
          <w:b w:val="0"/>
          <w:i w:val="0"/>
          <w:color w:val="212529"/>
          <w:sz w:val="22"/>
        </w:rPr>
        <w:tab/>
        <w:t>2.1 Phân loại tác nhân hệ thống (Internal &amp; External Actors)</w:t>
        <w:br/>
        <w:tab/>
        <w:t>2.2 Danh mục yêu cầu chức năng hoàn chỉnh từ R1 đến R7 (Phân cấp chi tiết)</w:t>
        <w:br/>
        <w:tab/>
        <w:t>2.3 Ma trận phân bổ trách nhiệm tác nhân (Requirement Traceability Matrix)</w:t>
        <w:br/>
        <w:tab/>
        <w:t>2.4 Yêu cầu phi chức năng chuẩn ISO/IEC 25010 (Bảo mật, Hiệu năng, Độ tin cậy)</w:t>
      </w:r>
    </w:p>
    <w:p>
      <w:pPr>
        <w:spacing w:after="120" w:line="300" w:lineRule="auto"/>
        <w:jc w:val="left"/>
      </w:pPr>
      <w:r>
        <w:rPr>
          <w:rFonts w:ascii="Segoe UI" w:hAnsi="Segoe UI"/>
          <w:b/>
          <w:i w:val="0"/>
          <w:color w:val="212529"/>
          <w:sz w:val="22"/>
        </w:rPr>
        <w:t>CHƯƠNG 3: MÔ HÌNH HÓA USE-CASE HỆ THỐNG THEO TIÊU CHUẨN UML 2.5</w:t>
      </w:r>
    </w:p>
    <w:p>
      <w:pPr>
        <w:spacing w:after="160" w:line="300" w:lineRule="auto"/>
        <w:jc w:val="left"/>
      </w:pPr>
      <w:r>
        <w:rPr>
          <w:rFonts w:ascii="Segoe UI" w:hAnsi="Segoe UI"/>
          <w:b w:val="0"/>
          <w:i w:val="0"/>
          <w:color w:val="212529"/>
          <w:sz w:val="22"/>
        </w:rPr>
        <w:tab/>
        <w:t>3.1 Sơ đồ Use-Case tổng quan hệ thống GreenCity</w:t>
        <w:br/>
        <w:tab/>
        <w:t>3.2 Hệ thống 7 Sơ đồ Use-Case phân rã chi tiết cho từng phân hệ nghiệp vụ</w:t>
        <w:br/>
        <w:tab/>
        <w:t>3.3 Bảng danh mục 36 Use-Cases chuẩn hóa bằng cụm động từ hành động</w:t>
        <w:br/>
        <w:tab/>
        <w:t>3.4 Đặc tả kịch bản Use-Case chi tiết cho các ca sử dụng cốt lõi (UC1.1, UC2.3, UC3.4, UC3.6, UC4.1, UC5.4, UC6.2, UC7.3)</w:t>
      </w:r>
    </w:p>
    <w:p>
      <w:pPr>
        <w:spacing w:after="120" w:line="300" w:lineRule="auto"/>
        <w:jc w:val="left"/>
      </w:pPr>
      <w:r>
        <w:rPr>
          <w:rFonts w:ascii="Segoe UI" w:hAnsi="Segoe UI"/>
          <w:b/>
          <w:i w:val="0"/>
          <w:color w:val="212529"/>
          <w:sz w:val="22"/>
        </w:rPr>
        <w:t>CHƯƠNG 4: THIẾT KẾ KIẾN TRÚC VÀ CƠ SỞ DỮ LIỆU ĐỊNH HƯỚNG SẢN PHẨM</w:t>
      </w:r>
    </w:p>
    <w:p>
      <w:pPr>
        <w:spacing w:after="160" w:line="300" w:lineRule="auto"/>
        <w:jc w:val="left"/>
      </w:pPr>
      <w:r>
        <w:rPr>
          <w:rFonts w:ascii="Segoe UI" w:hAnsi="Segoe UI"/>
          <w:b w:val="0"/>
          <w:i w:val="0"/>
          <w:color w:val="212529"/>
          <w:sz w:val="22"/>
        </w:rPr>
        <w:tab/>
        <w:t>4.1 Kiến trúc hệ thống tổng thể (Clean Architecture &amp; Domain-Driven Design)</w:t>
        <w:br/>
        <w:tab/>
        <w:t>4.2 Thiết kế cơ sở dữ liệu quan hệ PostgreSQL đa phân khu (Multi-tenancy Scope)</w:t>
        <w:br/>
        <w:tab/>
        <w:t>4.3 Danh mục thực thể và từ điển dữ liệu (Data Dictionary 20+ thực thể)</w:t>
        <w:br/>
        <w:tab/>
        <w:t>4.4 Cơ chế đảm bảo tính nhất quán: Transactional Outbox, Idempotency &amp; Audit Trail</w:t>
      </w:r>
    </w:p>
    <w:p>
      <w:pPr>
        <w:spacing w:after="120" w:line="300" w:lineRule="auto"/>
        <w:jc w:val="left"/>
      </w:pPr>
      <w:r>
        <w:rPr>
          <w:rFonts w:ascii="Segoe UI" w:hAnsi="Segoe UI"/>
          <w:b/>
          <w:i w:val="0"/>
          <w:color w:val="212529"/>
          <w:sz w:val="22"/>
        </w:rPr>
        <w:t>CHƯƠNG 5: KẾ HOẠCH KIỂM THỬ, ĐẢM BẢO CHẤT LƯỢNG VÀ NGHIỆM THU</w:t>
      </w:r>
    </w:p>
    <w:p>
      <w:pPr>
        <w:spacing w:after="360" w:line="300" w:lineRule="auto"/>
        <w:jc w:val="left"/>
      </w:pPr>
      <w:r>
        <w:rPr>
          <w:rFonts w:ascii="Segoe UI" w:hAnsi="Segoe UI"/>
          <w:b w:val="0"/>
          <w:i w:val="0"/>
          <w:color w:val="212529"/>
          <w:sz w:val="22"/>
        </w:rPr>
        <w:tab/>
        <w:t>5.1 Chiến lược kiểm thử đa tầng (Unit, Isolated Integration, Concurrency, Regression)</w:t>
        <w:br/>
        <w:tab/>
        <w:t>5.2 Bảng tiêu chuẩn nghiệm thu chi tiết (Acceptance Criteria)</w:t>
        <w:br/>
        <w:tab/>
        <w:t>5.3 Lộ trình phát triển sản phẩm toàn diện (Product Master Roadmap)</w:t>
        <w:br/>
        <w:t>TÀI LIỆU THAM KHẢO HỌC THUẬT VÀ TIÊU CHUẨN KỸ THUẬT</w:t>
      </w:r>
    </w:p>
    <w:p>
      <w:pPr>
        <w:pStyle w:val="Heading2"/>
        <w:keepNext/>
        <w:spacing w:before="200" w:after="80"/>
      </w:pPr>
      <w:r>
        <w:rPr>
          <w:b/>
          <w:color w:val="2B547E"/>
          <w:sz w:val="26"/>
        </w:rPr>
        <w:t>DANH MỤC THUẬT NGỮ VÀ KÝ HIỆU VIẾT TẮT</w:t>
      </w:r>
    </w:p>
    <w:tbl>
      <w:tblPr>
        <w:tblW w:type="auto" w:w="0"/>
        <w:jc w:val="center"/>
        <w:tblLook w:firstColumn="1" w:firstRow="1" w:lastColumn="0" w:lastRow="0" w:noHBand="0" w:noVBand="1" w:val="04A0"/>
      </w:tblPr>
      <w:tblGrid>
        <w:gridCol w:w="3010"/>
        <w:gridCol w:w="3010"/>
        <w:gridCol w:w="3010"/>
      </w:tblGrid>
      <w:tr>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Thuật ngữ</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Tên tiếng Anh đầy đủ</w:t>
            </w:r>
          </w:p>
        </w:tc>
        <w:tc>
          <w:tcPr>
            <w:tcW w:type="dxa" w:w="5040"/>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Ý nghĩa trong hệ thống</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BQL</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Building Management Board</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Ban Quản lý khu đô thị, cơ quan vận hành trực tiếp.</w:t>
            </w:r>
          </w:p>
        </w:tc>
      </w:tr>
      <w:tr>
        <w:tc>
          <w:tcPr>
            <w:tcW w:type="dxa" w:w="1728"/>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CSKH</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Customer Service</w:t>
            </w:r>
          </w:p>
        </w:tc>
        <w:tc>
          <w:tcPr>
            <w:tcW w:type="dxa" w:w="5040"/>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Bộ phận Chăm sóc khách hàng / Lễ tân sảnh tiếp đón cư dân.</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KTV</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Technician</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Kỹ thuật viên phụ trách bảo trì hệ thống cơ điện, tòa nhà.</w:t>
            </w:r>
          </w:p>
        </w:tc>
      </w:tr>
      <w:tr>
        <w:tc>
          <w:tcPr>
            <w:tcW w:type="dxa" w:w="1728"/>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SLA</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Service Level Agreement</w:t>
            </w:r>
          </w:p>
        </w:tc>
        <w:tc>
          <w:tcPr>
            <w:tcW w:type="dxa" w:w="5040"/>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Cam kết thời gian xử lý yêu cầu phản ánh của cư dân.</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WO</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Work Order</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Phiếu công tác giao việc xử lý kỹ thuật phát sinh từ phản ánh.</w:t>
            </w:r>
          </w:p>
        </w:tc>
      </w:tr>
      <w:tr>
        <w:tc>
          <w:tcPr>
            <w:tcW w:type="dxa" w:w="1728"/>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PIN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Personal Identification Number</w:t>
            </w:r>
          </w:p>
        </w:tc>
        <w:tc>
          <w:tcPr>
            <w:tcW w:type="dxa" w:w="5040"/>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Mã số định danh bảo mật dùng trong bàn giao bưu phẩm.</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AR</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Accounts Receivable</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Sổ cái theo dõi các khoản phải thu và công nợ căn hộ.</w:t>
            </w:r>
          </w:p>
        </w:tc>
      </w:tr>
      <w:tr>
        <w:tc>
          <w:tcPr>
            <w:tcW w:type="dxa" w:w="1728"/>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Outbox</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Transactional Outbox Pattern</w:t>
            </w:r>
          </w:p>
        </w:tc>
        <w:tc>
          <w:tcPr>
            <w:tcW w:type="dxa" w:w="5040"/>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Mô hình lưu trữ sự kiện cùng giao dịch DB để gửi thông báo tin cậy.</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JWT</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JSON Web Token</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Chuẩn mã phiên làm việc không trạng thái giữa Client và Backend.</w:t>
            </w:r>
          </w:p>
        </w:tc>
      </w:tr>
      <w:tr>
        <w:tc>
          <w:tcPr>
            <w:tcW w:type="dxa" w:w="1728"/>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RBAC</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Role-Based Access Control</w:t>
            </w:r>
          </w:p>
        </w:tc>
        <w:tc>
          <w:tcPr>
            <w:tcW w:type="dxa" w:w="5040"/>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Kiểm soát truy cập dựa trên vai trò người dùng.</w:t>
            </w:r>
          </w:p>
        </w:tc>
      </w:tr>
      <w:tr>
        <w:tc>
          <w:tcPr>
            <w:tcW w:type="dxa" w:w="1728"/>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Idempotency</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Idempotent API</w:t>
            </w:r>
          </w:p>
        </w:tc>
        <w:tc>
          <w:tcPr>
            <w:tcW w:type="dxa" w:w="5040"/>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Khả năng xử lý các request trùng lặp mà không gây sai lệch dữ liệu.</w:t>
            </w:r>
          </w:p>
        </w:tc>
      </w:tr>
    </w:tbl>
    <w:p>
      <w:r>
        <w:br w:type="page"/>
      </w:r>
    </w:p>
    <w:p>
      <w:pPr>
        <w:pStyle w:val="Heading1"/>
        <w:keepNext/>
        <w:spacing w:before="280" w:after="80"/>
      </w:pPr>
      <w:r>
        <w:rPr>
          <w:b/>
          <w:color w:val="1A365D"/>
          <w:sz w:val="32"/>
        </w:rPr>
        <w:t>CHƯƠNG 1: TỔNG QUAN VÀ ĐẶT VẤN ĐỀ BÀI TOÁN</w:t>
      </w:r>
    </w:p>
    <w:p>
      <w:pPr>
        <w:pStyle w:val="Heading2"/>
        <w:keepNext/>
        <w:spacing w:before="200" w:after="80"/>
      </w:pPr>
      <w:r>
        <w:rPr>
          <w:b/>
          <w:color w:val="2B547E"/>
          <w:sz w:val="26"/>
        </w:rPr>
        <w:t>1.1 Bối cảnh thực tiễn và Tính cấp thiết của đề tài</w:t>
      </w:r>
    </w:p>
    <w:p>
      <w:pPr>
        <w:spacing w:after="120" w:line="300" w:lineRule="auto"/>
        <w:jc w:val="left"/>
      </w:pPr>
      <w:r>
        <w:rPr>
          <w:rFonts w:ascii="Segoe UI" w:hAnsi="Segoe UI"/>
          <w:b w:val="0"/>
          <w:i w:val="0"/>
          <w:color w:val="212529"/>
          <w:sz w:val="22"/>
        </w:rPr>
        <w:t>Trong bối cảnh đô thị hóa nhanh chóng tại Việt Nam, các quần thể đại đô thị phức hợp (như Vinhomes Smart City, Ecopark, Phú Mỹ Hưng) xuất hiện ngày càng phổ biến. Một khu đô thị tiêu biểu quy mô từ 5 đến 30 tòa nhà cao tầng, quản lý hàng chục ngàn căn hộ cùng hàng trăm ngàn cư dân sinh sống. Để đảm bảo vận hành nhịp nhàng khối tài sản và dân cư khổng lồ đó, Ban Quản lý (BQL) phải điều phối đồng thời nhiều lực lượng nghiệp vụ chuyên biệt: Lễ tân chăm sóc khách hàng, Đội ngũ kỹ thuật bảo trì hạ tầng cơ điện (M&amp;E), Đội vệ sinh môi trường, Lực lượng an ninh trật tự, và Phòng Kế toán tài chính.</w:t>
      </w:r>
    </w:p>
    <w:p>
      <w:pPr>
        <w:spacing w:after="120" w:line="300" w:lineRule="auto"/>
        <w:jc w:val="left"/>
      </w:pPr>
      <w:r>
        <w:rPr>
          <w:rFonts w:ascii="Segoe UI" w:hAnsi="Segoe UI"/>
          <w:b w:val="0"/>
          <w:i w:val="0"/>
          <w:color w:val="212529"/>
          <w:sz w:val="22"/>
        </w:rPr>
        <w:t>Sự bùng nổ của thương mại điện tử và dịch vụ giao hàng tận nơi (e-commerce, food delivery, express logistics) càng tạo áp lực khổng lồ lên sảnh lễ tân. Mỗi ngày có hàng trăm bưu phẩm luân chuyển qua quầy; tình trạng thất lạc, chiếm dụng không gian lưu trữ và tranh chấp giữa cư dân - nhân viên - đơn vị vận chuyển diễn ra thường xuyên. Do đó, việc xây dựng một hệ thống phần mềm quản lý vận hành khu đô thị thông minh (Smart Urban Operations Platform) mang tính cấp thiết chiến lược, không chỉ giúp tối ưu hóa chi phí vận hành mà còn nâng cao chất lượng cuộc sống cho cư dân và bảo vệ giá trị bất động sản dài hạn.</w:t>
      </w:r>
    </w:p>
    <w:p>
      <w:pPr>
        <w:pStyle w:val="Heading2"/>
        <w:keepNext/>
        <w:spacing w:before="200" w:after="80"/>
      </w:pPr>
      <w:r>
        <w:rPr>
          <w:b/>
          <w:color w:val="2B547E"/>
          <w:sz w:val="26"/>
        </w:rPr>
        <w:t>1.2 Phân tích các bất cập của mô hình vận hành truyền thống</w:t>
      </w:r>
    </w:p>
    <w:p>
      <w:pPr>
        <w:spacing w:after="120" w:line="300" w:lineRule="auto"/>
        <w:jc w:val="left"/>
      </w:pPr>
      <w:r>
        <w:rPr>
          <w:rFonts w:ascii="Segoe UI" w:hAnsi="Segoe UI"/>
          <w:b w:val="0"/>
          <w:i w:val="0"/>
          <w:color w:val="212529"/>
          <w:sz w:val="22"/>
        </w:rPr>
        <w:t>Khảo sát thực tế tại các ban quản lý truyền thống cho thấy 5 nút thắt nghiêm trọng làm giảm hiệu năng và gây rủi ro quản trị:</w:t>
      </w:r>
    </w:p>
    <w:p>
      <w:pPr>
        <w:spacing w:after="120" w:line="300" w:lineRule="auto"/>
        <w:jc w:val="left"/>
      </w:pPr>
      <w:r>
        <w:rPr>
          <w:rFonts w:ascii="Segoe UI" w:hAnsi="Segoe UI"/>
          <w:b w:val="0"/>
          <w:i w:val="0"/>
          <w:color w:val="212529"/>
          <w:sz w:val="22"/>
        </w:rPr>
        <w:t>1. Phân mảnh dữ liệu không gian và nhân thân: Thông tin căn hộ, tình trạng sở hữu, danh sách nhân khẩu thường được lưu trên các file bảng tính Excel riêng rẽ giữa bộ phận lễ tân và kế toán. Khi cư dân chuyển nhượng hoặc cho thuê lại, dữ liệu không được đồng bộ tức thời, dẫn đến sai sót khi gửi thông báo và hóa đơn.</w:t>
      </w:r>
    </w:p>
    <w:p>
      <w:pPr>
        <w:spacing w:after="120" w:line="300" w:lineRule="auto"/>
        <w:jc w:val="left"/>
      </w:pPr>
      <w:r>
        <w:rPr>
          <w:rFonts w:ascii="Segoe UI" w:hAnsi="Segoe UI"/>
          <w:b w:val="0"/>
          <w:i w:val="0"/>
          <w:color w:val="212529"/>
          <w:sz w:val="22"/>
        </w:rPr>
        <w:t>2. Kênh tiếp nhận và xử lý phản ánh thiếu minh bạch: Cư dân phản ánh sự cố hỏng hóc qua sổ trực ban hoặc các nhóm mạng xã hội tự phát. Yêu cầu không được phân loại khoa học, không gắn chỉ số cam kết thời gian hoàn thành (SLA), khiến ban giám đốc không thể đo lường năng suất làm việc của kỹ thuật viên.</w:t>
      </w:r>
    </w:p>
    <w:p>
      <w:pPr>
        <w:spacing w:after="120" w:line="300" w:lineRule="auto"/>
        <w:jc w:val="left"/>
      </w:pPr>
      <w:r>
        <w:rPr>
          <w:rFonts w:ascii="Segoe UI" w:hAnsi="Segoe UI"/>
          <w:b w:val="0"/>
          <w:i w:val="0"/>
          <w:color w:val="212529"/>
          <w:sz w:val="22"/>
        </w:rPr>
        <w:t>3. Rủi ro pháp lý và thất thoát trong quản lý bưu phẩm: Quy trình nhận bưu kiện thủ công bằng ký sổ giấy dễ dẫn đến rách nát, nhầm lẫn người nhận, không có bằng chứng số hóa xác thực lúc bàn giao, gây tranh cãi kéo dài khi bưu phẩm giá trị cao bị hư hỏng hoặc mất mát.</w:t>
      </w:r>
    </w:p>
    <w:p>
      <w:pPr>
        <w:spacing w:after="120" w:line="300" w:lineRule="auto"/>
        <w:jc w:val="left"/>
      </w:pPr>
      <w:r>
        <w:rPr>
          <w:rFonts w:ascii="Segoe UI" w:hAnsi="Segoe UI"/>
          <w:b w:val="0"/>
          <w:i w:val="0"/>
          <w:color w:val="212529"/>
          <w:sz w:val="22"/>
        </w:rPr>
        <w:t>4. Quy trình tài chính, đối soát công nợ phức tạp và thủ công: Việc tính toán biểu phí quản lý theo diện tích, phí xe cơ giới, phí dịch vụ phát sinh cho hàng ngàn căn hộ mỗi tháng đòi hỏi nhân lực kế toán rất lớn. Tình trạng gạch nợ thủ công khi cư dân chuyển khoản sai nội dung dẫn đến dư nợ ảo hoặc nhầm lẫn công nợ giữa các kỳ.</w:t>
      </w:r>
    </w:p>
    <w:p>
      <w:pPr>
        <w:spacing w:after="120" w:line="300" w:lineRule="auto"/>
        <w:jc w:val="left"/>
      </w:pPr>
      <w:r>
        <w:rPr>
          <w:rFonts w:ascii="Segoe UI" w:hAnsi="Segoe UI"/>
          <w:b w:val="0"/>
          <w:i w:val="0"/>
          <w:color w:val="212529"/>
          <w:sz w:val="22"/>
        </w:rPr>
        <w:t>5. Nguy cơ mất an toàn thông tin và vi phạm dữ liệu cá nhân (ND13/2023/NĐ-CP): Nhân viên một tòa nhà có thể xem được số điện thoại, căn hộ và thông tin tài chính của cư dân tòa nhà khác do hệ thống thiếu ranh giới phân quyền dữ liệu theo phạm vi địa lý (Scope-based Access Control).</w:t>
      </w:r>
    </w:p>
    <w:p>
      <w:pPr>
        <w:pStyle w:val="Heading2"/>
        <w:keepNext/>
        <w:spacing w:before="200" w:after="80"/>
      </w:pPr>
      <w:r>
        <w:rPr>
          <w:b/>
          <w:color w:val="2B547E"/>
          <w:sz w:val="26"/>
        </w:rPr>
        <w:t>1.3 Khảo sát các giải pháp tương đương và Khoảng trống công nghệ</w:t>
      </w:r>
    </w:p>
    <w:p>
      <w:pPr>
        <w:spacing w:after="120" w:line="300" w:lineRule="auto"/>
        <w:jc w:val="left"/>
      </w:pPr>
      <w:r>
        <w:rPr>
          <w:rFonts w:ascii="Segoe UI" w:hAnsi="Segoe UI"/>
          <w:b w:val="0"/>
          <w:i w:val="0"/>
          <w:color w:val="212529"/>
          <w:sz w:val="22"/>
        </w:rPr>
        <w:t>Nhóm nghiên cứu đã thực hiện khảo sát và phân tích đối chuẩn (Benchmarking) 3 giải pháp quản lý khu đô thị phổ biến hiện nay:</w:t>
      </w:r>
    </w:p>
    <w:tbl>
      <w:tblPr>
        <w:tblW w:type="auto" w:w="0"/>
        <w:jc w:val="center"/>
        <w:tblLook w:firstColumn="1" w:firstRow="1" w:lastColumn="0" w:lastRow="0" w:noHBand="0" w:noVBand="1" w:val="04A0"/>
      </w:tblPr>
      <w:tblGrid>
        <w:gridCol w:w="2257"/>
        <w:gridCol w:w="2257"/>
        <w:gridCol w:w="2257"/>
        <w:gridCol w:w="2257"/>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Tiêu chí đánh giá</w:t>
            </w:r>
          </w:p>
        </w:tc>
        <w:tc>
          <w:tcPr>
            <w:tcW w:type="dxa" w:w="244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BuildingCare / CyHome</w:t>
            </w:r>
          </w:p>
        </w:tc>
        <w:tc>
          <w:tcPr>
            <w:tcW w:type="dxa" w:w="244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Landsoft Control</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Hệ thống GreenCity (Đề xuất)</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Mô hình phân quyền</w:t>
            </w:r>
          </w:p>
        </w:tc>
        <w:tc>
          <w:tcPr>
            <w:tcW w:type="dxa" w:w="244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quyền theo Role đơn giản, ranh giới dữ liệu lỏng lẻo.</w:t>
            </w:r>
          </w:p>
        </w:tc>
        <w:tc>
          <w:tcPr>
            <w:tcW w:type="dxa" w:w="244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quyền nghiệp vụ sâu nhưng phức tạp, khó mở rộng.</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quyền đa tầng theo Phân khu (Site) &amp; Tòa nhà (Building Scope), deny-by-default.</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Quản lý bưu phẩm</w:t>
            </w:r>
          </w:p>
        </w:tc>
        <w:tc>
          <w:tcPr>
            <w:tcW w:type="dxa" w:w="244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Chụp ảnh thông báo đơn giản, bàn giao thủ công không PIN.</w:t>
            </w:r>
          </w:p>
        </w:tc>
        <w:tc>
          <w:tcPr>
            <w:tcW w:type="dxa" w:w="244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Module rời rạc, không tích hợp kiểm soát chống mất mát.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Bảo mật mã PIN băm (Hash), khóa thử sai lũy tiến, liên kết Case khi mất/hỏng.</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Độ tin cậy giao dịch</w:t>
            </w:r>
          </w:p>
        </w:tc>
        <w:tc>
          <w:tcPr>
            <w:tcW w:type="dxa" w:w="244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Không có Idempotency, dễ trùng lặp khi mạng giật lag.</w:t>
            </w:r>
          </w:p>
        </w:tc>
        <w:tc>
          <w:tcPr>
            <w:tcW w:type="dxa" w:w="244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Lưu vết trực tiếp trong DB, phụ thuộc trigger cơ sở dữ liệu.</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Cơ chế Idempotent Replay, Transactional Outbox chống mất mát thông báo.</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Minh bạch kiểm toán</w:t>
            </w:r>
          </w:p>
        </w:tc>
        <w:tc>
          <w:tcPr>
            <w:tcW w:type="dxa" w:w="244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Log sự kiện cơ bản, dễ bị can thiệp trực tiếp từ DB.</w:t>
            </w:r>
          </w:p>
        </w:tc>
        <w:tc>
          <w:tcPr>
            <w:tcW w:type="dxa" w:w="244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Log lưu dạng text thô, khó truy vấn theo dõi vết.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Audit Trail chuẩn hóa với correlation ID, snapshot trước/sau của dữ liệu.</w:t>
            </w:r>
          </w:p>
        </w:tc>
      </w:tr>
    </w:tbl>
    <w:p>
      <w:pPr>
        <w:spacing w:after="160"/>
      </w:pPr>
    </w:p>
    <w:p>
      <w:pPr>
        <w:pStyle w:val="Heading2"/>
        <w:keepNext/>
        <w:spacing w:before="200" w:after="80"/>
      </w:pPr>
      <w:r>
        <w:rPr>
          <w:b/>
          <w:color w:val="2B547E"/>
          <w:sz w:val="26"/>
        </w:rPr>
        <w:t>1.4 Mục tiêu, Phạm vi và Bốn trụ cột vận hành của GreenCity</w:t>
      </w:r>
    </w:p>
    <w:p>
      <w:pPr>
        <w:spacing w:after="120" w:line="300" w:lineRule="auto"/>
        <w:jc w:val="left"/>
      </w:pPr>
      <w:r>
        <w:rPr>
          <w:rFonts w:ascii="Segoe UI" w:hAnsi="Segoe UI"/>
          <w:b w:val="0"/>
          <w:i w:val="0"/>
          <w:color w:val="212529"/>
          <w:sz w:val="22"/>
        </w:rPr>
        <w:t>Hệ thống phần mềm GreenCity được định vị là nền tảng quản trị vận hành khu đô thị cấp độ doanh nghiệp, bao phủ toàn diện 4 lát cắt nghiệp vụ cốt lõi:</w:t>
      </w:r>
    </w:p>
    <w:p>
      <w:pPr>
        <w:spacing w:after="120" w:line="300" w:lineRule="auto"/>
        <w:jc w:val="left"/>
      </w:pPr>
      <w:r>
        <w:rPr>
          <w:rFonts w:ascii="Segoe UI" w:hAnsi="Segoe UI"/>
          <w:b w:val="0"/>
          <w:i w:val="0"/>
          <w:color w:val="212529"/>
          <w:sz w:val="22"/>
        </w:rPr>
        <w:t>• Trụ cột 1 - Dịch vụ khách hàng &amp; Đời sống cư dân (Customer Service &amp; Resident Life): Chuẩn hóa quy trình tiếp nhận yêu cầu, điều phối phiếu công tác (Work Order), tự động hóa quy trình bưu phẩm (Parcel-to-Case), và cổng thông tin tự phục vụ cư dân.</w:t>
      </w:r>
    </w:p>
    <w:p>
      <w:pPr>
        <w:spacing w:after="120" w:line="300" w:lineRule="auto"/>
        <w:jc w:val="left"/>
      </w:pPr>
      <w:r>
        <w:rPr>
          <w:rFonts w:ascii="Segoe UI" w:hAnsi="Segoe UI"/>
          <w:b w:val="0"/>
          <w:i w:val="0"/>
          <w:color w:val="212529"/>
          <w:sz w:val="22"/>
        </w:rPr>
        <w:t>• Trụ cột 2 - Vận hành kỹ thuật &amp; Bảo trì hạ tầng (Technical Operations &amp; Asset Maintenance): Quản lý hồ sơ thiết bị M&amp;E, tự động sinh lịch bảo dưỡng định kỳ, nghiệm thu công việc bằng checklist số hóa.</w:t>
      </w:r>
    </w:p>
    <w:p>
      <w:pPr>
        <w:spacing w:after="120" w:line="300" w:lineRule="auto"/>
        <w:jc w:val="left"/>
      </w:pPr>
      <w:r>
        <w:rPr>
          <w:rFonts w:ascii="Segoe UI" w:hAnsi="Segoe UI"/>
          <w:b w:val="0"/>
          <w:i w:val="0"/>
          <w:color w:val="212529"/>
          <w:sz w:val="22"/>
        </w:rPr>
        <w:t>• Trụ cột 3 - Vệ sinh môi trường &amp; Cảnh quan đô thị (Environmental Cleaning): Phân công ca trực, thiết lập tuyến kiểm tra vệ sinh khu vực công cộng, giám sát kết quả thực thi.</w:t>
      </w:r>
    </w:p>
    <w:p>
      <w:pPr>
        <w:spacing w:after="120" w:line="300" w:lineRule="auto"/>
        <w:jc w:val="left"/>
      </w:pPr>
      <w:r>
        <w:rPr>
          <w:rFonts w:ascii="Segoe UI" w:hAnsi="Segoe UI"/>
          <w:b w:val="0"/>
          <w:i w:val="0"/>
          <w:color w:val="212529"/>
          <w:sz w:val="22"/>
        </w:rPr>
        <w:t>• Trụ cột 4 - An ninh, Trật tự &amp; An toàn PCCC (Security &amp; Safety Operations): Lập lịch tuần tra tại các điểm trạm (checkpoint), bàn giao ca trực bảo vệ, báo cáo sự cố khẩn cấp và quy trình leo thang tự động.</w:t>
      </w:r>
    </w:p>
    <w:p>
      <w:pPr>
        <w:pStyle w:val="Heading2"/>
        <w:keepNext/>
        <w:spacing w:before="200" w:after="80"/>
      </w:pPr>
      <w:r>
        <w:rPr>
          <w:b/>
          <w:color w:val="2B547E"/>
          <w:sz w:val="26"/>
        </w:rPr>
        <w:t>1.5 Cơ sở lý thuyết và Phương pháp luận phát triển phần mềm</w:t>
      </w:r>
    </w:p>
    <w:p>
      <w:pPr>
        <w:spacing w:after="120" w:line="300" w:lineRule="auto"/>
        <w:jc w:val="left"/>
      </w:pPr>
      <w:r>
        <w:rPr>
          <w:rFonts w:ascii="Segoe UI" w:hAnsi="Segoe UI"/>
          <w:b w:val="0"/>
          <w:i w:val="0"/>
          <w:color w:val="212529"/>
          <w:sz w:val="22"/>
        </w:rPr>
        <w:t>Đồ án áp dụng quy trình phát triển phần mềm lặp và gia tăng (Iterative &amp; Incremental Development) kết hợp nguyên lý Thiết kế hướng Miền (Domain-Driven Design - DDD). Toàn bộ quá trình phân tích và mô hình hóa hệ thống tuân thủ nghiêm ngặt tiêu chuẩn UML 2.5 của tổ chức OMG và chuẩn tài liệu đặc tả phần mềm IEEE 830 / ISO/IEC/IEEE 29148.</w:t>
      </w:r>
    </w:p>
    <w:p>
      <w:r>
        <w:br w:type="page"/>
      </w:r>
    </w:p>
    <w:p>
      <w:pPr>
        <w:pStyle w:val="Heading1"/>
        <w:keepNext/>
        <w:spacing w:before="280" w:after="80"/>
      </w:pPr>
      <w:r>
        <w:rPr>
          <w:b/>
          <w:color w:val="1A365D"/>
          <w:sz w:val="32"/>
        </w:rPr>
        <w:t>CHƯƠNG 2: ĐẶC TẢ YÊU CẦU HỆ THỐNG (SRS)</w:t>
      </w:r>
    </w:p>
    <w:p>
      <w:pPr>
        <w:pStyle w:val="Heading2"/>
        <w:keepNext/>
        <w:spacing w:before="200" w:after="80"/>
      </w:pPr>
      <w:r>
        <w:rPr>
          <w:b/>
          <w:color w:val="2B547E"/>
          <w:sz w:val="26"/>
        </w:rPr>
        <w:t>2.1 Phân loại tác nhân hệ thống (Actor Classification)</w:t>
      </w:r>
    </w:p>
    <w:p>
      <w:pPr>
        <w:spacing w:after="120" w:line="300" w:lineRule="auto"/>
        <w:jc w:val="left"/>
      </w:pPr>
      <w:r>
        <w:rPr>
          <w:rFonts w:ascii="Segoe UI" w:hAnsi="Segoe UI"/>
          <w:b w:val="0"/>
          <w:i w:val="0"/>
          <w:color w:val="212529"/>
          <w:sz w:val="22"/>
        </w:rPr>
        <w:t>Hệ thống xác định rõ 7 nhóm tác nhân con người nội bộ/bên ngoài và 3 hệ thống liên kết kỹ thuật tự động:</w:t>
      </w:r>
    </w:p>
    <w:tbl>
      <w:tblPr>
        <w:tblW w:type="auto" w:w="0"/>
        <w:jc w:val="center"/>
        <w:tblLook w:firstColumn="1" w:firstRow="1" w:lastColumn="0" w:lastRow="0" w:noHBand="0" w:noVBand="1" w:val="04A0"/>
      </w:tblPr>
      <w:tblGrid>
        <w:gridCol w:w="2257"/>
        <w:gridCol w:w="2257"/>
        <w:gridCol w:w="2257"/>
        <w:gridCol w:w="2257"/>
      </w:tblGrid>
      <w:tr>
        <w:tc>
          <w:tcPr>
            <w:tcW w:type="dxa" w:w="1584"/>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Mã Actor</w:t>
            </w:r>
          </w:p>
        </w:tc>
        <w:tc>
          <w:tcPr>
            <w:tcW w:type="dxa" w:w="201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Tên Tác nhân</w:t>
            </w:r>
          </w:p>
        </w:tc>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Phân loại</w:t>
            </w:r>
          </w:p>
        </w:tc>
        <w:tc>
          <w:tcPr>
            <w:tcW w:type="dxa" w:w="403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Trách nhiệm và Quyền hạn nghiệp vụ</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ACT-01</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Quản trị viên (Admin)</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Cấu hình phân khu, quản lý tài khoản nhân viên, phân quyền vai trò và phạm vi tòa nhà, truy vấn audit trail.</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ACT-02</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Quản lý dữ liệu cư dân, tiếp nhận phản ánh, nhập bưu phẩm vào kho, xác thực mã PIN để bàn giao hàng.</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ACT-03</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Kỹ thuật viên (KTV)</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Tiếp nhận và xử lý phiếu công tác sửa chữa (Work Order), thực hiện checklist bảo trì định kỳ thiết bị.</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ACT-04</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Vệ sinh</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Thực hiện nhiệm vụ làm sạch theo tuyến, ghi nhận kết quả checklist khu vực công cộng.</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ACT-05</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An ninh</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Tuần tra các điểm trạm, ghi sổ bàn giao ca trực, tiếp nhận bưu phẩm tại sảnh, xử lý sự cố an ninh.</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ACT-06</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Kế toán (Accountant)</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Cấu hình biểu phí, tính toán tiền cước định kỳ, phát hành hóa đơn, tiếp nhận và phân bổ thanh toán, đối soát sổ cái.</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ACT-07</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Ban Giám đốc (Director)</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Nội bộ</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Phê duyệt biểu phí, giám sát biểu đồ chỉ số KPI điều hành, duyệt các trường hợp điều chỉnh công nợ.</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ACT-08</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Cư dân (Resident)</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Bên ngoài</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Gửi phản ánh dịch vụ, tra cứu bưu phẩm tại sảnh, xem hóa đơn tiền cước, nhận thông báo đẩy.</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ACT-09</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System Scheduler</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ngầm</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Tác nhân tự động quét hàng đợi Outbox, kiểm tra hạn SLA, tính cước kỳ kế toán tự động.</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ACT-10</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External Gateways</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ngoài</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Cổng thông báo Email/SMS/Push và Cổng thanh toán Ngân hàng/VietQR phục vụ đối soát.</w:t>
            </w:r>
          </w:p>
        </w:tc>
      </w:tr>
    </w:tbl>
    <w:p>
      <w:pPr>
        <w:spacing w:after="160"/>
      </w:pPr>
    </w:p>
    <w:p>
      <w:pPr>
        <w:pStyle w:val="Heading2"/>
        <w:keepNext/>
        <w:spacing w:before="200" w:after="80"/>
      </w:pPr>
      <w:r>
        <w:rPr>
          <w:b/>
          <w:color w:val="2B547E"/>
          <w:sz w:val="26"/>
        </w:rPr>
        <w:t>2.2 Danh mục Yêu cầu chức năng phân cấp hoàn chỉnh (R1 — R7)</w:t>
      </w:r>
    </w:p>
    <w:p>
      <w:pPr>
        <w:spacing w:after="120" w:line="300" w:lineRule="auto"/>
        <w:jc w:val="left"/>
      </w:pPr>
      <w:r>
        <w:rPr>
          <w:rFonts w:ascii="Segoe UI" w:hAnsi="Segoe UI"/>
          <w:b w:val="0"/>
          <w:i w:val="0"/>
          <w:color w:val="212529"/>
          <w:sz w:val="22"/>
        </w:rPr>
        <w:t>Hệ thống yêu cầu chức năng được sắp xếp logic theo thứ tự khởi tạo dữ liệu nghiệp vụ:</w:t>
      </w:r>
    </w:p>
    <w:p>
      <w:pPr>
        <w:spacing w:after="120" w:line="300" w:lineRule="auto"/>
        <w:jc w:val="left"/>
      </w:pPr>
      <w:r>
        <w:rPr>
          <w:rFonts w:ascii="Segoe UI" w:hAnsi="Segoe UI"/>
          <w:b/>
          <w:i w:val="0"/>
          <w:color w:val="212529"/>
          <w:sz w:val="22"/>
        </w:rPr>
        <w:t>R1. Quản trị Truy cập, Xác thực và Phân quyền phạm vi (Identity &amp; Access Control):</w:t>
      </w:r>
    </w:p>
    <w:p>
      <w:pPr>
        <w:spacing w:after="120" w:line="300" w:lineRule="auto"/>
        <w:jc w:val="left"/>
      </w:pPr>
      <w:r>
        <w:rPr>
          <w:rFonts w:ascii="Segoe UI" w:hAnsi="Segoe UI"/>
          <w:b w:val="0"/>
          <w:i w:val="0"/>
          <w:color w:val="212529"/>
          <w:sz w:val="22"/>
        </w:rPr>
        <w:t>• R1.1: Hệ thống cho phép người dùng đăng nhập bằng tên người dùng và mật khẩu, cấp phiên làm việc JWT có thời hạn bảo mật.</w:t>
      </w:r>
    </w:p>
    <w:p>
      <w:pPr>
        <w:spacing w:after="120" w:line="300" w:lineRule="auto"/>
        <w:jc w:val="left"/>
      </w:pPr>
      <w:r>
        <w:rPr>
          <w:rFonts w:ascii="Segoe UI" w:hAnsi="Segoe UI"/>
          <w:b w:val="0"/>
          <w:i w:val="0"/>
          <w:color w:val="212529"/>
          <w:sz w:val="22"/>
        </w:rPr>
        <w:t>• R1.2: Hệ thống cho phép nhân viên chọn phạm vi làm việc (Site / Building Scope) để áp dụng bộ lọc quyền hạn tự động.</w:t>
      </w:r>
    </w:p>
    <w:p>
      <w:pPr>
        <w:spacing w:after="120" w:line="300" w:lineRule="auto"/>
        <w:jc w:val="left"/>
      </w:pPr>
      <w:r>
        <w:rPr>
          <w:rFonts w:ascii="Segoe UI" w:hAnsi="Segoe UI"/>
          <w:b w:val="0"/>
          <w:i w:val="0"/>
          <w:color w:val="212529"/>
          <w:sz w:val="22"/>
        </w:rPr>
        <w:t>• R1.3: Hệ thống cho phép Quản trị viên khởi tạo tài khoản nhân viên, gán vai trò nghiệp vụ (Admin, CSKH, KTV, Kế toán, An ninh) và gán danh sách tòa nhà phụ trách.</w:t>
      </w:r>
    </w:p>
    <w:p>
      <w:pPr>
        <w:spacing w:after="120" w:line="300" w:lineRule="auto"/>
        <w:jc w:val="left"/>
      </w:pPr>
      <w:r>
        <w:rPr>
          <w:rFonts w:ascii="Segoe UI" w:hAnsi="Segoe UI"/>
          <w:b w:val="0"/>
          <w:i w:val="0"/>
          <w:color w:val="212529"/>
          <w:sz w:val="22"/>
        </w:rPr>
        <w:t>• R1.4: Hệ thống cho phép khóa hoặc kích hoạt lại tài khoản; tự động thu hồi phiên làm việc tức thời khi tài khoản bị khóa.</w:t>
      </w:r>
    </w:p>
    <w:p>
      <w:pPr>
        <w:spacing w:after="120" w:line="300" w:lineRule="auto"/>
        <w:jc w:val="left"/>
      </w:pPr>
      <w:r>
        <w:rPr>
          <w:rFonts w:ascii="Segoe UI" w:hAnsi="Segoe UI"/>
          <w:b w:val="0"/>
          <w:i w:val="0"/>
          <w:color w:val="212529"/>
          <w:sz w:val="22"/>
        </w:rPr>
        <w:t>• R1.5: Hệ thống cho phép người dùng đổi mật khẩu cá nhân và ghi nhật ký thay đổi thông tin an toàn.</w:t>
      </w:r>
    </w:p>
    <w:p>
      <w:pPr>
        <w:spacing w:after="120" w:line="300" w:lineRule="auto"/>
        <w:jc w:val="left"/>
      </w:pPr>
      <w:r>
        <w:rPr>
          <w:rFonts w:ascii="Segoe UI" w:hAnsi="Segoe UI"/>
          <w:b/>
          <w:i w:val="0"/>
          <w:color w:val="212529"/>
          <w:sz w:val="22"/>
        </w:rPr>
        <w:t>R2. Quản lý Không gian đô thị và Hồ sơ cư dân (Space &amp; Resident Foundation):</w:t>
      </w:r>
    </w:p>
    <w:p>
      <w:pPr>
        <w:spacing w:after="120" w:line="300" w:lineRule="auto"/>
        <w:jc w:val="left"/>
      </w:pPr>
      <w:r>
        <w:rPr>
          <w:rFonts w:ascii="Segoe UI" w:hAnsi="Segoe UI"/>
          <w:b w:val="0"/>
          <w:i w:val="0"/>
          <w:color w:val="212529"/>
          <w:sz w:val="22"/>
        </w:rPr>
        <w:t>• R2.1: Hệ thống cho phép quản lý danh mục phân khu (Site), thông tin tòa nhà (Building), số tầng và khu vực chức năng.</w:t>
      </w:r>
    </w:p>
    <w:p>
      <w:pPr>
        <w:spacing w:after="120" w:line="300" w:lineRule="auto"/>
        <w:jc w:val="left"/>
      </w:pPr>
      <w:r>
        <w:rPr>
          <w:rFonts w:ascii="Segoe UI" w:hAnsi="Segoe UI"/>
          <w:b w:val="0"/>
          <w:i w:val="0"/>
          <w:color w:val="212529"/>
          <w:sz w:val="22"/>
        </w:rPr>
        <w:t>• R2.2: Hệ thống cho phép quản lý danh mục căn hộ (Unit) gồm: mã căn hộ duy nhất theo tòa, diện tích thông thủy, loại căn và trạng thái cư trú.</w:t>
      </w:r>
    </w:p>
    <w:p>
      <w:pPr>
        <w:spacing w:after="120" w:line="300" w:lineRule="auto"/>
        <w:jc w:val="left"/>
      </w:pPr>
      <w:r>
        <w:rPr>
          <w:rFonts w:ascii="Segoe UI" w:hAnsi="Segoe UI"/>
          <w:b w:val="0"/>
          <w:i w:val="0"/>
          <w:color w:val="212529"/>
          <w:sz w:val="22"/>
        </w:rPr>
        <w:t>• R2.3: Hệ thống cho phép quản lý hồ sơ nhân thân cư dân (họ tên, số điện thoại, email, số CCCD định danh).</w:t>
      </w:r>
    </w:p>
    <w:p>
      <w:pPr>
        <w:spacing w:after="120" w:line="300" w:lineRule="auto"/>
        <w:jc w:val="left"/>
      </w:pPr>
      <w:r>
        <w:rPr>
          <w:rFonts w:ascii="Segoe UI" w:hAnsi="Segoe UI"/>
          <w:b w:val="0"/>
          <w:i w:val="0"/>
          <w:color w:val="212529"/>
          <w:sz w:val="22"/>
        </w:rPr>
        <w:t>• R2.4: Hệ thống cho phép thiết lập quan hệ sở hữu/ở giữa cư dân và căn hộ (Chủ hộ, Khách thuê, Thành viên) có mốc thời gian bắt đầu/kết thúc.</w:t>
      </w:r>
    </w:p>
    <w:p>
      <w:pPr>
        <w:spacing w:after="120" w:line="300" w:lineRule="auto"/>
        <w:jc w:val="left"/>
      </w:pPr>
      <w:r>
        <w:rPr>
          <w:rFonts w:ascii="Segoe UI" w:hAnsi="Segoe UI"/>
          <w:b w:val="0"/>
          <w:i w:val="0"/>
          <w:color w:val="212529"/>
          <w:sz w:val="22"/>
        </w:rPr>
        <w:t>• R2.5: Hệ thống cho phép chỉ định chính xác một người đại diện pháp lý và tài chính cho mỗi căn hộ.</w:t>
      </w:r>
    </w:p>
    <w:p>
      <w:pPr>
        <w:spacing w:after="120" w:line="300" w:lineRule="auto"/>
        <w:jc w:val="left"/>
      </w:pPr>
      <w:r>
        <w:rPr>
          <w:rFonts w:ascii="Segoe UI" w:hAnsi="Segoe UI"/>
          <w:b w:val="0"/>
          <w:i w:val="0"/>
          <w:color w:val="212529"/>
          <w:sz w:val="22"/>
        </w:rPr>
        <w:t>• R2.6: Hệ thống cho phép nhập dữ liệu nền hàng loạt từ file Excel/CSV mẫu (căn hộ, cư dân, quan hệ), kiểm tra tính hợp lệ từng dòng và ghi log chi tiết.</w:t>
      </w:r>
    </w:p>
    <w:p>
      <w:pPr>
        <w:spacing w:after="120" w:line="300" w:lineRule="auto"/>
        <w:jc w:val="left"/>
      </w:pPr>
      <w:r>
        <w:rPr>
          <w:rFonts w:ascii="Segoe UI" w:hAnsi="Segoe UI"/>
          <w:b/>
          <w:i w:val="0"/>
          <w:color w:val="212529"/>
          <w:sz w:val="22"/>
        </w:rPr>
        <w:t>R3. Quản lý Dịch vụ cư dân và Bưu phẩm thông minh (Service Requests &amp; Parcel Workflow):</w:t>
      </w:r>
    </w:p>
    <w:p>
      <w:pPr>
        <w:spacing w:after="120" w:line="300" w:lineRule="auto"/>
        <w:jc w:val="left"/>
      </w:pPr>
      <w:r>
        <w:rPr>
          <w:rFonts w:ascii="Segoe UI" w:hAnsi="Segoe UI"/>
          <w:b w:val="0"/>
          <w:i w:val="0"/>
          <w:color w:val="212529"/>
          <w:sz w:val="22"/>
        </w:rPr>
        <w:t>• R3.1: Hệ thống cho phép tiếp nhận yêu cầu phản ánh từ cư dân qua quầy lễ tân hoặc hotline, phân loại hạng mục và thiết lập thời hạn cam kết SLA.</w:t>
      </w:r>
    </w:p>
    <w:p>
      <w:pPr>
        <w:spacing w:after="120" w:line="300" w:lineRule="auto"/>
        <w:jc w:val="left"/>
      </w:pPr>
      <w:r>
        <w:rPr>
          <w:rFonts w:ascii="Segoe UI" w:hAnsi="Segoe UI"/>
          <w:b w:val="0"/>
          <w:i w:val="0"/>
          <w:color w:val="212529"/>
          <w:sz w:val="22"/>
        </w:rPr>
        <w:t>• R3.2: Hệ thống cho phép chuyển đổi phản ánh thành Phiếu công tác (Work Order) và điều phối cho kỹ thuật viên xử lý.</w:t>
      </w:r>
    </w:p>
    <w:p>
      <w:pPr>
        <w:spacing w:after="120" w:line="300" w:lineRule="auto"/>
        <w:jc w:val="left"/>
      </w:pPr>
      <w:r>
        <w:rPr>
          <w:rFonts w:ascii="Segoe UI" w:hAnsi="Segoe UI"/>
          <w:b w:val="0"/>
          <w:i w:val="0"/>
          <w:color w:val="212529"/>
          <w:sz w:val="22"/>
        </w:rPr>
        <w:t>• R3.3: Hệ thống cho phép tiếp nhận kiện hàng bưu phẩm (Parcel Intake), tự động sinh mã bưu phẩm duy nhất theo phân khu và sinh mã PIN giao hàng ngẫu nhiên.</w:t>
      </w:r>
    </w:p>
    <w:p>
      <w:pPr>
        <w:spacing w:after="120" w:line="300" w:lineRule="auto"/>
        <w:jc w:val="left"/>
      </w:pPr>
      <w:r>
        <w:rPr>
          <w:rFonts w:ascii="Segoe UI" w:hAnsi="Segoe UI"/>
          <w:b w:val="0"/>
          <w:i w:val="0"/>
          <w:color w:val="212529"/>
          <w:sz w:val="22"/>
        </w:rPr>
        <w:t>• R3.4: Hệ thống mã hóa mã PIN dưới dạng chuỗi băm (Hash) an toàn, tuyệt đối không lưu trữ plaintext; chụp snapshot tên và số liên hệ người nhận tại thời điểm tiếp nhận.</w:t>
      </w:r>
    </w:p>
    <w:p>
      <w:pPr>
        <w:spacing w:after="120" w:line="300" w:lineRule="auto"/>
        <w:jc w:val="left"/>
      </w:pPr>
      <w:r>
        <w:rPr>
          <w:rFonts w:ascii="Segoe UI" w:hAnsi="Segoe UI"/>
          <w:b w:val="0"/>
          <w:i w:val="0"/>
          <w:color w:val="212529"/>
          <w:sz w:val="22"/>
        </w:rPr>
        <w:t>• R3.5: Hệ thống cho phép đánh dấu trạng thái Sẵn sàng nhận (READY_FOR_PICKUP) và tự động kích hoạt tiến trình gửi thông báo tới cư dân.</w:t>
      </w:r>
    </w:p>
    <w:p>
      <w:pPr>
        <w:spacing w:after="120" w:line="300" w:lineRule="auto"/>
        <w:jc w:val="left"/>
      </w:pPr>
      <w:r>
        <w:rPr>
          <w:rFonts w:ascii="Segoe UI" w:hAnsi="Segoe UI"/>
          <w:b w:val="0"/>
          <w:i w:val="0"/>
          <w:color w:val="212529"/>
          <w:sz w:val="22"/>
        </w:rPr>
        <w:t>• R3.6: Hệ thống cho phép nhân viên xác thực mã PIN để hoàn tất Bàn giao (HANDED_OVER); tự động khóa bưu phẩm nếu nhập sai PIN quá 5 lần.</w:t>
      </w:r>
    </w:p>
    <w:p>
      <w:pPr>
        <w:spacing w:after="120" w:line="300" w:lineRule="auto"/>
        <w:jc w:val="left"/>
      </w:pPr>
      <w:r>
        <w:rPr>
          <w:rFonts w:ascii="Segoe UI" w:hAnsi="Segoe UI"/>
          <w:b w:val="0"/>
          <w:i w:val="0"/>
          <w:color w:val="212529"/>
          <w:sz w:val="22"/>
        </w:rPr>
        <w:t>• R3.7: Hệ thống cho phép ghi nhận ngoại lệ bưu phẩm (RETURNED, LOST, DAMAGED) kèm lý do bắt buộc; tự động mở Case Record điều tra sự cố khi thất lạc hoặc hư hỏng.</w:t>
      </w:r>
    </w:p>
    <w:p>
      <w:pPr>
        <w:spacing w:after="120" w:line="300" w:lineRule="auto"/>
        <w:jc w:val="left"/>
      </w:pPr>
      <w:r>
        <w:rPr>
          <w:rFonts w:ascii="Segoe UI" w:hAnsi="Segoe UI"/>
          <w:b/>
          <w:i w:val="0"/>
          <w:color w:val="212529"/>
          <w:sz w:val="22"/>
        </w:rPr>
        <w:t>R4. Quản lý Vận hành Kỹ thuật, Vệ sinh và An ninh (Operations &amp; Maintenance):</w:t>
      </w:r>
    </w:p>
    <w:p>
      <w:pPr>
        <w:spacing w:after="120" w:line="300" w:lineRule="auto"/>
        <w:jc w:val="left"/>
      </w:pPr>
      <w:r>
        <w:rPr>
          <w:rFonts w:ascii="Segoe UI" w:hAnsi="Segoe UI"/>
          <w:b w:val="0"/>
          <w:i w:val="0"/>
          <w:color w:val="212529"/>
          <w:sz w:val="22"/>
        </w:rPr>
        <w:t>• R4.1: Hệ thống cho phép quản lý danh mục tài sản thiết bị hạ tầng kỹ thuật (thang máy, máy bơm, máy phát điện, PCCC).</w:t>
      </w:r>
    </w:p>
    <w:p>
      <w:pPr>
        <w:spacing w:after="120" w:line="300" w:lineRule="auto"/>
        <w:jc w:val="left"/>
      </w:pPr>
      <w:r>
        <w:rPr>
          <w:rFonts w:ascii="Segoe UI" w:hAnsi="Segoe UI"/>
          <w:b w:val="0"/>
          <w:i w:val="0"/>
          <w:color w:val="212529"/>
          <w:sz w:val="22"/>
        </w:rPr>
        <w:t>• R4.2: Hệ thống cho phép thiết lập kế hoạch bảo trì phòng ngừa định kỳ và tự động sinh lịch kiểm tra cho kỹ thuật viên.</w:t>
      </w:r>
    </w:p>
    <w:p>
      <w:pPr>
        <w:spacing w:after="120" w:line="300" w:lineRule="auto"/>
        <w:jc w:val="left"/>
      </w:pPr>
      <w:r>
        <w:rPr>
          <w:rFonts w:ascii="Segoe UI" w:hAnsi="Segoe UI"/>
          <w:b w:val="0"/>
          <w:i w:val="0"/>
          <w:color w:val="212529"/>
          <w:sz w:val="22"/>
        </w:rPr>
        <w:t>• R4.3: Hệ thống cho phép phân công ca trực, lập tuyến vệ sinh khu vực công cộng và ghi nhận kết quả đánh giá checklist vệ sinh.</w:t>
      </w:r>
    </w:p>
    <w:p>
      <w:pPr>
        <w:spacing w:after="120" w:line="300" w:lineRule="auto"/>
        <w:jc w:val="left"/>
      </w:pPr>
      <w:r>
        <w:rPr>
          <w:rFonts w:ascii="Segoe UI" w:hAnsi="Segoe UI"/>
          <w:b w:val="0"/>
          <w:i w:val="0"/>
          <w:color w:val="212529"/>
          <w:sz w:val="22"/>
        </w:rPr>
        <w:t>• R4.4: Hệ thống cho phép lực lượng an ninh ghi nhận lịch trình tuần tra theo điểm trạm và lập biên bản giao nhận ca trực.</w:t>
      </w:r>
    </w:p>
    <w:p>
      <w:pPr>
        <w:spacing w:after="120" w:line="300" w:lineRule="auto"/>
        <w:jc w:val="left"/>
      </w:pPr>
      <w:r>
        <w:rPr>
          <w:rFonts w:ascii="Segoe UI" w:hAnsi="Segoe UI"/>
          <w:b w:val="0"/>
          <w:i w:val="0"/>
          <w:color w:val="212529"/>
          <w:sz w:val="22"/>
        </w:rPr>
        <w:t>• R4.5: Hệ thống cho phép ghi nhận sự cố an ninh trật tự, đính kèm hình ảnh hiện trường và kích hoạt quy trình leo thang khẩn cấp.</w:t>
      </w:r>
    </w:p>
    <w:p>
      <w:pPr>
        <w:spacing w:after="120" w:line="300" w:lineRule="auto"/>
        <w:jc w:val="left"/>
      </w:pPr>
      <w:r>
        <w:rPr>
          <w:rFonts w:ascii="Segoe UI" w:hAnsi="Segoe UI"/>
          <w:b/>
          <w:i w:val="0"/>
          <w:color w:val="212529"/>
          <w:sz w:val="22"/>
        </w:rPr>
        <w:t>R5. Quản lý Tài chính, Biểu phí và Hóa đơn (Billing &amp; Financial Accounting):</w:t>
      </w:r>
    </w:p>
    <w:p>
      <w:pPr>
        <w:spacing w:after="120" w:line="300" w:lineRule="auto"/>
        <w:jc w:val="left"/>
      </w:pPr>
      <w:r>
        <w:rPr>
          <w:rFonts w:ascii="Segoe UI" w:hAnsi="Segoe UI"/>
          <w:b w:val="0"/>
          <w:i w:val="0"/>
          <w:color w:val="212529"/>
          <w:sz w:val="22"/>
        </w:rPr>
        <w:t>• R5.1: Hệ thống cho phép kế toán thiết lập biểu phí dịch vụ (phí quản lý theo m2, phí xe, nước, dịch vụ) và quản lý lịch sử phiên bản biểu phí.</w:t>
      </w:r>
    </w:p>
    <w:p>
      <w:pPr>
        <w:spacing w:after="120" w:line="300" w:lineRule="auto"/>
        <w:jc w:val="left"/>
      </w:pPr>
      <w:r>
        <w:rPr>
          <w:rFonts w:ascii="Segoe UI" w:hAnsi="Segoe UI"/>
          <w:b w:val="0"/>
          <w:i w:val="0"/>
          <w:color w:val="212529"/>
          <w:sz w:val="22"/>
        </w:rPr>
        <w:t>• R5.2: Hệ thống cho phép quản trị trạng thái kỳ kế toán (Mở, Đang chốt, Đã chốt, Khóa sổ) theo từng tháng.</w:t>
      </w:r>
    </w:p>
    <w:p>
      <w:pPr>
        <w:spacing w:after="120" w:line="300" w:lineRule="auto"/>
        <w:jc w:val="left"/>
      </w:pPr>
      <w:r>
        <w:rPr>
          <w:rFonts w:ascii="Segoe UI" w:hAnsi="Segoe UI"/>
          <w:b w:val="0"/>
          <w:i w:val="0"/>
          <w:color w:val="212529"/>
          <w:sz w:val="22"/>
        </w:rPr>
        <w:t>• R5.3: Hệ thống cho phép chạy tiến trình tính cước tự động (Billing Run) và phát hành hóa đơn thu phí (Billing Invoice) cho từng căn hộ.</w:t>
      </w:r>
    </w:p>
    <w:p>
      <w:pPr>
        <w:spacing w:after="120" w:line="300" w:lineRule="auto"/>
        <w:jc w:val="left"/>
      </w:pPr>
      <w:r>
        <w:rPr>
          <w:rFonts w:ascii="Segoe UI" w:hAnsi="Segoe UI"/>
          <w:b w:val="0"/>
          <w:i w:val="0"/>
          <w:color w:val="212529"/>
          <w:sz w:val="22"/>
        </w:rPr>
        <w:t>• R5.4: Hệ thống cho phép ghi nhận các giao dịch thanh toán tiền cước của cư dân bằng tiền mặt hoặc chuyển khoản ngân hàng.</w:t>
      </w:r>
    </w:p>
    <w:p>
      <w:pPr>
        <w:spacing w:after="120" w:line="300" w:lineRule="auto"/>
        <w:jc w:val="left"/>
      </w:pPr>
      <w:r>
        <w:rPr>
          <w:rFonts w:ascii="Segoe UI" w:hAnsi="Segoe UI"/>
          <w:b w:val="0"/>
          <w:i w:val="0"/>
          <w:color w:val="212529"/>
          <w:sz w:val="22"/>
        </w:rPr>
        <w:t>• R5.5: Hệ thống cho phép tự động phân bổ tiền thanh toán để gạch nợ cho các hóa đơn chưa trả theo thứ tự ưu tiên hóa đơn cũ trước.</w:t>
      </w:r>
    </w:p>
    <w:p>
      <w:pPr>
        <w:spacing w:after="120" w:line="300" w:lineRule="auto"/>
        <w:jc w:val="left"/>
      </w:pPr>
      <w:r>
        <w:rPr>
          <w:rFonts w:ascii="Segoe UI" w:hAnsi="Segoe UI"/>
          <w:b w:val="0"/>
          <w:i w:val="0"/>
          <w:color w:val="212529"/>
          <w:sz w:val="22"/>
        </w:rPr>
        <w:t>• R5.6: Hệ thống ghi nhận biến động công nợ vào Sổ cái AR Ledger, tự động quản lý số dư trả thừa (Overpayment Credit) để khấu trừ vào kỳ sau.</w:t>
      </w:r>
    </w:p>
    <w:p>
      <w:pPr>
        <w:spacing w:after="120" w:line="300" w:lineRule="auto"/>
        <w:jc w:val="left"/>
      </w:pPr>
      <w:r>
        <w:rPr>
          <w:rFonts w:ascii="Segoe UI" w:hAnsi="Segoe UI"/>
          <w:b/>
          <w:i w:val="0"/>
          <w:color w:val="212529"/>
          <w:sz w:val="22"/>
        </w:rPr>
        <w:t>R6. Cổng Tự phục vụ Cư dân (Resident Portal):</w:t>
      </w:r>
    </w:p>
    <w:p>
      <w:pPr>
        <w:spacing w:after="120" w:line="300" w:lineRule="auto"/>
        <w:jc w:val="left"/>
      </w:pPr>
      <w:r>
        <w:rPr>
          <w:rFonts w:ascii="Segoe UI" w:hAnsi="Segoe UI"/>
          <w:b w:val="0"/>
          <w:i w:val="0"/>
          <w:color w:val="212529"/>
          <w:sz w:val="22"/>
        </w:rPr>
        <w:t>• R6.1: Hệ thống cung cấp giao diện riêng cho cư dân đã được liên kết tài khoản để tra cứu thông tin theo đúng phạm vi căn hộ của mình.</w:t>
      </w:r>
    </w:p>
    <w:p>
      <w:pPr>
        <w:spacing w:after="120" w:line="300" w:lineRule="auto"/>
        <w:jc w:val="left"/>
      </w:pPr>
      <w:r>
        <w:rPr>
          <w:rFonts w:ascii="Segoe UI" w:hAnsi="Segoe UI"/>
          <w:b w:val="0"/>
          <w:i w:val="0"/>
          <w:color w:val="212529"/>
          <w:sz w:val="22"/>
        </w:rPr>
        <w:t>• R6.2: Cư dân có thể tạo mới yêu cầu sửa chữa, phản ánh khiếu nại, đính kèm hình ảnh chụp từ điện thoại và theo dõi tiến độ thời gian thực.</w:t>
      </w:r>
    </w:p>
    <w:p>
      <w:pPr>
        <w:spacing w:after="120" w:line="300" w:lineRule="auto"/>
        <w:jc w:val="left"/>
      </w:pPr>
      <w:r>
        <w:rPr>
          <w:rFonts w:ascii="Segoe UI" w:hAnsi="Segoe UI"/>
          <w:b w:val="0"/>
          <w:i w:val="0"/>
          <w:color w:val="212529"/>
          <w:sz w:val="22"/>
        </w:rPr>
        <w:t>• R6.3: Cư dân có thể tra cứu danh sách kiện hàng đang chờ tại sảnh lễ tân, thời gian tiếp nhận và trạng thái nhận hàng.</w:t>
      </w:r>
    </w:p>
    <w:p>
      <w:pPr>
        <w:spacing w:after="120" w:line="300" w:lineRule="auto"/>
        <w:jc w:val="left"/>
      </w:pPr>
      <w:r>
        <w:rPr>
          <w:rFonts w:ascii="Segoe UI" w:hAnsi="Segoe UI"/>
          <w:b w:val="0"/>
          <w:i w:val="0"/>
          <w:color w:val="212529"/>
          <w:sz w:val="22"/>
        </w:rPr>
        <w:t>• R6.4: Cư dân có thể xem chi tiết bảng kê hóa đơn đến kỳ, lịch sử các lần thanh toán trước đó và lấy mã VietQR nộp tiền nhanh.</w:t>
      </w:r>
    </w:p>
    <w:p>
      <w:pPr>
        <w:spacing w:after="120" w:line="300" w:lineRule="auto"/>
        <w:jc w:val="left"/>
      </w:pPr>
      <w:r>
        <w:rPr>
          <w:rFonts w:ascii="Segoe UI" w:hAnsi="Segoe UI"/>
          <w:b w:val="0"/>
          <w:i w:val="0"/>
          <w:color w:val="212529"/>
          <w:sz w:val="22"/>
        </w:rPr>
        <w:t>• R6.5: Cư dân có thể nhận các thông báo đẩy từ ban quản lý (thông báo cắt điện/nước, thông báo phí, thông báo bưu phẩm) và đánh dấu đã đọc.</w:t>
      </w:r>
    </w:p>
    <w:p>
      <w:pPr>
        <w:spacing w:after="120" w:line="300" w:lineRule="auto"/>
        <w:jc w:val="left"/>
      </w:pPr>
      <w:r>
        <w:rPr>
          <w:rFonts w:ascii="Segoe UI" w:hAnsi="Segoe UI"/>
          <w:b/>
          <w:i w:val="0"/>
          <w:color w:val="212529"/>
          <w:sz w:val="22"/>
        </w:rPr>
        <w:t>R7. Báo cáo Điều hành, Kiểm toán và Tự động hóa (Reporting, Audit &amp; Automation):</w:t>
      </w:r>
    </w:p>
    <w:p>
      <w:pPr>
        <w:spacing w:after="120" w:line="300" w:lineRule="auto"/>
        <w:jc w:val="left"/>
      </w:pPr>
      <w:r>
        <w:rPr>
          <w:rFonts w:ascii="Segoe UI" w:hAnsi="Segoe UI"/>
          <w:b w:val="0"/>
          <w:i w:val="0"/>
          <w:color w:val="212529"/>
          <w:sz w:val="22"/>
        </w:rPr>
        <w:t>• R7.1: Hệ thống cung cấp Dashboard điều hành hiển thị các chỉ số KPI: tỷ lệ hoàn thành yêu cầu đúng hạn SLA, tỷ lệ thu hồi công nợ, số lượng sự cố tồn đọng.</w:t>
      </w:r>
    </w:p>
    <w:p>
      <w:pPr>
        <w:spacing w:after="120" w:line="300" w:lineRule="auto"/>
        <w:jc w:val="left"/>
      </w:pPr>
      <w:r>
        <w:rPr>
          <w:rFonts w:ascii="Segoe UI" w:hAnsi="Segoe UI"/>
          <w:b w:val="0"/>
          <w:i w:val="0"/>
          <w:color w:val="212529"/>
          <w:sz w:val="22"/>
        </w:rPr>
        <w:t>• R7.2: Hệ thống tự động ghi nhật ký kiểm toán (Audit Event) đối với mọi thao tác thêm, sửa, xóa, chuyển trạng thái dữ liệu (actor, IP, timestamp, correlation_id, before/after snapshot).</w:t>
      </w:r>
    </w:p>
    <w:p>
      <w:pPr>
        <w:spacing w:after="120" w:line="300" w:lineRule="auto"/>
        <w:jc w:val="left"/>
      </w:pPr>
      <w:r>
        <w:rPr>
          <w:rFonts w:ascii="Segoe UI" w:hAnsi="Segoe UI"/>
          <w:b w:val="0"/>
          <w:i w:val="0"/>
          <w:color w:val="212529"/>
          <w:sz w:val="22"/>
        </w:rPr>
        <w:t>• R7.3: Hệ thống cho phép Quản trị viên và Ban Giám đốc truy vấn dòng vết kiểm toán để phục vụ điều tra sai phạm và giải quyết khiếu nại.</w:t>
      </w:r>
    </w:p>
    <w:p>
      <w:pPr>
        <w:spacing w:after="120" w:line="300" w:lineRule="auto"/>
        <w:jc w:val="left"/>
      </w:pPr>
      <w:r>
        <w:rPr>
          <w:rFonts w:ascii="Segoe UI" w:hAnsi="Segoe UI"/>
          <w:b w:val="0"/>
          <w:i w:val="0"/>
          <w:color w:val="212529"/>
          <w:sz w:val="22"/>
        </w:rPr>
        <w:t>• R7.4: Hệ thống vận hành cơ chế Transactional Outbox tự động quét và phát tán thông báo bất đồng bộ qua Email/SMS/Push có cơ chế thử lại (Retry) bền bỉ.</w:t>
      </w:r>
    </w:p>
    <w:p>
      <w:pPr>
        <w:pStyle w:val="Heading2"/>
        <w:keepNext/>
        <w:spacing w:before="200" w:after="80"/>
      </w:pPr>
      <w:r>
        <w:rPr>
          <w:b/>
          <w:color w:val="2B547E"/>
          <w:sz w:val="26"/>
        </w:rPr>
        <w:t>2.3 Ma trận phân bổ yêu cầu theo vai trò tác nhân (Traceability Matrix)</w:t>
      </w:r>
    </w:p>
    <w:tbl>
      <w:tblPr>
        <w:tblW w:type="auto" w:w="0"/>
        <w:jc w:val="center"/>
        <w:tblLook w:firstColumn="1" w:firstRow="1" w:lastColumn="0" w:lastRow="0" w:noHBand="0" w:noVBand="1" w:val="04A0"/>
      </w:tblPr>
      <w:tblGrid>
        <w:gridCol w:w="1129"/>
        <w:gridCol w:w="1129"/>
        <w:gridCol w:w="1129"/>
        <w:gridCol w:w="1129"/>
        <w:gridCol w:w="1129"/>
        <w:gridCol w:w="1129"/>
        <w:gridCol w:w="1129"/>
        <w:gridCol w:w="1129"/>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Nhóm yêu cầu</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Admin</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CSKH</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KTV</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AnNinh</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KeToan</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GiamDoc</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CuDan</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R1: Quản trị Truy cập</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R2: Không gian &amp; Cư dân</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R</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R3: Dịch vụ &amp; Bưu phẩm</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R</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R4: Vận hành Kỹ thuật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R</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R5: Tài chính &amp; Hóa đơn</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R6: Cổng Tự phục vụ</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R7: Báo cáo &amp; Kiểm toán</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R</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w:t>
            </w:r>
          </w:p>
        </w:tc>
        <w:tc>
          <w:tcPr>
            <w:tcW w:type="dxa" w:w="100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w:t>
            </w:r>
          </w:p>
        </w:tc>
      </w:tr>
    </w:tbl>
    <w:p>
      <w:pPr>
        <w:spacing w:after="160"/>
      </w:pPr>
    </w:p>
    <w:p>
      <w:pPr>
        <w:pStyle w:val="Heading2"/>
        <w:keepNext/>
        <w:spacing w:before="200" w:after="80"/>
      </w:pPr>
      <w:r>
        <w:rPr>
          <w:b/>
          <w:color w:val="2B547E"/>
          <w:sz w:val="26"/>
        </w:rPr>
        <w:t>2.4 Yêu cầu phi chức năng chuẩn ISO/IEC 25010 (NFRs)</w:t>
      </w:r>
    </w:p>
    <w:p>
      <w:pPr>
        <w:spacing w:after="120" w:line="300" w:lineRule="auto"/>
        <w:jc w:val="left"/>
      </w:pPr>
      <w:r>
        <w:rPr>
          <w:rFonts w:ascii="Segoe UI" w:hAnsi="Segoe UI"/>
          <w:b w:val="0"/>
          <w:i w:val="0"/>
          <w:color w:val="212529"/>
          <w:sz w:val="22"/>
        </w:rPr>
        <w:t>1. Tính an toàn bảo mật (Security - ISO 25010 4.2.3): Mọi mật khẩu và mã PIN phải được mã hóa bằng thuật toán băm chậm (Argon2 hoặc bcrypt có salt). Không lưu trữ hoặc phản hồi mã PIN thô qua API. Phiên làm việc JWT phải hết hạn sau tối đa 8 giờ đối với nhân viên và 30 ngày đối với cư dân. Dữ liệu cư dân phải được bảo vệ nghiêm ngặt chống rò rỉ chéo phân khu.</w:t>
      </w:r>
    </w:p>
    <w:p>
      <w:pPr>
        <w:spacing w:after="120" w:line="300" w:lineRule="auto"/>
        <w:jc w:val="left"/>
      </w:pPr>
      <w:r>
        <w:rPr>
          <w:rFonts w:ascii="Segoe UI" w:hAnsi="Segoe UI"/>
          <w:b w:val="0"/>
          <w:i w:val="0"/>
          <w:color w:val="212529"/>
          <w:sz w:val="22"/>
        </w:rPr>
        <w:t>2. Tính toàn vẹn và Tin cậy (Reliability &amp; Data Integrity): Hệ thống áp dụng khóa lạc quan (Optimistic Locking via version column) trên các giao dịch cập nhật trạng thái bưu phẩm và hóa đơn để triệt tiêu race condition. Áp dụng chuẩn Idempotency Key trên tất cả các request tạo mới và chuyển trạng thái.</w:t>
      </w:r>
    </w:p>
    <w:p>
      <w:pPr>
        <w:spacing w:after="120" w:line="300" w:lineRule="auto"/>
        <w:jc w:val="left"/>
      </w:pPr>
      <w:r>
        <w:rPr>
          <w:rFonts w:ascii="Segoe UI" w:hAnsi="Segoe UI"/>
          <w:b w:val="0"/>
          <w:i w:val="0"/>
          <w:color w:val="212529"/>
          <w:sz w:val="22"/>
        </w:rPr>
        <w:t>3. Hiệu năng và Khả năng mở rộng (Performance &amp; Scalability): Thời gian phản hồi trung bình của các truy vấn đọc (API GET) phải dưới 250ms với tải 500 yêu cầu đồng thời. Hỗ trợ tối thiểu 10.000 căn hộ và 50.000 cư dân trên cùng một cụm cơ sở dữ liệu PostgreSQL.</w:t>
      </w:r>
    </w:p>
    <w:p>
      <w:pPr>
        <w:spacing w:after="120" w:line="300" w:lineRule="auto"/>
        <w:jc w:val="left"/>
      </w:pPr>
      <w:r>
        <w:rPr>
          <w:rFonts w:ascii="Segoe UI" w:hAnsi="Segoe UI"/>
          <w:b w:val="0"/>
          <w:i w:val="0"/>
          <w:color w:val="212529"/>
          <w:sz w:val="22"/>
        </w:rPr>
        <w:t>4. Tính sẵn sàng (Availability): Hệ thống đạt mức độ sẵn sàng tối thiểu 99.5% thời gian hoạt động hàng tháng. Quá trình gửi thông báo qua cổng ngoài được tách biệt bằng mô hình Outbox để khi kênh thứ ba gián đoạn, các nghiệp vụ nội bộ vẫn diễn ra bình thường.</w:t>
      </w:r>
    </w:p>
    <w:p>
      <w:r>
        <w:br w:type="page"/>
      </w:r>
    </w:p>
    <w:p>
      <w:pPr>
        <w:pStyle w:val="Heading1"/>
        <w:keepNext/>
        <w:spacing w:before="280" w:after="80"/>
      </w:pPr>
      <w:r>
        <w:rPr>
          <w:b/>
          <w:color w:val="1A365D"/>
          <w:sz w:val="32"/>
        </w:rPr>
        <w:t>CHƯƠNG 3: MÔ HÌNH HÓA USE-CASE HỆ THỐNG (UML 2.5)</w:t>
      </w:r>
    </w:p>
    <w:p>
      <w:pPr>
        <w:pStyle w:val="Heading2"/>
        <w:keepNext/>
        <w:spacing w:before="200" w:after="80"/>
      </w:pPr>
      <w:r>
        <w:rPr>
          <w:b/>
          <w:color w:val="2B547E"/>
          <w:sz w:val="26"/>
        </w:rPr>
        <w:t>3.1 Nguyên tắc đặt tên và cấu trúc Use-Case</w:t>
      </w:r>
    </w:p>
    <w:p>
      <w:pPr>
        <w:spacing w:after="120" w:line="300" w:lineRule="auto"/>
        <w:jc w:val="left"/>
      </w:pPr>
      <w:r>
        <w:rPr>
          <w:rFonts w:ascii="Segoe UI" w:hAnsi="Segoe UI"/>
          <w:b w:val="0"/>
          <w:i w:val="0"/>
          <w:color w:val="212529"/>
          <w:sz w:val="22"/>
        </w:rPr>
        <w:t>Để đảm bảo tính trực quan và học thuật cao nhất theo tiêu chuẩn UML 2.5 của OMG, toàn bộ hệ thống Use-Case được thiết kế theo các quy chuẩn sau:</w:t>
      </w:r>
    </w:p>
    <w:p>
      <w:pPr>
        <w:spacing w:after="120" w:line="300" w:lineRule="auto"/>
        <w:jc w:val="left"/>
      </w:pPr>
      <w:r>
        <w:rPr>
          <w:rFonts w:ascii="Segoe UI" w:hAnsi="Segoe UI"/>
          <w:b w:val="0"/>
          <w:i w:val="0"/>
          <w:color w:val="212529"/>
          <w:sz w:val="22"/>
        </w:rPr>
        <w:t>1. 100% Tên Use-Case sử dụng CỤM ĐỘNG TỪ chỉ hành vi có thể quan sát được của tác nhân (ví dụ: 'Đăng nhập vào hệ thống', 'Tiếp nhận bưu phẩm vào kho', 'Chốt kỳ và tính cước phí').</w:t>
      </w:r>
    </w:p>
    <w:p>
      <w:pPr>
        <w:spacing w:after="120" w:line="300" w:lineRule="auto"/>
        <w:jc w:val="left"/>
      </w:pPr>
      <w:r>
        <w:rPr>
          <w:rFonts w:ascii="Segoe UI" w:hAnsi="Segoe UI"/>
          <w:b w:val="0"/>
          <w:i w:val="0"/>
          <w:color w:val="212529"/>
          <w:sz w:val="22"/>
        </w:rPr>
        <w:t>2. Hệ thống được chia thành 7 phân hệ Use-Case độc lập nhằm tránh tình trạng sơ đồ mạng nhện, quá tải thị giác.</w:t>
      </w:r>
    </w:p>
    <w:p>
      <w:pPr>
        <w:spacing w:after="120" w:line="300" w:lineRule="auto"/>
        <w:jc w:val="left"/>
      </w:pPr>
      <w:r>
        <w:rPr>
          <w:rFonts w:ascii="Segoe UI" w:hAnsi="Segoe UI"/>
          <w:b w:val="0"/>
          <w:i w:val="0"/>
          <w:color w:val="212529"/>
          <w:sz w:val="22"/>
        </w:rPr>
        <w:t>3. Thứ tự đánh số từ UC1 đến UC7 phản ánh chu trình tạo lập thông tin trong thực tế (Phân hệ cấp phát quyền → Phân hệ tạo lập dữ liệu nền → Phân hệ nghiệp vụ giao dịch → Phân hệ báo cáo điều hành).</w:t>
      </w:r>
    </w:p>
    <w:p>
      <w:pPr>
        <w:pStyle w:val="Heading2"/>
        <w:keepNext/>
        <w:spacing w:before="200" w:after="80"/>
      </w:pPr>
      <w:r>
        <w:rPr>
          <w:b/>
          <w:color w:val="2B547E"/>
          <w:sz w:val="26"/>
        </w:rPr>
        <w:t>3.2 Danh mục 36 Use-Cases chuẩn hóa toàn hệ thống</w:t>
      </w:r>
    </w:p>
    <w:tbl>
      <w:tblPr>
        <w:tblW w:type="auto" w:w="0"/>
        <w:jc w:val="center"/>
        <w:tblLook w:firstColumn="1" w:firstRow="1" w:lastColumn="0" w:lastRow="0" w:noHBand="0" w:noVBand="1" w:val="04A0"/>
      </w:tblPr>
      <w:tblGrid>
        <w:gridCol w:w="2257"/>
        <w:gridCol w:w="2257"/>
        <w:gridCol w:w="2257"/>
        <w:gridCol w:w="2257"/>
      </w:tblGrid>
      <w:tr>
        <w:tc>
          <w:tcPr>
            <w:tcW w:type="dxa" w:w="129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Mã UC</w:t>
            </w:r>
          </w:p>
        </w:tc>
        <w:tc>
          <w:tcPr>
            <w:tcW w:type="dxa" w:w="345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Tên Use-Case (Động từ)</w:t>
            </w:r>
          </w:p>
        </w:tc>
        <w:tc>
          <w:tcPr>
            <w:tcW w:type="dxa" w:w="201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Phân hệ chức năng</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Actor kích hoạt chính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UC1.1</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Đăng nhập vào hệ thống</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Tất cả Actor</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UC1.2</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Chọn phạm vi làm việc</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nghiệp vụ</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UC1.3</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Đổi mật khẩu cá nhân</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Tất cả Actor</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UC1.4</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Đăng xuất khỏi phiên</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Tất cả Actor</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UC1.5</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Khởi tạo tài khoản nhân viên</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Quản trị hệ thống</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UC1.6</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Phân quyền vai trò và phạm vi</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Quản trị hệ thống</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UC1.7</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Khóa hoặc kích hoạt tài khoản</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1. Quản lý Truy cập</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Quản trị hệ thống</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UC2.1</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Khởi tạo danh mục tòa nhà và tầng</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Quản trị hệ thống</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UC2.2</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Thiết lập danh mục căn hộ</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Quản trị hệ thống</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UC2.3</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Tiếp nhận và cập nhật hồ sơ cư dân</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UC2.4</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Thiết lập quan hệ cư dân vào căn hộ</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UC2.5</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Chỉ định người đại diện tài chính</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UC2.6</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Nhập dữ liệu nền hàng loạt từ Excel</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2. Không gian &amp; Cư dân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Admin, Lễ tân / CSKH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UC3.1</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Tiếp nhận yêu cầu phản ánh</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UC3.2</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loại yêu cầu và áp mức SLA</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Lễ tân / CSKH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UC3.3</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Lập và điều phối Work Order</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 KTV</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UC3.4</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Tiếp nhận bưu phẩm vào kho</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Lễ tân / CSKH, An ninh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UC3.5</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Sinh mã PIN băm và gửi thông báo</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(include UC3.4)</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UC3.6</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Xác thực mã PIN và bàn giao gói hàng</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Lễ tân / CSKH, An ninh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UC3.7</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Ghi nhận ngoại lệ bưu phẩm</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Lễ tân / CSKH, An ninh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UC3.8</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Tự động mở Case sự cố bưu phẩm</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3. Dịch vụ &amp; Bưu phẩm</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(include UC3.7)</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UC4.1</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Đăng ký danh mục thiết bị hạ tầng</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4. Vận hành Kỹ thuật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Trưởng Kỹ thuật</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UC4.2</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Lập kế hoạch bảo trì định kỳ</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4. Vận hành Kỹ thuật</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Trưởng Kỹ thuật</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UC4.3</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Thực hiện checklist kiểm tra bảo trì</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4. Vận hành Kỹ thuật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Kỹ thuật viên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UC4.4</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công ca trực và tuyến vệ sinh</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4. Vệ sinh Môi trường</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Đội trưởng Vệ sinh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UC4.5</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Đánh giá và chấm điểm checklist vệ sinh</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4. Vệ sinh Môi trường</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Vệ sinh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UC4.6</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Ghi nhận nhật ký tuần tra theo trạm</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4. An ninh Trật tự</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An ninh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UC4.7</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Bàn giao ca trực an ninh</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4. An ninh Trật tự</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An ninh</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UC4.8</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Báo cáo và leo thang sự cố khẩn cấp</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4. An ninh Trật tự</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An ninh</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UC5.1</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Cấu hình biểu phí dịch vụ</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Kế toán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UC5.2</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Phê duyệt phiên bản chính sách phí</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Ban Giám đốc</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UC5.3</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Quản trị mở và khóa kỳ kế toán</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Kế toán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UC5.4</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Chốt kỳ và tính cước phí tự động</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Kế toán, Scheduler</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UC5.5</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Phát hành hóa đơn thu phí</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Kế toán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UC5.6</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Ghi nhận và phân bổ thanh toán</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Kế toán</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UC5.7</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Đối soát và ghi nhận sổ cái công nợ</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5. Tài chính &amp; Hóa đơn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Kế toán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UC6.1</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Gửi yêu cầu sửa chữa hoặc phản ánh</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6. Cổng Cư dân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Cư dân</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UC6.2</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Tra cứu bưu phẩm của căn hộ</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6. Cổng Cư dân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Cư dân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UC6.3</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Tra cứu chi tiết hóa đơn đến kỳ</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6. Cổng Cư dân</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Cư dân</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UC6.4</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Đọc và xác nhận thông báo nội bộ</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6. Cổng Cư dân</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Cư dân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UC7.1</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Theo dõi chỉ số KPI trên Dashboard</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7. Báo cáo &amp; Điều hành</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Ban Giám đốc</w:t>
            </w:r>
          </w:p>
        </w:tc>
      </w:tr>
      <w:tr>
        <w:tc>
          <w:tcPr>
            <w:tcW w:type="dxa" w:w="1296"/>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UC7.2</w:t>
            </w:r>
          </w:p>
        </w:tc>
        <w:tc>
          <w:tcPr>
            <w:tcW w:type="dxa" w:w="345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Truy vấn nhật ký kiểm toán (Audit)</w:t>
            </w:r>
          </w:p>
        </w:tc>
        <w:tc>
          <w:tcPr>
            <w:tcW w:type="dxa" w:w="201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7. Báo cáo &amp; Điều hành</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Admin, Kiểm toán</w:t>
            </w:r>
          </w:p>
        </w:tc>
      </w:tr>
      <w:tr>
        <w:tc>
          <w:tcPr>
            <w:tcW w:type="dxa" w:w="1296"/>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UC7.3</w:t>
            </w:r>
          </w:p>
        </w:tc>
        <w:tc>
          <w:tcPr>
            <w:tcW w:type="dxa" w:w="345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Quét hàng đợi Outbox gửi thông báo</w:t>
            </w:r>
          </w:p>
        </w:tc>
        <w:tc>
          <w:tcPr>
            <w:tcW w:type="dxa" w:w="201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7. Tự động hóa</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System Scheduler</w:t>
            </w:r>
          </w:p>
        </w:tc>
      </w:tr>
    </w:tbl>
    <w:p>
      <w:pPr>
        <w:spacing w:after="160"/>
      </w:pPr>
    </w:p>
    <w:p>
      <w:pPr>
        <w:pStyle w:val="Heading2"/>
        <w:keepNext/>
        <w:spacing w:before="200" w:after="80"/>
      </w:pPr>
      <w:r>
        <w:rPr>
          <w:b/>
          <w:color w:val="2B547E"/>
          <w:sz w:val="26"/>
        </w:rPr>
        <w:t>3.3 Đặc tả chi tiết các Use-Case cốt lõi tiêu biểu</w:t>
      </w:r>
    </w:p>
    <w:p>
      <w:pPr>
        <w:pStyle w:val="Heading3"/>
        <w:keepNext/>
        <w:spacing w:before="120" w:after="80"/>
      </w:pPr>
      <w:r>
        <w:rPr>
          <w:b/>
          <w:color w:val="3C3C3C"/>
          <w:sz w:val="23"/>
        </w:rPr>
        <w:t>Đặc tả Use-Case UC1.1: Đăng nhập vào hệ thống</w:t>
      </w:r>
    </w:p>
    <w:p>
      <w:pPr>
        <w:spacing w:after="120" w:line="288" w:lineRule="auto"/>
        <w:jc w:val="left"/>
      </w:pPr>
      <w:r>
        <w:rPr>
          <w:rFonts w:ascii="Segoe UI" w:hAnsi="Segoe UI"/>
          <w:b w:val="0"/>
          <w:i w:val="0"/>
          <w:color w:val="212529"/>
          <w:sz w:val="20"/>
        </w:rPr>
        <w:t>• Tác nhân chính: Tất cả người dùng (Nhân viên &amp; Cư dân)</w:t>
        <w:br/>
        <w:t>• Mục tiêu: Xác thực danh tính người dùng và cấp mã phiên làm việc JWT.</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Người dùng có tài khoản hợp lệ, trạng thái is_active = True.</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Hệ thống phát hành JWT token, chuyển người dùng đến giao diện tương ứng theo vai trò, ghi audit event UserLogin.</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010"/>
        <w:gridCol w:w="3010"/>
        <w:gridCol w:w="301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Phản hồi của Hệ thống</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1</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Người dùng truy cập vào trang đăng nhập của hệ thống.</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Hiển thị biểu mẫu đăng nhập gồm Tên đăng nhập và Mật khẩu.</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2</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Người dùng nhập Tên đăng nhập và Mật khẩu, nhấn Đăng nhập.</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kiểm tra định dạng dữ liệu đầu vào.</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3</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kiểm tra tồn tại của tài khoản trong cơ sở dữ liệu.</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Truy vấn bảng accounts, xác minh tài khoản đang hoạt động.</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4</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đối chiếu mật khẩu qua thuật toán băm Argon2/bcrypt.</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Mật khẩu khớp, nạp danh sách vai trò và phân khu phụ trách.</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5</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phát hành mã JWT Access Token và Refresh Token.</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Ghi nhật ký kiểm toán UserLoginSuccess và trả về phiên làm việc.</w:t>
            </w:r>
          </w:p>
        </w:tc>
      </w:tr>
    </w:tbl>
    <w:p>
      <w:pPr>
        <w:spacing w:after="120"/>
      </w:pPr>
    </w:p>
    <w:p>
      <w:pPr>
        <w:spacing w:after="40" w:line="300" w:lineRule="auto"/>
        <w:jc w:val="left"/>
      </w:pPr>
      <w:r>
        <w:rPr>
          <w:rFonts w:ascii="Segoe UI" w:hAnsi="Segoe UI"/>
          <w:b/>
          <w:i w:val="0"/>
          <w:color w:val="212529"/>
          <w:sz w:val="22"/>
        </w:rPr>
        <w:t>Các luồng phụ và ngoại lệ (Alternative &amp; Exception Flows):</w:t>
      </w:r>
    </w:p>
    <w:p>
      <w:pPr>
        <w:spacing w:after="60" w:line="300" w:lineRule="auto"/>
        <w:jc w:val="left"/>
      </w:pPr>
      <w:r>
        <w:rPr>
          <w:rFonts w:ascii="Segoe UI" w:hAnsi="Segoe UI"/>
          <w:b w:val="0"/>
          <w:i w:val="0"/>
          <w:color w:val="212529"/>
          <w:sz w:val="22"/>
        </w:rPr>
        <w:t>• Ngoại lệ 1a - Tên đăng nhập hoặc mật khẩu không khớp: Hệ thống từ chối và hiển thị thông báo lỗi chung 'Thông tin đăng nhập không hợp lệ' để chống liệt kê tài khoản.</w:t>
      </w:r>
    </w:p>
    <w:p>
      <w:pPr>
        <w:spacing w:after="60" w:line="300" w:lineRule="auto"/>
        <w:jc w:val="left"/>
      </w:pPr>
      <w:r>
        <w:rPr>
          <w:rFonts w:ascii="Segoe UI" w:hAnsi="Segoe UI"/>
          <w:b w:val="0"/>
          <w:i w:val="0"/>
          <w:color w:val="212529"/>
          <w:sz w:val="22"/>
        </w:rPr>
        <w:t>• Ngoại lệ 1b - Tài khoản đang bị vô hiệu hóa (is_active = False): Hệ thống từ chối đăng nhập và trả mã lỗi ERR-ACCOUNT-INACTIVE.</w:t>
      </w:r>
    </w:p>
    <w:p>
      <w:pPr>
        <w:spacing w:after="60" w:line="300" w:lineRule="auto"/>
        <w:jc w:val="left"/>
      </w:pPr>
      <w:r>
        <w:rPr>
          <w:rFonts w:ascii="Segoe UI" w:hAnsi="Segoe UI"/>
          <w:b w:val="0"/>
          <w:i w:val="0"/>
          <w:color w:val="212529"/>
          <w:sz w:val="22"/>
        </w:rPr>
        <w:t>• Ngoại lệ 1c - Nhập sai mật khẩu liên tiếp 5 lần: Hệ thống tạm thời khóa tài khoản trong 15 phút để phòng chống tấn công dò mật khẩu (Brute-force).</w:t>
      </w:r>
    </w:p>
    <w:p>
      <w:pPr>
        <w:spacing w:after="80"/>
      </w:pPr>
    </w:p>
    <w:tbl>
      <w:tblPr>
        <w:tblW w:type="auto" w:w="0"/>
        <w:jc w:val="center"/>
        <w:tblLook w:firstColumn="1" w:firstRow="1" w:lastColumn="0" w:lastRow="0" w:noHBand="0" w:noVBand="1" w:val="04A0"/>
      </w:tblPr>
      <w:tblGrid>
        <w:gridCol w:w="9029"/>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NGHIỆP VỤ &amp; BẢO MẬT (UC1.1)</w:t>
              <w:br/>
            </w:r>
            <w:r>
              <w:rPr>
                <w:rFonts w:ascii="Segoe UI" w:hAnsi="Segoe UI"/>
                <w:color w:val="323232"/>
                <w:sz w:val="20"/>
              </w:rPr>
              <w:t>Mật khẩu phải chứa ít nhất 8 ký tự gồm chữ hoa, chữ thường, chữ số. Mọi lần đăng nhập thành công hay thất bại đều phải ghi kèm địa chỉ IP và Correlation ID.</w:t>
            </w:r>
          </w:p>
        </w:tc>
      </w:tr>
    </w:tbl>
    <w:p>
      <w:pPr>
        <w:spacing w:after="120"/>
      </w:pPr>
    </w:p>
    <w:p>
      <w:pPr>
        <w:pStyle w:val="Heading3"/>
        <w:keepNext/>
        <w:spacing w:before="120" w:after="80"/>
      </w:pPr>
      <w:r>
        <w:rPr>
          <w:b/>
          <w:color w:val="3C3C3C"/>
          <w:sz w:val="23"/>
        </w:rPr>
        <w:t>Đặc tả Use-Case UC3.4: Tiếp nhận bưu phẩm vào kho (Parcel Intake)</w:t>
      </w:r>
    </w:p>
    <w:p>
      <w:pPr>
        <w:spacing w:after="120" w:line="288" w:lineRule="auto"/>
        <w:jc w:val="left"/>
      </w:pPr>
      <w:r>
        <w:rPr>
          <w:rFonts w:ascii="Segoe UI" w:hAnsi="Segoe UI"/>
          <w:b w:val="0"/>
          <w:i w:val="0"/>
          <w:color w:val="212529"/>
          <w:sz w:val="20"/>
        </w:rPr>
        <w:t>• Tác nhân chính: Lễ tân / CSKH, Nhân viên An ninh</w:t>
        <w:br/>
        <w:t>• Mục tiêu: Tiếp nhận kiện hàng chuyển phát nhanh từ shipper, tạo bưu kiện an toàn và sinh mã PIN giao hàng.</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Nhân viên đã đăng nhập và chọn đúng phạm vi tòa nhà phụ trách.</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Kiện bưu phẩm được tạo ở trạng thái RECEIVED với version=1, mã PIN được băm, snapshot người nhận được bảo toàn, gửi event ParcelReceived vào Outbox.</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010"/>
        <w:gridCol w:w="3010"/>
        <w:gridCol w:w="301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Phản hồi của Hệ thống</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1</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chọn chức năng 'Tiếp nhận bưu phẩm' trên giao diện quầy.</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hiển thị form nhập liệu tiếp nhận bưu kiện.</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2</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nhập mã bưu phẩm (hoặc quét barcode), chọn Tòa nhà, Căn hộ, nhập tên người nhận, đơn vị vận chuyển.</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kiểm tra căn hộ hợp lệ trong phạm vi phân khu.</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3</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nhập mã PIN giao nhận (hoặc để hệ thống tự sinh 4-6 số ngẫu nhiên).</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kiểm tra độ dài mã PIN từ 4 đến 64 ký tự.</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4</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nhấn nút 'Tiếp nhận kiện hàng' kèm khóa Idempotency-Key.</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băm mã PIN bằng thuật toán mật mã, chụp snapshot tên và số liên hệ người nhận.</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5</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lưu trữ bản ghi Parcel vào cơ sở dữ liệu trong giao dịch an toàn.</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Tự động kích hoạt Domain Event ParcelReceived và ghi nhận Audit Trail.</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6</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phản hồi thông tin bưu kiện đã tiếp nhận thành công.</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Hiển thị bưu kiện mới trên danh sách hàng chờ xử lý tại sảnh.</w:t>
            </w:r>
          </w:p>
        </w:tc>
      </w:tr>
    </w:tbl>
    <w:p>
      <w:pPr>
        <w:spacing w:after="120"/>
      </w:pPr>
    </w:p>
    <w:p>
      <w:pPr>
        <w:spacing w:after="40" w:line="300" w:lineRule="auto"/>
        <w:jc w:val="left"/>
      </w:pPr>
      <w:r>
        <w:rPr>
          <w:rFonts w:ascii="Segoe UI" w:hAnsi="Segoe UI"/>
          <w:b/>
          <w:i w:val="0"/>
          <w:color w:val="212529"/>
          <w:sz w:val="22"/>
        </w:rPr>
        <w:t>Các luồng phụ và ngoại lệ (Alternative &amp; Exception Flows):</w:t>
      </w:r>
    </w:p>
    <w:p>
      <w:pPr>
        <w:spacing w:after="60" w:line="300" w:lineRule="auto"/>
        <w:jc w:val="left"/>
      </w:pPr>
      <w:r>
        <w:rPr>
          <w:rFonts w:ascii="Segoe UI" w:hAnsi="Segoe UI"/>
          <w:b w:val="0"/>
          <w:i w:val="0"/>
          <w:color w:val="212529"/>
          <w:sz w:val="22"/>
        </w:rPr>
        <w:t>• Ngoại lệ 2a - Trùng lặp mã bưu kiện trong cùng phân khu: Hệ thống kiểm tra ràng buộc duy nhất uq_parcels_site_code và trả về mã lỗi 409 ERR-DUPLICATE-CODE.</w:t>
      </w:r>
    </w:p>
    <w:p>
      <w:pPr>
        <w:spacing w:after="60" w:line="300" w:lineRule="auto"/>
        <w:jc w:val="left"/>
      </w:pPr>
      <w:r>
        <w:rPr>
          <w:rFonts w:ascii="Segoe UI" w:hAnsi="Segoe UI"/>
          <w:b w:val="0"/>
          <w:i w:val="0"/>
          <w:color w:val="212529"/>
          <w:sz w:val="22"/>
        </w:rPr>
        <w:t>• Ngoại lệ 2b - Căn hộ không thuộc tòa nhà nhân viên phụ trách: Hệ thống từ chối truy cập và trả về mã lỗi 404 ERR-SCOPE-NOTFOUND.</w:t>
      </w:r>
    </w:p>
    <w:p>
      <w:pPr>
        <w:spacing w:after="60" w:line="300" w:lineRule="auto"/>
        <w:jc w:val="left"/>
      </w:pPr>
      <w:r>
        <w:rPr>
          <w:rFonts w:ascii="Segoe UI" w:hAnsi="Segoe UI"/>
          <w:b w:val="0"/>
          <w:i w:val="0"/>
          <w:color w:val="212529"/>
          <w:sz w:val="22"/>
        </w:rPr>
        <w:t>• Ngoại lệ 2c - Mạng bị gián đoạn gửi lại cùng Idempotency-Key: Hệ thống kiểm tra bảng idempotency_records và trả về kết quả tiếp nhận đã lưu trước đó mà không tạo thêm dòng mới.</w:t>
      </w:r>
    </w:p>
    <w:p>
      <w:pPr>
        <w:spacing w:after="80"/>
      </w:pPr>
    </w:p>
    <w:tbl>
      <w:tblPr>
        <w:tblW w:type="auto" w:w="0"/>
        <w:jc w:val="center"/>
        <w:tblLook w:firstColumn="1" w:firstRow="1" w:lastColumn="0" w:lastRow="0" w:noHBand="0" w:noVBand="1" w:val="04A0"/>
      </w:tblPr>
      <w:tblGrid>
        <w:gridCol w:w="9029"/>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NGHIỆP VỤ &amp; BẢO MẬT (UC3.4)</w:t>
              <w:br/>
            </w:r>
            <w:r>
              <w:rPr>
                <w:rFonts w:ascii="Segoe UI" w:hAnsi="Segoe UI"/>
                <w:color w:val="323232"/>
                <w:sz w:val="20"/>
              </w:rPr>
              <w:t>Tuyệt đối không lưu mã PIN dưới dạng rõ (Plaintext) vào cơ sở dữ liệu. Cột pin_hash phải có độ dài tối thiểu 32 ký tự. Tên người nhận phải được sao chép nguyên trạng (snapshot) để tránh sai lệch khi cư dân đổi tên sau này.</w:t>
            </w:r>
          </w:p>
        </w:tc>
      </w:tr>
    </w:tbl>
    <w:p>
      <w:pPr>
        <w:spacing w:after="120"/>
      </w:pPr>
    </w:p>
    <w:p>
      <w:pPr>
        <w:pStyle w:val="Heading3"/>
        <w:keepNext/>
        <w:spacing w:before="120" w:after="80"/>
      </w:pPr>
      <w:r>
        <w:rPr>
          <w:b/>
          <w:color w:val="3C3C3C"/>
          <w:sz w:val="23"/>
        </w:rPr>
        <w:t>Đặc tả Use-Case UC3.6: Xác thực mã PIN và bàn giao bưu phẩm (Parcel Handover)</w:t>
      </w:r>
    </w:p>
    <w:p>
      <w:pPr>
        <w:spacing w:after="120" w:line="288" w:lineRule="auto"/>
        <w:jc w:val="left"/>
      </w:pPr>
      <w:r>
        <w:rPr>
          <w:rFonts w:ascii="Segoe UI" w:hAnsi="Segoe UI"/>
          <w:b w:val="0"/>
          <w:i w:val="0"/>
          <w:color w:val="212529"/>
          <w:sz w:val="20"/>
        </w:rPr>
        <w:t>• Tác nhân chính: Lễ tân / CSKH, Nhân viên An ninh</w:t>
        <w:br/>
        <w:t>• Mục tiêu: Kiểm tra mã PIN bí mật do người nhận cung cấp và hoàn tất bàn giao kiện hàng cho cư dân.</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Bưu phẩm đang ở trạng thái READY_FOR_PICKUP, không bị khóa thử sai.</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Bưu phẩm chuyển sang trạng thái HANDED_OVER, cập nhật người bàn giao, thời điểm bàn giao, version tăng thêm 1, ghi nhật ký bàn giao an toàn.</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010"/>
        <w:gridCol w:w="3010"/>
        <w:gridCol w:w="301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Phản hồi của Hệ thống</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1</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Người nhận xuất hiện tại quầy, cung cấp mã bưu kiện và mã PIN.</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tìm kiếm bưu phẩm trên giao diện theo mã căn hộ hoặc mã kiện.</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2</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Nhân viên nhấn nút 'Bàn giao' và nhập mã PIN người nhận cung cấp.</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gửi request kèm expected_version hiện tại của bưu kiện.</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3</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khóa dòng dữ liệu bằng lệnh SELECT FOR UPDATE để loại bỏ xung đột.</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Kiểm tra bưu phẩm có đang bị khóa (pin_locked_until) hay không.</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4</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đối chiếu mã PIN cung cấp với chuỗi pin_hash đã lưu trữ.</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Xác thực thành công: cập nhật status='HANDED_OVER', handed_over_at=now(), handed_over_by=current_user.</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5</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tăng version lên 1 và ghi nhận Audit Event ParcelHandedOver.</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Hoàn tất giao dịch (Commit) và hiển thị thông báo bàn giao thành công.</w:t>
            </w:r>
          </w:p>
        </w:tc>
      </w:tr>
    </w:tbl>
    <w:p>
      <w:pPr>
        <w:spacing w:after="120"/>
      </w:pPr>
    </w:p>
    <w:p>
      <w:pPr>
        <w:spacing w:after="40" w:line="300" w:lineRule="auto"/>
        <w:jc w:val="left"/>
      </w:pPr>
      <w:r>
        <w:rPr>
          <w:rFonts w:ascii="Segoe UI" w:hAnsi="Segoe UI"/>
          <w:b/>
          <w:i w:val="0"/>
          <w:color w:val="212529"/>
          <w:sz w:val="22"/>
        </w:rPr>
        <w:t>Các luồng phụ và ngoại lệ (Alternative &amp; Exception Flows):</w:t>
      </w:r>
    </w:p>
    <w:p>
      <w:pPr>
        <w:spacing w:after="60" w:line="300" w:lineRule="auto"/>
        <w:jc w:val="left"/>
      </w:pPr>
      <w:r>
        <w:rPr>
          <w:rFonts w:ascii="Segoe UI" w:hAnsi="Segoe UI"/>
          <w:b w:val="0"/>
          <w:i w:val="0"/>
          <w:color w:val="212529"/>
          <w:sz w:val="22"/>
        </w:rPr>
        <w:t>• Ngoại lệ 3a - Nhập sai mã PIN: Hệ thống tăng pin_attempt_count thêm 1, ghi audit ParcelPinFailed. Nếu số lần thử sai đạt 5, khóa bưu kiện trong 15 phút và trả lỗi 423 ERR-PIN-LOCKED. Nếu dưới 5 lần, trả lỗi 403 ERR-PIN-INVALID.</w:t>
      </w:r>
    </w:p>
    <w:p>
      <w:pPr>
        <w:spacing w:after="60" w:line="300" w:lineRule="auto"/>
        <w:jc w:val="left"/>
      </w:pPr>
      <w:r>
        <w:rPr>
          <w:rFonts w:ascii="Segoe UI" w:hAnsi="Segoe UI"/>
          <w:b w:val="0"/>
          <w:i w:val="0"/>
          <w:color w:val="212529"/>
          <w:sz w:val="22"/>
        </w:rPr>
        <w:t>• Ngoại lệ 3b - Xung đột phiên bản (Stale Version): Hai nhân viên cùng bàn giao một kiện hàng đồng thời, nhân viên thứ hai sẽ bị từ chối với lỗi 409 ERR-CONFLICT do số version đã thay đổi.</w:t>
      </w:r>
    </w:p>
    <w:p>
      <w:pPr>
        <w:spacing w:after="60" w:line="300" w:lineRule="auto"/>
        <w:jc w:val="left"/>
      </w:pPr>
      <w:r>
        <w:rPr>
          <w:rFonts w:ascii="Segoe UI" w:hAnsi="Segoe UI"/>
          <w:b w:val="0"/>
          <w:i w:val="0"/>
          <w:color w:val="212529"/>
          <w:sz w:val="22"/>
        </w:rPr>
        <w:t>• Ngoại lệ 3c - Bưu phẩm không ở trạng thái READY_FOR_PICKUP: Hệ thống từ chối chuyển trạng thái với lỗi 409 ERR-STATE-TRANSITION do vi phạm máy trạng thái hữu hạn.</w:t>
      </w:r>
    </w:p>
    <w:p>
      <w:pPr>
        <w:spacing w:after="80"/>
      </w:pPr>
    </w:p>
    <w:tbl>
      <w:tblPr>
        <w:tblW w:type="auto" w:w="0"/>
        <w:jc w:val="center"/>
        <w:tblLook w:firstColumn="1" w:firstRow="1" w:lastColumn="0" w:lastRow="0" w:noHBand="0" w:noVBand="1" w:val="04A0"/>
      </w:tblPr>
      <w:tblGrid>
        <w:gridCol w:w="9029"/>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NGHIỆP VỤ &amp; BẢO MẬT (UC3.6)</w:t>
              <w:br/>
            </w:r>
            <w:r>
              <w:rPr>
                <w:rFonts w:ascii="Segoe UI" w:hAnsi="Segoe UI"/>
                <w:color w:val="323232"/>
                <w:sz w:val="20"/>
              </w:rPr>
              <w:t>Bàn giao chỉ được phép thành công duy nhất một lần. Trạng thái HANDED_OVER là trạng thái kết thúc (Terminal State), không thể hoàn tác hoặc chuyển sang bất kỳ trạng thái nào khác.</w:t>
            </w:r>
          </w:p>
        </w:tc>
      </w:tr>
    </w:tbl>
    <w:p>
      <w:pPr>
        <w:spacing w:after="120"/>
      </w:pPr>
    </w:p>
    <w:p>
      <w:pPr>
        <w:pStyle w:val="Heading3"/>
        <w:keepNext/>
        <w:spacing w:before="120" w:after="80"/>
      </w:pPr>
      <w:r>
        <w:rPr>
          <w:b/>
          <w:color w:val="3C3C3C"/>
          <w:sz w:val="23"/>
        </w:rPr>
        <w:t>Đặc tả Use-Case UC5.4: Chốt kỳ và tính cước phí tự động (Billing Run)</w:t>
      </w:r>
    </w:p>
    <w:p>
      <w:pPr>
        <w:spacing w:after="120" w:line="288" w:lineRule="auto"/>
        <w:jc w:val="left"/>
      </w:pPr>
      <w:r>
        <w:rPr>
          <w:rFonts w:ascii="Segoe UI" w:hAnsi="Segoe UI"/>
          <w:b w:val="0"/>
          <w:i w:val="0"/>
          <w:color w:val="212529"/>
          <w:sz w:val="20"/>
        </w:rPr>
        <w:t>• Tác nhân chính: Kế toán, System Scheduler</w:t>
        <w:br/>
        <w:t>• Mục tiêu: Tính toán toàn bộ các khoản phí phát sinh trong tháng cho mọi căn hộ và phát hành hóa đơn thu phí.</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Kỳ kế toán tháng đang ở trạng thái MỞ (OPEN), biểu phí dịch vụ đã được Ban Giám đốc phê duyệt.</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Tạo các bản ghi BillingInvoice, chi tiết hóa đơn BillingInvoiceItem, cập nhật trạng thái kỳ sang REVIEW hoặc CLOSED, ghi audit BillingRunCompleted.</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010"/>
        <w:gridCol w:w="3010"/>
        <w:gridCol w:w="301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20"/>
              </w:rPr>
              <w:t>Phản hồi của Hệ thống</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1</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Kế toán chọn kỳ kế toán cần tính và nhấn 'Chạy tính cước kỳ' (hoặc Scheduler tự động kích hoạt vào ngày 01 hàng tháng).</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hiển thị bảng xác nhận phạm vi phân khu và ngày chốt số liệu.</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2</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Người dùng xác nhận chạy tính cước với Idempotency-Key của kỳ.</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chuyển trạng thái kỳ sang ĐANG TÍNH (CALCULATING).</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3</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duyệt qua từng căn hộ đang có trạng thái cư trú hợp lệ.</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Áp dụng công thức tính: Phí quản lý = Diện tích * Đơn giá; Phí gửi xe = Số lượng xe * Đơn giá theo loại xe.</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4</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tính thuế GTGT (VAT) chính xác theo từng dòng dịch vụ.</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Tạo bản ghi BillingInvoice cho từng căn hộ với số tiền phải trả.</w:t>
            </w:r>
          </w:p>
        </w:tc>
      </w:tr>
      <w:tr>
        <w:tc>
          <w:tcPr>
            <w:tcW w:type="dxa" w:w="115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Bước 5</w:t>
            </w:r>
          </w:p>
        </w:tc>
        <w:tc>
          <w:tcPr>
            <w:tcW w:type="dxa" w:w="403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Hệ thống kiểm tra số dư nợ cũ hoặc khoản trả thừa (Overpayment Credit) của căn hộ.</w:t>
            </w:r>
          </w:p>
        </w:tc>
        <w:tc>
          <w:tcPr>
            <w:tcW w:type="dxa" w:w="4176"/>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Tự động bù trừ và xác định Tổng số tiền cần thanh toán trong thông báo cước.</w:t>
            </w:r>
          </w:p>
        </w:tc>
      </w:tr>
      <w:tr>
        <w:tc>
          <w:tcPr>
            <w:tcW w:type="dxa" w:w="115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Bước 6</w:t>
            </w:r>
          </w:p>
        </w:tc>
        <w:tc>
          <w:tcPr>
            <w:tcW w:type="dxa" w:w="403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Hệ thống phát hành mã VietQR động theo chuẩn NAPAS 247 cho từng hóa đơn.</w:t>
            </w:r>
          </w:p>
        </w:tc>
        <w:tc>
          <w:tcPr>
            <w:tcW w:type="dxa" w:w="4176"/>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Lưu toàn bộ dữ liệu vào sổ cái và gửi thông báo cước tới cư dân qua Outbox.</w:t>
            </w:r>
          </w:p>
        </w:tc>
      </w:tr>
    </w:tbl>
    <w:p>
      <w:pPr>
        <w:spacing w:after="120"/>
      </w:pPr>
    </w:p>
    <w:p>
      <w:pPr>
        <w:spacing w:after="40" w:line="300" w:lineRule="auto"/>
        <w:jc w:val="left"/>
      </w:pPr>
      <w:r>
        <w:rPr>
          <w:rFonts w:ascii="Segoe UI" w:hAnsi="Segoe UI"/>
          <w:b/>
          <w:i w:val="0"/>
          <w:color w:val="212529"/>
          <w:sz w:val="22"/>
        </w:rPr>
        <w:t>Các luồng phụ và ngoại lệ (Alternative &amp; Exception Flows):</w:t>
      </w:r>
    </w:p>
    <w:p>
      <w:pPr>
        <w:spacing w:after="60" w:line="300" w:lineRule="auto"/>
        <w:jc w:val="left"/>
      </w:pPr>
      <w:r>
        <w:rPr>
          <w:rFonts w:ascii="Segoe UI" w:hAnsi="Segoe UI"/>
          <w:b w:val="0"/>
          <w:i w:val="0"/>
          <w:color w:val="212529"/>
          <w:sz w:val="22"/>
        </w:rPr>
        <w:t>• Ngoại lệ 4a - Kỳ kế toán đang bị khóa sổ (LOCKED): Hệ thống từ chối tính cước và trả về lỗi 409 ERR-PERIOD-LOCKED.</w:t>
      </w:r>
    </w:p>
    <w:p>
      <w:pPr>
        <w:spacing w:after="60" w:line="300" w:lineRule="auto"/>
        <w:jc w:val="left"/>
      </w:pPr>
      <w:r>
        <w:rPr>
          <w:rFonts w:ascii="Segoe UI" w:hAnsi="Segoe UI"/>
          <w:b w:val="0"/>
          <w:i w:val="0"/>
          <w:color w:val="212529"/>
          <w:sz w:val="22"/>
        </w:rPr>
        <w:t>• Ngoại lệ 4b - Trùng lặp tiến trình chạy cước: Hệ thống sử dụng khóa phân tán ngăn chặn 2 tiến trình chạy đồng thời trên cùng một kỳ kế toán.</w:t>
      </w:r>
    </w:p>
    <w:p>
      <w:pPr>
        <w:spacing w:after="80"/>
      </w:pPr>
    </w:p>
    <w:tbl>
      <w:tblPr>
        <w:tblW w:type="auto" w:w="0"/>
        <w:jc w:val="center"/>
        <w:tblLook w:firstColumn="1" w:firstRow="1" w:lastColumn="0" w:lastRow="0" w:noHBand="0" w:noVBand="1" w:val="04A0"/>
      </w:tblPr>
      <w:tblGrid>
        <w:gridCol w:w="9029"/>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NGHIỆP VỤ &amp; BẢO MẬT (UC5.4)</w:t>
              <w:br/>
            </w:r>
            <w:r>
              <w:rPr>
                <w:rFonts w:ascii="Segoe UI" w:hAnsi="Segoe UI"/>
                <w:color w:val="323232"/>
                <w:sz w:val="20"/>
              </w:rPr>
              <w:t>Thuật toán làm tròn tiền tệ tuân thủ tiêu chuẩn kế toán Việt Nam (làm tròn đến đơn vị đồng, không dùng số thập phân). Số tiền trên hóa đơn phải bằng tổng chính xác của các mục chi tiết (Line Items), không được phép lệch số học.</w:t>
            </w:r>
          </w:p>
        </w:tc>
      </w:tr>
    </w:tbl>
    <w:p>
      <w:pPr>
        <w:spacing w:after="120"/>
      </w:pPr>
    </w:p>
    <w:p>
      <w:r>
        <w:br w:type="page"/>
      </w:r>
    </w:p>
    <w:p>
      <w:pPr>
        <w:pStyle w:val="Heading1"/>
        <w:keepNext/>
        <w:spacing w:before="280" w:after="80"/>
      </w:pPr>
      <w:r>
        <w:rPr>
          <w:b/>
          <w:color w:val="1A365D"/>
          <w:sz w:val="32"/>
        </w:rPr>
        <w:t>CHƯƠNG 4: THIẾT KẾ KIẾN TRÚC VÀ CƠ SỞ DỮ LIỆU</w:t>
      </w:r>
    </w:p>
    <w:p>
      <w:pPr>
        <w:pStyle w:val="Heading2"/>
        <w:keepNext/>
        <w:spacing w:before="200" w:after="80"/>
      </w:pPr>
      <w:r>
        <w:rPr>
          <w:b/>
          <w:color w:val="2B547E"/>
          <w:sz w:val="26"/>
        </w:rPr>
        <w:t>4.1 Kiến trúc hệ thống tổng thể (Clean Architecture &amp; DDD)</w:t>
      </w:r>
    </w:p>
    <w:p>
      <w:pPr>
        <w:spacing w:after="120" w:line="300" w:lineRule="auto"/>
        <w:jc w:val="left"/>
      </w:pPr>
      <w:r>
        <w:rPr>
          <w:rFonts w:ascii="Segoe UI" w:hAnsi="Segoe UI"/>
          <w:b w:val="0"/>
          <w:i w:val="0"/>
          <w:color w:val="212529"/>
          <w:sz w:val="22"/>
        </w:rPr>
        <w:t>Hệ thống GreenCity được xây dựng theo mô hình kiến trúc phân tầng sạch (Clean Architecture) kết hợp Thiết kế hướng miền (Domain-Driven Design), chia tách rõ ràng giữa 4 tầng nghiệp vụ:</w:t>
      </w:r>
    </w:p>
    <w:p>
      <w:pPr>
        <w:spacing w:after="120" w:line="300" w:lineRule="auto"/>
        <w:jc w:val="left"/>
      </w:pPr>
      <w:r>
        <w:rPr>
          <w:rFonts w:ascii="Segoe UI" w:hAnsi="Segoe UI"/>
          <w:b w:val="0"/>
          <w:i w:val="0"/>
          <w:color w:val="212529"/>
          <w:sz w:val="22"/>
        </w:rPr>
        <w:t>1. Tầng Trình diễn (Presentation Layer): Gồm ứng dụng Single Page Application (React / Vite / Tailwind CSS) dành cho Nhân viên (Staff Workspace) và Cổng tự phục vụ Cư dân (Resident Portal). Giao tiếp hoàn toàn qua giao thức RESTful HTTPS API.</w:t>
      </w:r>
    </w:p>
    <w:p>
      <w:pPr>
        <w:spacing w:after="120" w:line="300" w:lineRule="auto"/>
        <w:jc w:val="left"/>
      </w:pPr>
      <w:r>
        <w:rPr>
          <w:rFonts w:ascii="Segoe UI" w:hAnsi="Segoe UI"/>
          <w:b w:val="0"/>
          <w:i w:val="0"/>
          <w:color w:val="212529"/>
          <w:sz w:val="22"/>
        </w:rPr>
        <w:t>2. Tầng Điều phối Ứng dụng (API &amp; Routing Layer): Xây dựng trên nền tảng FastAPI (Python 3.12+), đảm nhiệm kiểm thực dữ liệu (Pydantic DTOs), kiểm tra phiên làm việc Bearer JWT, kiểm tra mã Idempotency-Key và định tuyến nghiệp vụ.</w:t>
      </w:r>
    </w:p>
    <w:p>
      <w:pPr>
        <w:spacing w:after="120" w:line="300" w:lineRule="auto"/>
        <w:jc w:val="left"/>
      </w:pPr>
      <w:r>
        <w:rPr>
          <w:rFonts w:ascii="Segoe UI" w:hAnsi="Segoe UI"/>
          <w:b w:val="0"/>
          <w:i w:val="0"/>
          <w:color w:val="212529"/>
          <w:sz w:val="22"/>
        </w:rPr>
        <w:t>3. Tầng Nghiệp vụ Lõi (Domain &amp; Service Layer): Chứa toàn bộ các mô hình thực thể (Entities), máy trạng thái hữu hạn (State Machine Transition Maps), quy tắc bất biến (Business Invariants) và các dịch vụ nghiệp vụ (Services). Tầng này không phụ thuộc vào framework hay giao diện bên ngoài.</w:t>
      </w:r>
    </w:p>
    <w:p>
      <w:pPr>
        <w:spacing w:after="120" w:line="300" w:lineRule="auto"/>
        <w:jc w:val="left"/>
      </w:pPr>
      <w:r>
        <w:rPr>
          <w:rFonts w:ascii="Segoe UI" w:hAnsi="Segoe UI"/>
          <w:b w:val="0"/>
          <w:i w:val="0"/>
          <w:color w:val="212529"/>
          <w:sz w:val="22"/>
        </w:rPr>
        <w:t>4. Tầng Hạ tầng và Lưu trữ (Infrastructure &amp; Persistence Layer): Cơ sở dữ liệu quan hệ PostgreSQL với phân vùng schema riêng biệt 'greencity', kết nối qua SQLAlchemy 2.0 ORM và Psycopg 3. Hệ thống lưu trữ tệp tin riêng tư (Private File Storage) và hàng đợi sự kiện Transactional Outbox.</w:t>
      </w:r>
    </w:p>
    <w:p>
      <w:pPr>
        <w:pStyle w:val="Heading2"/>
        <w:keepNext/>
        <w:spacing w:before="200" w:after="80"/>
      </w:pPr>
      <w:r>
        <w:rPr>
          <w:b/>
          <w:color w:val="2B547E"/>
          <w:sz w:val="26"/>
        </w:rPr>
        <w:t>4.2 Thiết kế cơ sở dữ liệu quan hệ và Phân vùng Multi-tenancy</w:t>
      </w:r>
    </w:p>
    <w:p>
      <w:pPr>
        <w:spacing w:after="120" w:line="300" w:lineRule="auto"/>
        <w:jc w:val="left"/>
      </w:pPr>
      <w:r>
        <w:rPr>
          <w:rFonts w:ascii="Segoe UI" w:hAnsi="Segoe UI"/>
          <w:b w:val="0"/>
          <w:i w:val="0"/>
          <w:color w:val="212529"/>
          <w:sz w:val="22"/>
        </w:rPr>
        <w:t>Cơ sở dữ liệu áp dụng triết lý phân vùng dữ liệu nghiêm ngặt theo tổ chức (Multi-tenant Scoping) thông qua việc sử dụng Khóa ngoại tổng hợp (Composite Foreign Keys) trên toàn bộ các bảng:</w:t>
      </w:r>
    </w:p>
    <w:p>
      <w:pPr>
        <w:spacing w:after="120" w:line="300" w:lineRule="auto"/>
        <w:jc w:val="left"/>
      </w:pPr>
      <w:r>
        <w:rPr>
          <w:rFonts w:ascii="Segoe UI" w:hAnsi="Segoe UI"/>
          <w:b w:val="0"/>
          <w:i w:val="0"/>
          <w:color w:val="212529"/>
          <w:sz w:val="22"/>
        </w:rPr>
        <w:t>• Ràng buộc phân khu: Bảng buildings gắn khóa ngoại (id, site_id) tham chiếu đến sites(id, tenant_id).</w:t>
      </w:r>
    </w:p>
    <w:p>
      <w:pPr>
        <w:spacing w:after="120" w:line="300" w:lineRule="auto"/>
        <w:jc w:val="left"/>
      </w:pPr>
      <w:r>
        <w:rPr>
          <w:rFonts w:ascii="Segoe UI" w:hAnsi="Segoe UI"/>
          <w:b w:val="0"/>
          <w:i w:val="0"/>
          <w:color w:val="212529"/>
          <w:sz w:val="22"/>
        </w:rPr>
        <w:t>• Ràng buộc căn hộ: Bảng units gắn khóa ngoại (id, building_id) tham chiếu đến buildings(id, site_id).</w:t>
      </w:r>
    </w:p>
    <w:p>
      <w:pPr>
        <w:spacing w:after="120" w:line="300" w:lineRule="auto"/>
        <w:jc w:val="left"/>
      </w:pPr>
      <w:r>
        <w:rPr>
          <w:rFonts w:ascii="Segoe UI" w:hAnsi="Segoe UI"/>
          <w:b w:val="0"/>
          <w:i w:val="0"/>
          <w:color w:val="212529"/>
          <w:sz w:val="22"/>
        </w:rPr>
        <w:t>• Ràng buộc bưu phẩm và tài chính: Bảng parcels và billing_invoices bắt buộc phải có tenant_id, site_id, building_id và unit_id. Điều này ngăn chặn triệt để lỗi logic khi nhân viên tòa nhà này thao tác trên căn hộ của tòa nhà khác.</w:t>
      </w:r>
    </w:p>
    <w:p>
      <w:pPr>
        <w:pStyle w:val="Heading2"/>
        <w:keepNext/>
        <w:spacing w:before="200" w:after="80"/>
      </w:pPr>
      <w:r>
        <w:rPr>
          <w:b/>
          <w:color w:val="2B547E"/>
          <w:sz w:val="26"/>
        </w:rPr>
        <w:t>4.3 Từ điển dữ liệu các thực thể cốt lõi (Data Dictionary)</w:t>
      </w:r>
    </w:p>
    <w:tbl>
      <w:tblPr>
        <w:tblW w:type="auto" w:w="0"/>
        <w:jc w:val="center"/>
        <w:tblLook w:firstColumn="1" w:firstRow="1" w:lastColumn="0" w:lastRow="0" w:noHBand="0" w:noVBand="1" w:val="04A0"/>
      </w:tblPr>
      <w:tblGrid>
        <w:gridCol w:w="2257"/>
        <w:gridCol w:w="2257"/>
        <w:gridCol w:w="2257"/>
        <w:gridCol w:w="2257"/>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Tên Bảng</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Tên Thực thể Nghiệp vụ</w:t>
            </w:r>
          </w:p>
        </w:tc>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Khóa chính</w:t>
            </w:r>
          </w:p>
        </w:tc>
        <w:tc>
          <w:tcPr>
            <w:tcW w:type="dxa" w:w="388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Mô tả vai trò và Ràng buộc toàn vẹn</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tenants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Đơn vị Quản trị đô thị</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Tổ chức/Doanh nghiệp quản lý, cấp phân vùng dữ liệu cao nhất.</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sites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Phân khu Đô thị</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Khu vực đô thị cụ thể (Green Bay, Smart City), gắn với tenant_id.</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buildings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Tòa nhà / Phân khu nhỏ</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Khối kiến trúc vật lý, gắn với site_id. Khóa ngoại tổng hợp.</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units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Căn hộ / Mặt bằng</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Căn hộ số hóa, có mã căn, diện tích, tầng, trạng thái ở.</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persons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Hồ sơ Cá nhân Cư dân</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thân cư dân, số điện thoại, CCCD, email được che mờ.</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unit_person_rels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Quan hệ Căn hộ - Cư dân</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Gắn cư dân với căn hộ (Chủ hộ/Thuê), đánh dấu đại diện tài chính.</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accounts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Tài khoản Đăng nhập</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Tài khoản nhân viên hoặc cư dân, lưu trữ hashed_password.</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account_roles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Vai trò và Phạm vi Quyền</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Gán quyền nghiệp vụ (role) kèm phạm vi tòa nhà (building_id).</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parcels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Kiện hàng Bưu phẩm</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Lưu kiện hàng, pin_hash, trạng thái nhận, snapshot người nhận, version.</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service_requests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Yêu cầu Dịch vụ Cư dân</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Phản ánh khiếu nại của cư dân, hạn xử lý SLA, mức độ ưu tiên.</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work_orders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Phiếu Công tác Kỹ thuật</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Nhiệm vụ sửa chữa phân công cho KTV, danh mục vật tư phát sinh.</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case_records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Hồ sơ Xử lý Sự cố</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Mở khi bưu phẩm mất/hỏng hoặc tranh chấp dịch vụ để truy vết.</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billing_invoices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Hóa đơn Thu tiền kỳ</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Hóa đơn cước tổng hợp hàng tháng của từng căn hộ.</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billing_invoice_items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Mục Chi tiết Hóa đơn</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Chi tiết từng khoản cước (phí quản lý, xe, nước, phụ thu).</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payments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Giao dịch Thanh toán</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Lưu các lần nộp tiền của cư dân qua ngân hàng hoặc tiền mặt.</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payment_allocations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Phân bổ Gạch nợ</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Khấu trừ tiền thanh toán vào từng hóa đơn cụ thể.</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ar_ledger_entries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Sổ cái Công nợ Phải thu</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Ghi nhận biến động tăng/giảm công nợ căn hộ, không cho xóa sửa.</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audit_events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Nhật ký Kiểm toán Hệ thống</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Ghi mọi thay đổi dữ liệu kèm before/after data và correlation_id.</w:t>
            </w:r>
          </w:p>
        </w:tc>
      </w:tr>
      <w:tr>
        <w:tc>
          <w:tcPr>
            <w:tcW w:type="dxa" w:w="1872"/>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domain_events</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Hàng đợi Sự kiện Outbox</w:t>
            </w:r>
          </w:p>
        </w:tc>
        <w:tc>
          <w:tcPr>
            <w:tcW w:type="dxa" w:w="172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Lưu trữ sự kiện nghiệp vụ phục vụ gửi thông báo tin cậy.</w:t>
            </w:r>
          </w:p>
        </w:tc>
      </w:tr>
      <w:tr>
        <w:tc>
          <w:tcPr>
            <w:tcW w:type="dxa" w:w="1872"/>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idempotency_records</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Bộ nhớ đệm Chống trùng</w:t>
            </w:r>
          </w:p>
        </w:tc>
        <w:tc>
          <w:tcPr>
            <w:tcW w:type="dxa" w:w="172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id (UUID)</w:t>
            </w:r>
          </w:p>
        </w:tc>
        <w:tc>
          <w:tcPr>
            <w:tcW w:type="dxa" w:w="3888"/>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Lưu request key và kết quả trả về để chống lặp giao dịch.</w:t>
            </w:r>
          </w:p>
        </w:tc>
      </w:tr>
    </w:tbl>
    <w:p>
      <w:pPr>
        <w:spacing w:after="160"/>
      </w:pPr>
    </w:p>
    <w:p>
      <w:pPr>
        <w:pStyle w:val="Heading2"/>
        <w:keepNext/>
        <w:spacing w:before="200" w:after="80"/>
      </w:pPr>
      <w:r>
        <w:rPr>
          <w:b/>
          <w:color w:val="2B547E"/>
          <w:sz w:val="26"/>
        </w:rPr>
        <w:t>4.4 Cơ chế đảm bảo tính nhất quán và An toàn giao dịch</w:t>
      </w:r>
    </w:p>
    <w:p>
      <w:pPr>
        <w:spacing w:after="120" w:line="300" w:lineRule="auto"/>
        <w:jc w:val="left"/>
      </w:pPr>
      <w:r>
        <w:rPr>
          <w:rFonts w:ascii="Segoe UI" w:hAnsi="Segoe UI"/>
          <w:b w:val="0"/>
          <w:i w:val="0"/>
          <w:color w:val="212529"/>
          <w:sz w:val="22"/>
        </w:rPr>
        <w:t>1. Mô hình Transactional Outbox: Khi tiếp nhận bưu phẩm hoặc phát hành hóa đơn, hệ thống ghi bản ghi DomainEvent vào cơ sở dữ liệu trong cùng một Database Transaction với bản ghi nghiệp vụ. Tiến trình nền (Worker) quét bảng này định kỳ để đẩy tin nhắn đến dịch vụ Email/SMS. Nếu dịch vụ ngoài gặp sự cố, giao dịch chính vẫn an toàn và thông báo sẽ được tự động gửi lại (Retry with exponential backoff).</w:t>
      </w:r>
    </w:p>
    <w:p>
      <w:pPr>
        <w:spacing w:after="120" w:line="300" w:lineRule="auto"/>
        <w:jc w:val="left"/>
      </w:pPr>
      <w:r>
        <w:rPr>
          <w:rFonts w:ascii="Segoe UI" w:hAnsi="Segoe UI"/>
          <w:b w:val="0"/>
          <w:i w:val="0"/>
          <w:color w:val="212529"/>
          <w:sz w:val="22"/>
        </w:rPr>
        <w:t>2. Cơ chế Idempotent API: Tất cả các API POST thay đổi trạng thái đều bắt buộc truyền header 'Idempotency-Key'. Khi nhận request trùng lặp (do người dùng bấm nhiều lần hoặc mạng retry), hệ thống trả lại kết quả đã xử lý trước đó mà không thực hiện lại thao tác ghi.</w:t>
      </w:r>
    </w:p>
    <w:p>
      <w:pPr>
        <w:spacing w:after="120" w:line="300" w:lineRule="auto"/>
        <w:jc w:val="left"/>
      </w:pPr>
      <w:r>
        <w:rPr>
          <w:rFonts w:ascii="Segoe UI" w:hAnsi="Segoe UI"/>
          <w:b w:val="0"/>
          <w:i w:val="0"/>
          <w:color w:val="212529"/>
          <w:sz w:val="22"/>
        </w:rPr>
        <w:t>3. Khóa dòng dữ liệu (Row-level Lock): Khi thực hiện bàn giao bưu phẩm hoặc gạch nợ thanh toán, hệ thống thực thi câu lệnh SELECT ... FOR UPDATE trên bản ghi đích, đảm bảo hai nhân viên thao tác cùng lúc sẽ được xếp hàng tuần tự, loại bỏ hoàn toàn hiện tượng thất thoát hoặc sai lệch số dư.</w:t>
      </w:r>
    </w:p>
    <w:p>
      <w:r>
        <w:br w:type="page"/>
      </w:r>
    </w:p>
    <w:p>
      <w:pPr>
        <w:pStyle w:val="Heading1"/>
        <w:keepNext/>
        <w:spacing w:before="280" w:after="80"/>
      </w:pPr>
      <w:r>
        <w:rPr>
          <w:b/>
          <w:color w:val="1A365D"/>
          <w:sz w:val="32"/>
        </w:rPr>
        <w:t>CHƯƠNG 5: KẾ HOẠCH KIỂM THỬ VÀ NGHIỆM THU</w:t>
      </w:r>
    </w:p>
    <w:p>
      <w:pPr>
        <w:pStyle w:val="Heading2"/>
        <w:keepNext/>
        <w:spacing w:before="200" w:after="80"/>
      </w:pPr>
      <w:r>
        <w:rPr>
          <w:b/>
          <w:color w:val="2B547E"/>
          <w:sz w:val="26"/>
        </w:rPr>
        <w:t>5.1 Chiến lược kiểm thử đa tầng (Testing Strategy)</w:t>
      </w:r>
    </w:p>
    <w:p>
      <w:pPr>
        <w:spacing w:after="120" w:line="300" w:lineRule="auto"/>
        <w:jc w:val="left"/>
      </w:pPr>
      <w:r>
        <w:rPr>
          <w:rFonts w:ascii="Segoe UI" w:hAnsi="Segoe UI"/>
          <w:b w:val="0"/>
          <w:i w:val="0"/>
          <w:color w:val="212529"/>
          <w:sz w:val="22"/>
        </w:rPr>
        <w:t>Hệ thống áp dụng kim tự tháp kiểm thử phần mềm nghiêm ngặt với 4 tầng bảo vệ:</w:t>
      </w:r>
    </w:p>
    <w:p>
      <w:pPr>
        <w:spacing w:after="120" w:line="300" w:lineRule="auto"/>
        <w:jc w:val="left"/>
      </w:pPr>
      <w:r>
        <w:rPr>
          <w:rFonts w:ascii="Segoe UI" w:hAnsi="Segoe UI"/>
          <w:b w:val="0"/>
          <w:i w:val="0"/>
          <w:color w:val="212529"/>
          <w:sz w:val="22"/>
        </w:rPr>
        <w:t>1. Unit Testing: Kiểm thử độc lập các hàm tính toán nghiệp vụ (thuật toán phân bổ thanh toán, làm tròn biểu phí, máy trạng thái finite state machine transitions, hàm hash mã PIN).</w:t>
      </w:r>
    </w:p>
    <w:p>
      <w:pPr>
        <w:spacing w:after="120" w:line="300" w:lineRule="auto"/>
        <w:jc w:val="left"/>
      </w:pPr>
      <w:r>
        <w:rPr>
          <w:rFonts w:ascii="Segoe UI" w:hAnsi="Segoe UI"/>
          <w:b w:val="0"/>
          <w:i w:val="0"/>
          <w:color w:val="212529"/>
          <w:sz w:val="22"/>
        </w:rPr>
        <w:t>2. Isolated Database Integration Testing: Khởi tạo một cụm PostgreSQL độc lập tạm thời trong quá trình chạy test (sử dụng scripts.test_isolated), thực thi toàn bộ 14 bản migration từ cơ sở dữ liệu trống, kiểm tra tính toàn vẹn của ràng buộc Check Constraints và Khóa ngoại.</w:t>
      </w:r>
    </w:p>
    <w:p>
      <w:pPr>
        <w:spacing w:after="120" w:line="300" w:lineRule="auto"/>
        <w:jc w:val="left"/>
      </w:pPr>
      <w:r>
        <w:rPr>
          <w:rFonts w:ascii="Segoe UI" w:hAnsi="Segoe UI"/>
          <w:b w:val="0"/>
          <w:i w:val="0"/>
          <w:color w:val="212529"/>
          <w:sz w:val="22"/>
        </w:rPr>
        <w:t>3. Concurrency &amp; Race Condition Testing: Mô phỏng các kịch bản nhiều luồng (Multi-threading) cùng gửi yêu cầu bàn giao một bưu phẩm hoặc cùng gạch nợ một hóa đơn để xác minh cơ chế khóa dòng và kiểm soát phiên bản (Optimistic Locking).</w:t>
      </w:r>
    </w:p>
    <w:p>
      <w:pPr>
        <w:spacing w:after="120" w:line="300" w:lineRule="auto"/>
        <w:jc w:val="left"/>
      </w:pPr>
      <w:r>
        <w:rPr>
          <w:rFonts w:ascii="Segoe UI" w:hAnsi="Segoe UI"/>
          <w:b w:val="0"/>
          <w:i w:val="0"/>
          <w:color w:val="212529"/>
          <w:sz w:val="22"/>
        </w:rPr>
        <w:t>4. Golden Flow E2E Integration: Kiểm thử chu trình khép kín toàn diện:</w:t>
      </w:r>
    </w:p>
    <w:p>
      <w:pPr>
        <w:spacing w:after="120" w:line="300" w:lineRule="auto"/>
        <w:jc w:val="left"/>
      </w:pPr>
      <w:r>
        <w:rPr>
          <w:rFonts w:ascii="Segoe UI" w:hAnsi="Segoe UI"/>
          <w:b w:val="0"/>
          <w:i w:val="0"/>
          <w:color w:val="212529"/>
          <w:sz w:val="22"/>
        </w:rPr>
        <w:t>• Luồng bưu phẩm: Tiếp nhận tại sảnh → Mã hóa PIN → Gửi thông báo đến Cư dân → Xác thực PIN → Bàn giao → Ghi Audit Trail.</w:t>
      </w:r>
    </w:p>
    <w:p>
      <w:pPr>
        <w:spacing w:after="120" w:line="300" w:lineRule="auto"/>
        <w:jc w:val="left"/>
      </w:pPr>
      <w:r>
        <w:rPr>
          <w:rFonts w:ascii="Segoe UI" w:hAnsi="Segoe UI"/>
          <w:b w:val="0"/>
          <w:i w:val="0"/>
          <w:color w:val="212529"/>
          <w:sz w:val="22"/>
        </w:rPr>
        <w:t>• Luồng tài chính: Cấu hình phí → Chốt kỳ → Sinh hóa đơn → Cư dân quét VietQR → Gạch nợ tự động → Đối soát sổ cái AR.</w:t>
      </w:r>
    </w:p>
    <w:p>
      <w:pPr>
        <w:pStyle w:val="Heading2"/>
        <w:keepNext/>
        <w:spacing w:before="200" w:after="80"/>
      </w:pPr>
      <w:r>
        <w:rPr>
          <w:b/>
          <w:color w:val="2B547E"/>
          <w:sz w:val="26"/>
        </w:rPr>
        <w:t>5.2 Bảng tiêu chuẩn nghiệm thu chi tiết (Acceptance Criteria)</w:t>
      </w:r>
    </w:p>
    <w:tbl>
      <w:tblPr>
        <w:tblW w:type="auto" w:w="0"/>
        <w:jc w:val="center"/>
        <w:tblLook w:firstColumn="1" w:firstRow="1" w:lastColumn="0" w:lastRow="0" w:noHBand="0" w:noVBand="1" w:val="04A0"/>
      </w:tblPr>
      <w:tblGrid>
        <w:gridCol w:w="2257"/>
        <w:gridCol w:w="2257"/>
        <w:gridCol w:w="2257"/>
        <w:gridCol w:w="2257"/>
      </w:tblGrid>
      <w:tr>
        <w:tc>
          <w:tcPr>
            <w:tcW w:type="dxa" w:w="1584"/>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Mã AC</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Hạng mục nghiệm thu</w:t>
            </w:r>
          </w:p>
        </w:tc>
        <w:tc>
          <w:tcPr>
            <w:tcW w:type="dxa" w:w="331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Điều kiện Đạt (Pass Criteria)</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20"/>
              </w:rPr>
              <w:t>Phương pháp kiểm tra</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AC-01</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Phân quyền phạm vi (Scope)</w:t>
            </w:r>
          </w:p>
        </w:tc>
        <w:tc>
          <w:tcPr>
            <w:tcW w:type="dxa" w:w="331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Nhân viên tòa A tuyệt đối không xem hoặc sửa được dữ liệu tòa B. Vi phạm trả về 404.</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Kiểm thử tự động với 2 tài khoản khác scope.</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AC-02</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Bảo mật mã PIN bưu phẩm</w:t>
            </w:r>
          </w:p>
        </w:tc>
        <w:tc>
          <w:tcPr>
            <w:tcW w:type="dxa" w:w="331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DB không lưu plaintext; băm tối thiểu 32 ký tự; khóa sau 5 lần thử sai; che giấu trên API.</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Truy vấn DB trực tiếp và inspect response DTO.</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AC-03</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Tính lũy biến (Idempotency)</w:t>
            </w:r>
          </w:p>
        </w:tc>
        <w:tc>
          <w:tcPr>
            <w:tcW w:type="dxa" w:w="331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Gửi lại cùng key và body trả về 200/201 với dữ liệu cũ, không sinh bản ghi mới.</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Gửi lặp 10 request API có cùng Idempotency-Key.</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AC-04</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Chống xung đột (Concurrency)</w:t>
            </w:r>
          </w:p>
        </w:tc>
        <w:tc>
          <w:tcPr>
            <w:tcW w:type="dxa" w:w="331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2 nhân viên bàn giao cùng lúc một bưu kiện: 1 thành công (200), 1 thất bại (409 Conflict).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Chạy ThreadPoolExecutor bắn song song.</w:t>
            </w:r>
          </w:p>
        </w:tc>
      </w:tr>
      <w:tr>
        <w:tc>
          <w:tcPr>
            <w:tcW w:type="dxa" w:w="1584"/>
            <w:vAlign w:val="center"/>
            <w:shd w:val="clear" w:color="auto" w:fill="FFFFFF"/>
            <w:tcMar>
              <w:top w:w="80" w:type="dxa"/>
              <w:bottom w:w="80" w:type="dxa"/>
              <w:left w:w="120" w:type="dxa"/>
              <w:right w:w="120" w:type="dxa"/>
            </w:tcMar>
          </w:tcPr>
          <w:p>
            <w:pPr>
              <w:spacing w:after="0" w:line="276" w:lineRule="auto"/>
              <w:jc w:val="center"/>
            </w:pPr>
            <w:r>
              <w:rPr>
                <w:rFonts w:ascii="Segoe UI" w:hAnsi="Segoe UI"/>
                <w:color w:val="282828"/>
                <w:sz w:val="19"/>
              </w:rPr>
              <w:t>AC-05</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Độ trôi Schema (Drift Check)</w:t>
            </w:r>
          </w:p>
        </w:tc>
        <w:tc>
          <w:tcPr>
            <w:tcW w:type="dxa" w:w="331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Cơ sở dữ liệu sau khi chạy toàn bộ migration phải khớp 100% với model, không có drift.</w:t>
            </w:r>
          </w:p>
        </w:tc>
        <w:tc>
          <w:tcPr>
            <w:tcW w:type="dxa" w:w="2592"/>
            <w:vAlign w:val="center"/>
            <w:shd w:val="clear" w:color="auto" w:fill="FFFFFF"/>
            <w:tcMar>
              <w:top w:w="80" w:type="dxa"/>
              <w:bottom w:w="80" w:type="dxa"/>
              <w:left w:w="120" w:type="dxa"/>
              <w:right w:w="120" w:type="dxa"/>
            </w:tcMar>
          </w:tcPr>
          <w:p>
            <w:pPr>
              <w:spacing w:after="0" w:line="276" w:lineRule="auto"/>
              <w:jc w:val="left"/>
            </w:pPr>
            <w:r>
              <w:rPr>
                <w:rFonts w:ascii="Segoe UI" w:hAnsi="Segoe UI"/>
                <w:color w:val="282828"/>
                <w:sz w:val="19"/>
              </w:rPr>
              <w:t>Chạy lệnh alembic check --dialect postgresql.</w:t>
            </w:r>
          </w:p>
        </w:tc>
      </w:tr>
      <w:tr>
        <w:tc>
          <w:tcPr>
            <w:tcW w:type="dxa" w:w="1584"/>
            <w:vAlign w:val="center"/>
            <w:shd w:val="clear" w:color="auto" w:fill="F7FAFC"/>
            <w:tcMar>
              <w:top w:w="80" w:type="dxa"/>
              <w:bottom w:w="80" w:type="dxa"/>
              <w:left w:w="120" w:type="dxa"/>
              <w:right w:w="120" w:type="dxa"/>
            </w:tcMar>
          </w:tcPr>
          <w:p>
            <w:pPr>
              <w:spacing w:after="0" w:line="276" w:lineRule="auto"/>
              <w:jc w:val="center"/>
            </w:pPr>
            <w:r>
              <w:rPr>
                <w:rFonts w:ascii="Segoe UI" w:hAnsi="Segoe UI"/>
                <w:color w:val="282828"/>
                <w:sz w:val="19"/>
              </w:rPr>
              <w:t>AC-06</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Kiểm toán (Audit Trail)</w:t>
            </w:r>
          </w:p>
        </w:tc>
        <w:tc>
          <w:tcPr>
            <w:tcW w:type="dxa" w:w="331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Mọi thao tác ghi đều lưu actor, timestamp, correlation_id và before/after snapshot.</w:t>
            </w:r>
          </w:p>
        </w:tc>
        <w:tc>
          <w:tcPr>
            <w:tcW w:type="dxa" w:w="2592"/>
            <w:vAlign w:val="center"/>
            <w:shd w:val="clear" w:color="auto" w:fill="F7FAFC"/>
            <w:tcMar>
              <w:top w:w="80" w:type="dxa"/>
              <w:bottom w:w="80" w:type="dxa"/>
              <w:left w:w="120" w:type="dxa"/>
              <w:right w:w="120" w:type="dxa"/>
            </w:tcMar>
          </w:tcPr>
          <w:p>
            <w:pPr>
              <w:spacing w:after="0" w:line="276" w:lineRule="auto"/>
              <w:jc w:val="left"/>
            </w:pPr>
            <w:r>
              <w:rPr>
                <w:rFonts w:ascii="Segoe UI" w:hAnsi="Segoe UI"/>
                <w:color w:val="282828"/>
                <w:sz w:val="19"/>
              </w:rPr>
              <w:t>Truy vấn bảng audit_events đối chiếu sau giao dịch.</w:t>
            </w:r>
          </w:p>
        </w:tc>
      </w:tr>
    </w:tbl>
    <w:p>
      <w:pPr>
        <w:spacing w:after="160"/>
      </w:pPr>
    </w:p>
    <w:p>
      <w:pPr>
        <w:pStyle w:val="Heading2"/>
        <w:keepNext/>
        <w:spacing w:before="200" w:after="80"/>
      </w:pPr>
      <w:r>
        <w:rPr>
          <w:b/>
          <w:color w:val="2B547E"/>
          <w:sz w:val="26"/>
        </w:rPr>
        <w:t>5.3 Lộ trình phát triển sản phẩm toàn diện (Master Roadmap)</w:t>
      </w:r>
    </w:p>
    <w:p>
      <w:pPr>
        <w:spacing w:after="120" w:line="300" w:lineRule="auto"/>
        <w:jc w:val="left"/>
      </w:pPr>
      <w:r>
        <w:rPr>
          <w:rFonts w:ascii="Segoe UI" w:hAnsi="Segoe UI"/>
          <w:b w:val="0"/>
          <w:i w:val="0"/>
          <w:color w:val="212529"/>
          <w:sz w:val="22"/>
        </w:rPr>
        <w:t>Dự án được phân kỳ thành các gói phát hành (Tranches) rõ ràng:</w:t>
      </w:r>
    </w:p>
    <w:p>
      <w:pPr>
        <w:spacing w:after="120" w:line="300" w:lineRule="auto"/>
        <w:jc w:val="left"/>
      </w:pPr>
      <w:r>
        <w:rPr>
          <w:rFonts w:ascii="Segoe UI" w:hAnsi="Segoe UI"/>
          <w:b w:val="0"/>
          <w:i w:val="0"/>
          <w:color w:val="212529"/>
          <w:sz w:val="22"/>
        </w:rPr>
        <w:t>• Tranche R1 - R4 (Core Operations Baseline): Đã hoàn thành nền tảng xác thực, phân quyền tòa nhà, danh mục không gian/cư dân, quy trình dịch vụ và vận hành kỹ thuật/vệ sinh/an ninh (241 tests pass).</w:t>
      </w:r>
    </w:p>
    <w:p>
      <w:pPr>
        <w:spacing w:after="120" w:line="300" w:lineRule="auto"/>
        <w:jc w:val="left"/>
      </w:pPr>
      <w:r>
        <w:rPr>
          <w:rFonts w:ascii="Segoe UI" w:hAnsi="Segoe UI"/>
          <w:b w:val="0"/>
          <w:i w:val="0"/>
          <w:color w:val="212529"/>
          <w:sz w:val="22"/>
        </w:rPr>
        <w:t>• Tranche R5 - R6 (Resident Portal &amp; Outbox): Đã hoàn thiện hạ tầng thông báo giao dịch Outbox, liên kết định danh cư dân và cổng tra cứu công nợ di động.</w:t>
      </w:r>
    </w:p>
    <w:p>
      <w:pPr>
        <w:spacing w:after="120" w:line="300" w:lineRule="auto"/>
        <w:jc w:val="left"/>
      </w:pPr>
      <w:r>
        <w:rPr>
          <w:rFonts w:ascii="Segoe UI" w:hAnsi="Segoe UI"/>
          <w:b w:val="0"/>
          <w:i w:val="0"/>
          <w:color w:val="212529"/>
          <w:sz w:val="22"/>
        </w:rPr>
        <w:t>• Tranche R7 / V1-01 (Parcel-to-Case Foundation &amp; Complete Workflow): Xây dựng mô hình dữ liệu bưu phẩm bền vững (Migration 0014), hoàn thiện API bàn giao bưu kiện bảo mật PIN, tích hợp mở Case tự động khi mất mát và giao diện quản lý quầy chuyên nghiệp.</w:t>
      </w:r>
    </w:p>
    <w:p>
      <w:pPr>
        <w:spacing w:after="120" w:line="300" w:lineRule="auto"/>
        <w:jc w:val="left"/>
      </w:pPr>
      <w:r>
        <w:rPr>
          <w:rFonts w:ascii="Segoe UI" w:hAnsi="Segoe UI"/>
          <w:b w:val="0"/>
          <w:i w:val="0"/>
          <w:color w:val="212529"/>
          <w:sz w:val="22"/>
        </w:rPr>
        <w:t>• Tầm nhìn V2 (Advanced Ecosystem): Tích hợp thanh toán trực tuyến VietQR động, kết nối hệ thống thiết bị kiểm soát ra vào tòa nhà (Access Control Hardware) và ứng dụng trợ lý thông minh.</w:t>
      </w:r>
    </w:p>
    <w:p>
      <w:r>
        <w:br w:type="page"/>
      </w:r>
    </w:p>
    <w:p>
      <w:pPr>
        <w:pStyle w:val="Heading1"/>
        <w:keepNext/>
        <w:spacing w:before="280" w:after="80"/>
      </w:pPr>
      <w:r>
        <w:rPr>
          <w:b/>
          <w:color w:val="1A365D"/>
          <w:sz w:val="32"/>
        </w:rPr>
        <w:t>TÀI LIỆU THAM KHẢO HỌC THUẬT VÀ TIÊU CHUẨN KỸ THUẬT</w:t>
      </w:r>
    </w:p>
    <w:p>
      <w:pPr>
        <w:spacing w:after="80" w:line="300" w:lineRule="auto"/>
        <w:jc w:val="left"/>
      </w:pPr>
      <w:r>
        <w:rPr>
          <w:rFonts w:ascii="Segoe UI" w:hAnsi="Segoe UI"/>
          <w:b w:val="0"/>
          <w:i w:val="0"/>
          <w:color w:val="212529"/>
          <w:sz w:val="22"/>
        </w:rPr>
        <w:t>1. Object Management Group (OMG). (2017). Unified Modeling Language (OMG UML) Specification, Version 2.5.1. Standard document.</w:t>
      </w:r>
    </w:p>
    <w:p>
      <w:pPr>
        <w:spacing w:after="80" w:line="300" w:lineRule="auto"/>
        <w:jc w:val="left"/>
      </w:pPr>
      <w:r>
        <w:rPr>
          <w:rFonts w:ascii="Segoe UI" w:hAnsi="Segoe UI"/>
          <w:b w:val="0"/>
          <w:i w:val="0"/>
          <w:color w:val="212529"/>
          <w:sz w:val="22"/>
        </w:rPr>
        <w:t>2. IEEE / ISO / IEC. (2018). ISO/IEC/IEEE 29148:2018 Systems and software engineering — Life cycle processes — Requirements engineering. IEEE Standards Association.</w:t>
      </w:r>
    </w:p>
    <w:p>
      <w:pPr>
        <w:spacing w:after="80" w:line="300" w:lineRule="auto"/>
        <w:jc w:val="left"/>
      </w:pPr>
      <w:r>
        <w:rPr>
          <w:rFonts w:ascii="Segoe UI" w:hAnsi="Segoe UI"/>
          <w:b w:val="0"/>
          <w:i w:val="0"/>
          <w:color w:val="212529"/>
          <w:sz w:val="22"/>
        </w:rPr>
        <w:t>3. ISO / IEC. (2011). ISO/IEC 25010:2011 Systems and software engineering — Systems and software Quality Requirements and Evaluation (SQuaRE) — System and software quality models.</w:t>
      </w:r>
    </w:p>
    <w:p>
      <w:pPr>
        <w:spacing w:after="80" w:line="300" w:lineRule="auto"/>
        <w:jc w:val="left"/>
      </w:pPr>
      <w:r>
        <w:rPr>
          <w:rFonts w:ascii="Segoe UI" w:hAnsi="Segoe UI"/>
          <w:b w:val="0"/>
          <w:i w:val="0"/>
          <w:color w:val="212529"/>
          <w:sz w:val="22"/>
        </w:rPr>
        <w:t>4. Martin Fowler. (2002). Patterns of Enterprise Application Architecture. Addison-Wesley Professional.</w:t>
      </w:r>
    </w:p>
    <w:p>
      <w:pPr>
        <w:spacing w:after="80" w:line="300" w:lineRule="auto"/>
        <w:jc w:val="left"/>
      </w:pPr>
      <w:r>
        <w:rPr>
          <w:rFonts w:ascii="Segoe UI" w:hAnsi="Segoe UI"/>
          <w:b w:val="0"/>
          <w:i w:val="0"/>
          <w:color w:val="212529"/>
          <w:sz w:val="22"/>
        </w:rPr>
        <w:t>5. Eric Evans. (2003). Domain-Driven Design: Tackling Complexity in the Heart of Software. Addison-Wesley Professional.</w:t>
      </w:r>
    </w:p>
    <w:p>
      <w:pPr>
        <w:spacing w:after="80" w:line="300" w:lineRule="auto"/>
        <w:jc w:val="left"/>
      </w:pPr>
      <w:r>
        <w:rPr>
          <w:rFonts w:ascii="Segoe UI" w:hAnsi="Segoe UI"/>
          <w:b w:val="0"/>
          <w:i w:val="0"/>
          <w:color w:val="212529"/>
          <w:sz w:val="22"/>
        </w:rPr>
        <w:t>6. Robert C. Martin. (2017). Clean Architecture: A Craftsman's Guide to Software Structure and Design. Prentice Hall.</w:t>
      </w:r>
    </w:p>
    <w:p>
      <w:pPr>
        <w:spacing w:after="80" w:line="300" w:lineRule="auto"/>
        <w:jc w:val="left"/>
      </w:pPr>
      <w:r>
        <w:rPr>
          <w:rFonts w:ascii="Segoe UI" w:hAnsi="Segoe UI"/>
          <w:b w:val="0"/>
          <w:i w:val="0"/>
          <w:color w:val="212529"/>
          <w:sz w:val="22"/>
        </w:rPr>
        <w:t>7. Chris Richardson. (2018). Microservices Patterns: With examples in Java (Transactional Outbox Pattern). Manning Publications.</w:t>
      </w:r>
    </w:p>
    <w:p>
      <w:pPr>
        <w:spacing w:after="80" w:line="300" w:lineRule="auto"/>
        <w:jc w:val="left"/>
      </w:pPr>
      <w:r>
        <w:rPr>
          <w:rFonts w:ascii="Segoe UI" w:hAnsi="Segoe UI"/>
          <w:b w:val="0"/>
          <w:i w:val="0"/>
          <w:color w:val="212529"/>
          <w:sz w:val="22"/>
        </w:rPr>
        <w:t>8. Quốc hội nước CHXHCN Việt Nam. (2023). Luật Nhà ở số 27/2023/QH15 (Quy định về quản lý vận hành nhà chung cư và khu đô thị).</w:t>
      </w:r>
    </w:p>
    <w:p>
      <w:pPr>
        <w:spacing w:after="80" w:line="300" w:lineRule="auto"/>
        <w:jc w:val="left"/>
      </w:pPr>
      <w:r>
        <w:rPr>
          <w:rFonts w:ascii="Segoe UI" w:hAnsi="Segoe UI"/>
          <w:b w:val="0"/>
          <w:i w:val="0"/>
          <w:color w:val="212529"/>
          <w:sz w:val="22"/>
        </w:rPr>
        <w:t>9. Chính phủ nước CHXHCN Việt Nam. (2023). Nghị định số 13/2023/NĐ-CP về Bảo vệ dữ liệu cá nhân (Personal Data Protection Decree).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