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Curated Corpus of Climate Finance Literature, 1990–2024: Six Sources, Multilingual Retrieval, and Grey Literature</w:t>
      </w:r>
    </w:p>
    <w:p>
      <w:pPr>
        <w:pStyle w:val="Author"/>
      </w:pPr>
      <w:r>
        <w:t xml:space="preserve">Minh Ha-Duong</w:t>
      </w:r>
    </w:p>
    <w:p>
      <w:pPr>
        <w:pStyle w:val="Date"/>
      </w:pPr>
      <w:r>
        <w:t xml:space="preserve">2026-03-26</w:t>
      </w:r>
    </w:p>
    <w:p>
      <w:pPr>
        <w:pStyle w:val="AbstractTitle"/>
      </w:pPr>
      <w:r>
        <w:t xml:space="preserve">Abstract</w:t>
      </w:r>
    </w:p>
    <w:p>
      <w:pPr>
        <w:pStyle w:val="Abstract"/>
      </w:pPr>
      <w:r>
        <w:t xml:space="preserve">This data paper presents a curated, multilingual corpus of</w:t>
      </w:r>
      <w:r>
        <w:t xml:space="preserve"> </w:t>
      </w:r>
      <w:r>
        <w:t xml:space="preserve">31,713 works on climate finance published between 1990</w:t>
      </w:r>
      <w:r>
        <w:t xml:space="preserve"> </w:t>
      </w:r>
      <w:r>
        <w:t xml:space="preserve">and 2024. The dataset is assembled from</w:t>
      </w:r>
      <w:r>
        <w:t xml:space="preserve"> </w:t>
      </w:r>
      <w:r>
        <w:t xml:space="preserve">6 complementary sources that combine academic databases,</w:t>
      </w:r>
      <w:r>
        <w:t xml:space="preserve"> </w:t>
      </w:r>
      <w:r>
        <w:t xml:space="preserve">institutional repositories, and grey literature, enabling broader coverage</w:t>
      </w:r>
      <w:r>
        <w:t xml:space="preserve"> </w:t>
      </w:r>
      <w:r>
        <w:t xml:space="preserve">than single-source bibliometric studies. A multilingual retrieval strategy</w:t>
      </w:r>
      <w:r>
        <w:t xml:space="preserve"> </w:t>
      </w:r>
      <w:r>
        <w:t xml:space="preserve">based on an eight-language keyword taxonomy is used to capture relevant</w:t>
      </w:r>
      <w:r>
        <w:t xml:space="preserve"> </w:t>
      </w:r>
      <w:r>
        <w:t xml:space="preserve">works across linguistic contexts, while a reproducible pipeline integrates</w:t>
      </w:r>
      <w:r>
        <w:t xml:space="preserve"> </w:t>
      </w:r>
      <w:r>
        <w:t xml:space="preserve">deduplication, metadata harmonisation, and quality filtering. The resulting</w:t>
      </w:r>
      <w:r>
        <w:t xml:space="preserve"> </w:t>
      </w:r>
      <w:r>
        <w:t xml:space="preserve">corpus includes a citation network derived from Crossref and OpenAlex, as</w:t>
      </w:r>
      <w:r>
        <w:t xml:space="preserve"> </w:t>
      </w:r>
      <w:r>
        <w:t xml:space="preserve">well as pre-computed multilingual embeddings to support cross-lingual</w:t>
      </w:r>
      <w:r>
        <w:t xml:space="preserve"> </w:t>
      </w:r>
      <w:r>
        <w:t xml:space="preserve">analysis.</w:t>
      </w:r>
    </w:p>
    <w:p>
      <w:pPr>
        <w:pStyle w:val="Compact"/>
        <w:numPr>
          <w:ilvl w:val="0"/>
          <w:numId w:val="1001"/>
        </w:numPr>
      </w:pPr>
      <w:r>
        <w:t xml:space="preserve">Related dataset:</w:t>
      </w:r>
      <w:r>
        <w:t xml:space="preserve"> </w:t>
      </w:r>
      <w:r>
        <w:t xml:space="preserve">“A Curated Corpus of Climate Finance Literature, 1990–2024: Six Sources, Multilingual Retrieval, and Grey Literature”</w:t>
      </w:r>
      <w:r>
        <w:t xml:space="preserve"> </w:t>
      </w:r>
      <w:r>
        <w:t xml:space="preserve">with DOI</w:t>
      </w:r>
      <w:r>
        <w:t xml:space="preserve"> </w:t>
      </w:r>
      <w:hyperlink r:id="rId20">
        <w:r>
          <w:rPr>
            <w:rStyle w:val="Hyperlink"/>
          </w:rPr>
          <w:t xml:space="preserve">10.5281/zenodo.19236130</w:t>
        </w:r>
      </w:hyperlink>
      <w:r>
        <w:t xml:space="preserve"> </w:t>
      </w:r>
      <w:r>
        <w:t xml:space="preserve">in repository</w:t>
      </w:r>
      <w:r>
        <w:t xml:space="preserve"> </w:t>
      </w:r>
      <w:r>
        <w:t xml:space="preserve">“Zenodo”</w:t>
      </w:r>
    </w:p>
    <w:bookmarkStart w:id="21" w:name="sec-introduction"/>
    <w:p>
      <w:pPr>
        <w:pStyle w:val="Heading2"/>
      </w:pPr>
      <w:r>
        <w:t xml:space="preserve">1. Introduction</w:t>
      </w:r>
    </w:p>
    <w:p>
      <w:pPr>
        <w:pStyle w:val="FirstParagraph"/>
      </w:pPr>
      <w:r>
        <w:t xml:space="preserve">Scholarship on climate finance is scattered across databases, languages, and institutional traditions, with no single corpus bringing these fragments together. Climate finance—the financial flows directed at mitigating and adapting to climate change—has become one of the most politically salient objects in international economic governance: the $100 billion annual commitment made at Copenhagen in 2009, and the $300 billion New Collective Quantified Goal agreed at Baku in 2024, are contested not only in their adequacy but in their very definition</w:t>
      </w:r>
      <w:r>
        <w:t xml:space="preserve"> </w:t>
      </w:r>
      <w:r>
        <w:t xml:space="preserve">(Roberts and Weikmans 2017; Michaelowa and Michaelowa 2007)</w:t>
      </w:r>
      <w:r>
        <w:t xml:space="preserve">. The scholarship that analyses this contested object spans economics, political science, international relations, development studies, and environmental governance, yet it remains bibliographically fragmented. Academic publications are dispersed across databases with different coverage profiles. Institutional reports from the OECD, UNFCCC, World Bank, and Climate Policy Initiative—documents that have shaped the very categories of the debate—are absent from standard academic databases. The literature is also multilingual: while English dominates, French, Chinese, Japanese, and German traditions contribute perspectives that monolingual corpora miss entirely.</w:t>
      </w:r>
    </w:p>
    <w:p>
      <w:pPr>
        <w:pStyle w:val="BodyText"/>
      </w:pPr>
      <w:r>
        <w:t xml:space="preserve">Pioneering bibliometric work has begun to map this terrain, though the terms</w:t>
      </w:r>
      <w:r>
        <w:t xml:space="preserve"> </w:t>
      </w:r>
      <w:r>
        <w:t xml:space="preserve">“climate finance,”</w:t>
      </w:r>
      <w:r>
        <w:t xml:space="preserve"> </w:t>
      </w:r>
      <w:r>
        <w:t xml:space="preserve">“green finance,”</w:t>
      </w:r>
      <w:r>
        <w:t xml:space="preserve"> </w:t>
      </w:r>
      <w:r>
        <w:t xml:space="preserve">and</w:t>
      </w:r>
      <w:r>
        <w:t xml:space="preserve"> </w:t>
      </w:r>
      <w:r>
        <w:t xml:space="preserve">“sustainable finance”</w:t>
      </w:r>
      <w:r>
        <w:t xml:space="preserve"> </w:t>
      </w:r>
      <w:r>
        <w:t xml:space="preserve">denote overlapping but distinct literatures with different disciplinary centres of gravity.</w:t>
      </w:r>
      <w:r>
        <w:t xml:space="preserve"> </w:t>
      </w:r>
      <w:r>
        <w:t xml:space="preserve">Carè and Weber (2023)</w:t>
      </w:r>
      <w:r>
        <w:t xml:space="preserve"> </w:t>
      </w:r>
      <w:r>
        <w:t xml:space="preserve">survey sustainable finance bibliometrics using Scopus;</w:t>
      </w:r>
      <w:r>
        <w:t xml:space="preserve"> </w:t>
      </w:r>
      <w:r>
        <w:t xml:space="preserve">Shang and Jin (2023)</w:t>
      </w:r>
      <w:r>
        <w:t xml:space="preserve"> </w:t>
      </w:r>
      <w:r>
        <w:t xml:space="preserve">analyse climate finance publications from Web of Science;</w:t>
      </w:r>
      <w:r>
        <w:t xml:space="preserve"> </w:t>
      </w:r>
      <w:r>
        <w:t xml:space="preserve">Maria, Ballini, and Souza (2023)</w:t>
      </w:r>
      <w:r>
        <w:t xml:space="preserve"> </w:t>
      </w:r>
      <w:r>
        <w:t xml:space="preserve">map green finance using Scopus with network analysis. These studies established the field’s bibliometric contours but rely on a single database each, cover English-language publications only, and do not publish reusable datasets (verified against each journal’s data sharing policy and public repositories).</w:t>
      </w:r>
    </w:p>
    <w:p>
      <w:pPr>
        <w:pStyle w:val="BodyText"/>
      </w:pPr>
      <w:r>
        <w:t xml:space="preserve">Our dataset addresses these limitations. Its construction follows three design principles: inclusiveness (broad retrieval across sources and languages), traceability (full audit trail of filtering decisions), and reusability (pre-computed embeddings and structured outputs). Concretely, it casts a wide net across 6 complementary sources, applies a documented quality-filtering pipeline, and provides sentence-transformer embeddings that place all works in a shared semantic space regardless of language. Because</w:t>
      </w:r>
      <w:r>
        <w:t xml:space="preserve"> </w:t>
      </w:r>
      <w:r>
        <w:t xml:space="preserve">“climate finance”</w:t>
      </w:r>
      <w:r>
        <w:t xml:space="preserve"> </w:t>
      </w:r>
      <w:r>
        <w:t xml:space="preserve">is a contested category whose boundaries are themselves an object of study</w:t>
      </w:r>
      <w:r>
        <w:t xml:space="preserve"> </w:t>
      </w:r>
      <w:r>
        <w:t xml:space="preserve">(Weikmans and Roberts 2019)</w:t>
      </w:r>
      <w:r>
        <w:t xml:space="preserve">, we deliberately err on the side of inclusion and publish the full corpus with quality flags, letting users draw their own boundary. The dataset was constructed to support a history-of-economic-thought study of how climate finance crystallised as a category of economic governance [Ha-Duong, under review]. However, its scope and documentation make it reusable for a range of applications across the humanities and social sciences: topic modelling, citation network analysis, bibliometric mapping, temporal analysis of concept emergence, and cross-lingual studies of how climate finance is discussed in different linguistic and institutional traditions.</w:t>
      </w:r>
    </w:p>
    <w:bookmarkEnd w:id="21"/>
    <w:bookmarkStart w:id="28" w:name="sec-method"/>
    <w:p>
      <w:pPr>
        <w:pStyle w:val="Heading2"/>
      </w:pPr>
      <w:r>
        <w:t xml:space="preserve">2. Method</w:t>
      </w:r>
    </w:p>
    <w:bookmarkStart w:id="23" w:name="sec-sources"/>
    <w:p>
      <w:pPr>
        <w:pStyle w:val="Heading3"/>
      </w:pPr>
      <w:r>
        <w:t xml:space="preserve">2.1 Sources</w:t>
      </w:r>
    </w:p>
    <w:p>
      <w:pPr>
        <w:pStyle w:val="FirstParagraph"/>
      </w:pPr>
      <w:r>
        <w:t xml:space="preserve">The corpus assembles academic and grey literature from 6 sources with complementary coverage profiles (</w:t>
      </w:r>
      <w:hyperlink w:anchor="tbl-sources">
        <w:r>
          <w:rPr>
            <w:rStyle w:val="Hyperlink"/>
          </w:rPr>
          <w:t xml:space="preserve">Table 1</w:t>
        </w:r>
      </w:hyperlink>
      <w:r>
        <w:t xml:space="preserve">). Four are automated or semi-automated (reproducible from the scripts and an internet connection); two require manual export from restricted platforms.</w:t>
      </w:r>
    </w:p>
    <w:tbl>
      <w:tblPr>
        <w:tblStyle w:val="Table"/>
        <w:tblW w:type="pct" w:w="5000"/>
        <w:tblLayout w:type="fixed"/>
        <w:tblLook w:firstRow="0" w:lastRow="0" w:firstColumn="0" w:lastColumn="0" w:noHBand="0" w:noVBand="0" w:val="0000"/>
      </w:tblPr>
      <w:tblGrid>
        <w:gridCol w:w="7920"/>
      </w:tblGrid>
      <w:tr>
        <w:tc>
          <w:tcPr/>
          <w:bookmarkStart w:id="22" w:name="tbl-sources"/>
          <w:p>
            <w:pPr>
              <w:jc w:val="center"/>
            </w:pPr>
            <w:pPr>
              <w:jc w:val="left"/>
              <w:spacing w:before="200"/>
              <w:pStyle w:val="ImageCaption"/>
            </w:pPr>
            <w:r>
              <w:t xml:space="preserve">Table 1: Sources, automation level, and coverage scope.</w:t>
            </w:r>
          </w:p>
          <w:tbl>
            <w:tblPr>
              <w:tblStyle w:val="Table"/>
              <w:tblW w:type="pct" w:w="5000"/>
              <w:tblLayout w:type="fixed"/>
              <w:tblLook w:firstRow="1" w:lastRow="0" w:firstColumn="0" w:lastColumn="0" w:noHBand="0" w:noVBand="0" w:val="0020"/>
            </w:tblPr>
            <w:tblGrid>
              <w:gridCol w:w="2112"/>
              <w:gridCol w:w="3168"/>
              <w:gridCol w:w="2640"/>
            </w:tblGrid>
            <w:tr>
              <w:trPr>
                <w:tblHeader w:val="on"/>
              </w:trPr>
              <w:tc>
                <w:tcPr/>
                <w:p>
                  <w:pPr>
                    <w:pStyle w:val="Compact"/>
                    <w:jc w:val="center"/>
                  </w:pPr>
                  <w:r>
                    <w:t xml:space="preserve">Source</w:t>
                  </w:r>
                </w:p>
              </w:tc>
              <w:tc>
                <w:tcPr/>
                <w:p>
                  <w:pPr>
                    <w:pStyle w:val="Compact"/>
                    <w:jc w:val="center"/>
                  </w:pPr>
                  <w:r>
                    <w:t xml:space="preserve">Automation</w:t>
                  </w:r>
                </w:p>
              </w:tc>
              <w:tc>
                <w:tcPr/>
                <w:p>
                  <w:pPr>
                    <w:pStyle w:val="Compact"/>
                    <w:jc w:val="center"/>
                  </w:pPr>
                  <w:r>
                    <w:t xml:space="preserve">Coverage</w:t>
                  </w:r>
                </w:p>
              </w:tc>
            </w:tr>
            <w:tr>
              <w:tc>
                <w:tcPr/>
                <w:p>
                  <w:pPr>
                    <w:pStyle w:val="Compact"/>
                    <w:jc w:val="center"/>
                  </w:pPr>
                  <w:r>
                    <w:t xml:space="preserve">OpenAlex</w:t>
                  </w:r>
                  <w:r>
                    <w:t xml:space="preserve"> </w:t>
                  </w:r>
                  <w:r>
                    <w:t xml:space="preserve">(Priem, Piwowar, and Orr 2022)</w:t>
                  </w:r>
                </w:p>
              </w:tc>
              <w:tc>
                <w:tcPr/>
                <w:p>
                  <w:pPr>
                    <w:pStyle w:val="Compact"/>
                    <w:jc w:val="center"/>
                  </w:pPr>
                  <w:r>
                    <w:t xml:space="preserve">Automated (free API)</w:t>
                  </w:r>
                </w:p>
              </w:tc>
              <w:tc>
                <w:tcPr/>
                <w:p>
                  <w:pPr>
                    <w:pStyle w:val="Compact"/>
                    <w:jc w:val="center"/>
                  </w:pPr>
                  <w:r>
                    <w:t xml:space="preserve">Primary academic source (indexes Crossref, DOAJ, PubMed, and more): tiered keyword search</w:t>
                  </w:r>
                </w:p>
              </w:tc>
            </w:tr>
            <w:tr>
              <w:tc>
                <w:tcPr/>
                <w:p>
                  <w:pPr>
                    <w:pStyle w:val="Compact"/>
                    <w:jc w:val="center"/>
                  </w:pPr>
                  <w:r>
                    <w:t xml:space="preserve">ISTEX</w:t>
                  </w:r>
                </w:p>
              </w:tc>
              <w:tc>
                <w:tcPr/>
                <w:p>
                  <w:pPr>
                    <w:pStyle w:val="Compact"/>
                    <w:jc w:val="center"/>
                  </w:pPr>
                  <w:r>
                    <w:t xml:space="preserve">Automated (public API)</w:t>
                  </w:r>
                </w:p>
              </w:tc>
              <w:tc>
                <w:tcPr/>
                <w:p>
                  <w:pPr>
                    <w:pStyle w:val="Compact"/>
                    <w:jc w:val="center"/>
                  </w:pPr>
                  <w:r>
                    <w:t xml:space="preserve">CNRS national text-mining platform (multi-publisher)</w:t>
                  </w:r>
                </w:p>
              </w:tc>
            </w:tr>
            <w:tr>
              <w:tc>
                <w:tcPr/>
                <w:p>
                  <w:pPr>
                    <w:pStyle w:val="Compact"/>
                    <w:jc w:val="center"/>
                  </w:pPr>
                  <w:r>
                    <w:t xml:space="preserve">Grey literature</w:t>
                  </w:r>
                </w:p>
              </w:tc>
              <w:tc>
                <w:tcPr/>
                <w:p>
                  <w:pPr>
                    <w:pStyle w:val="Compact"/>
                    <w:jc w:val="center"/>
                  </w:pPr>
                  <w:r>
                    <w:t xml:space="preserve">Hybrid (curated seed + World Bank API)</w:t>
                  </w:r>
                </w:p>
              </w:tc>
              <w:tc>
                <w:tcPr/>
                <w:p>
                  <w:pPr>
                    <w:pStyle w:val="Compact"/>
                    <w:jc w:val="center"/>
                  </w:pPr>
                  <w:r>
                    <w:t xml:space="preserve">16 curated reports</w:t>
                  </w:r>
                  <w:r>
                    <w:t xml:space="preserve"> </w:t>
                  </w:r>
                  <w:r>
                    <w:t xml:space="preserve">(e.g., Büchner et al. 2013)</w:t>
                  </w:r>
                  <w:r>
                    <w:t xml:space="preserve"> </w:t>
                  </w:r>
                  <w:r>
                    <w:t xml:space="preserve">+ World Bank repository</w:t>
                  </w:r>
                </w:p>
              </w:tc>
            </w:tr>
            <w:tr>
              <w:tc>
                <w:tcPr/>
                <w:p>
                  <w:pPr>
                    <w:pStyle w:val="Compact"/>
                    <w:jc w:val="center"/>
                  </w:pPr>
                  <w:r>
                    <w:t xml:space="preserve">Teaching canon</w:t>
                  </w:r>
                </w:p>
              </w:tc>
              <w:tc>
                <w:tcPr/>
                <w:p>
                  <w:pPr>
                    <w:pStyle w:val="Compact"/>
                    <w:jc w:val="center"/>
                  </w:pPr>
                  <w:r>
                    <w:t xml:space="preserve">AI-assisted (scraping + LLM extraction)</w:t>
                  </w:r>
                </w:p>
              </w:tc>
              <w:tc>
                <w:tcPr/>
                <w:p>
                  <w:pPr>
                    <w:pStyle w:val="Compact"/>
                    <w:jc w:val="center"/>
                  </w:pPr>
                  <w:r>
                    <w:t xml:space="preserve">Syllabus readings from university courses worldwide</w:t>
                  </w:r>
                </w:p>
              </w:tc>
            </w:tr>
            <w:tr>
              <w:tc>
                <w:tcPr/>
                <w:p>
                  <w:pPr>
                    <w:pStyle w:val="Compact"/>
                    <w:jc w:val="center"/>
                  </w:pPr>
                  <w:r>
                    <w:t xml:space="preserve">bibCNRS</w:t>
                  </w:r>
                </w:p>
              </w:tc>
              <w:tc>
                <w:tcPr/>
                <w:p>
                  <w:pPr>
                    <w:pStyle w:val="Compact"/>
                    <w:jc w:val="center"/>
                  </w:pPr>
                  <w:r>
                    <w:t xml:space="preserve">Hand-harvested (CNRS credentials)</w:t>
                  </w:r>
                </w:p>
              </w:tc>
              <w:tc>
                <w:tcPr/>
                <w:p>
                  <w:pPr>
                    <w:pStyle w:val="Compact"/>
                    <w:jc w:val="center"/>
                  </w:pPr>
                  <w:r>
                    <w:t xml:space="preserve">CNRS portal aggregating non-English news &amp; discourse (Gale, Wanfang, NewsBank) in FR, ZH, JA, DE</w:t>
                  </w:r>
                </w:p>
              </w:tc>
            </w:tr>
            <w:tr>
              <w:tc>
                <w:tcPr/>
                <w:p>
                  <w:pPr>
                    <w:pStyle w:val="Compact"/>
                    <w:jc w:val="center"/>
                  </w:pPr>
                  <w:r>
                    <w:t xml:space="preserve">SciSpace</w:t>
                  </w:r>
                </w:p>
              </w:tc>
              <w:tc>
                <w:tcPr/>
                <w:p>
                  <w:pPr>
                    <w:pStyle w:val="Compact"/>
                    <w:jc w:val="center"/>
                  </w:pPr>
                  <w:r>
                    <w:t xml:space="preserve">AI-collected, hand-exported</w:t>
                  </w:r>
                </w:p>
              </w:tc>
              <w:tc>
                <w:tcPr/>
                <w:p>
                  <w:pPr>
                    <w:pStyle w:val="Compact"/>
                    <w:jc w:val="center"/>
                  </w:pPr>
                  <w:r>
                    <w:t xml:space="preserve">SciSpace systematic review tool exports</w:t>
                  </w:r>
                </w:p>
              </w:tc>
            </w:tr>
          </w:tbl>
          <w:bookmarkEnd w:id="22"/>
          <w:p/>
        </w:tc>
      </w:tr>
    </w:tbl>
    <w:p>
      <w:pPr>
        <w:pStyle w:val="BodyText"/>
      </w:pPr>
      <w:r>
        <w:t xml:space="preserve">The search strategy uses a four-tier keyword taxonomy reflecting the evolving vocabulary of climate finance. Tier 1 consists of core terms in eight languages (English, French, Chinese, Japanese, German, Spanish, Portuguese, Arabic). Tiers 2–4 are English-only: Tier 2 covers institutional and diplomatic vocabulary (e.g.,</w:t>
      </w:r>
      <w:r>
        <w:t xml:space="preserve"> </w:t>
      </w:r>
      <w:r>
        <w:t xml:space="preserve">“clean development mechanism,”</w:t>
      </w:r>
      <w:r>
        <w:t xml:space="preserve"> </w:t>
      </w:r>
      <w:r>
        <w:t xml:space="preserve">“green climate fund”</w:t>
      </w:r>
      <w:r>
        <w:t xml:space="preserve">), while Tiers 3 and 4 broaden the search to climate-adjacent terms with concept-group co-occurrence filters (2-of-4 and 3-of-4 respectively) to maintain precision. The taxonomy was informed by keyword mining of 2,648 core papers (cited</w:t>
      </w:r>
      <w:r>
        <w:t xml:space="preserve"> </w:t>
      </w:r>
      <m:oMath>
        <m:r>
          <m:rPr>
            <m:sty m:val="p"/>
          </m:rPr>
          <m:t>≥</m:t>
        </m:r>
      </m:oMath>
      <w:r>
        <w:t xml:space="preserve"> </w:t>
      </w:r>
      <w:r>
        <w:t xml:space="preserve">50 times) and is defined in a version-controlled YAML configuration file.</w:t>
      </w:r>
    </w:p>
    <w:p>
      <w:pPr>
        <w:pStyle w:val="BodyText"/>
      </w:pPr>
      <w:r>
        <w:t xml:space="preserve">The corpus is multilingual by design. While English dominates (93.1%), the strategy explicitly targeted French (</w:t>
      </w:r>
      <w:r>
        <w:rPr>
          <w:i/>
          <w:iCs/>
        </w:rPr>
        <w:t xml:space="preserve">finance climat</w:t>
      </w:r>
      <w:r>
        <w:t xml:space="preserve">,</w:t>
      </w:r>
      <w:r>
        <w:t xml:space="preserve"> </w:t>
      </w:r>
      <w:r>
        <w:rPr>
          <w:i/>
          <w:iCs/>
        </w:rPr>
        <w:t xml:space="preserve">finance climatique</w:t>
      </w:r>
      <w:r>
        <w:t xml:space="preserve">), Chinese, Japanese, and German through ISTEX, bibCNRS, and multilingual OpenAlex queries. This deliberate multilingual scope, though it yields a modest non-English share, provides a foundation for cross-linguistic studies that monolingual corpora cannot support.</w:t>
      </w:r>
    </w:p>
    <w:p>
      <w:pPr>
        <w:pStyle w:val="BodyText"/>
      </w:pPr>
      <w:r>
        <w:t xml:space="preserve">All API queries are bounded to publication years 1990–2024; the lower bound reflects the start of UNFCCC negotiations, before which</w:t>
      </w:r>
      <w:r>
        <w:t xml:space="preserve"> </w:t>
      </w:r>
      <w:r>
        <w:t xml:space="preserve">“climate finance”</w:t>
      </w:r>
      <w:r>
        <w:t xml:space="preserve"> </w:t>
      </w:r>
      <w:r>
        <w:t xml:space="preserve">had no institutional referent. Raw API responses are stored in an append-only pool as compressed JSONL files, preserving complete responses for future re-extraction without re-downloading. OpenAlex indexes RePEc, so economics working papers are covered without a separate harvest. The two hand-harvested sources (bibCNRS, SciSpace) together contribute 896 records to the raw pool before quality filtering (</w:t>
      </w:r>
      <w:hyperlink w:anchor="tbl-quality">
        <w:r>
          <w:rPr>
            <w:rStyle w:val="Hyperlink"/>
          </w:rPr>
          <w:t xml:space="preserve">Table 2</w:t>
        </w:r>
      </w:hyperlink>
      <w:r>
        <w:t xml:space="preserve">). bibCNRS is a CNRS legacy portal aggregating news and regional databases (Gale, Wanfang, NewsBank) that capture non-English public discourse on climate finance — a dimension absent from academic databases. Their inclusion is validated by multi-source overlap: 62% of SciSpace records and 9% of bibCNRS records also appear in automated sources, confirming retrieval consistency.</w:t>
      </w:r>
    </w:p>
    <w:bookmarkEnd w:id="23"/>
    <w:bookmarkStart w:id="24" w:name="sec-data-structure"/>
    <w:p>
      <w:pPr>
        <w:pStyle w:val="Heading3"/>
      </w:pPr>
      <w:r>
        <w:t xml:space="preserve">2.2 Data Structure</w:t>
      </w:r>
    </w:p>
    <w:p>
      <w:pPr>
        <w:pStyle w:val="FirstParagraph"/>
      </w:pPr>
      <w:r>
        <w:t xml:space="preserve">The merge pipeline combines records from all sources through two deduplication passes: DOI-based (normalised, lowercased) and title+year matching for records lacking DOIs. When duplicates are found, the maximum citation count is retained and metadata follows a source-priority order. Boolean</w:t>
      </w:r>
      <w:r>
        <w:t xml:space="preserve"> </w:t>
      </w:r>
      <w:r>
        <w:rPr>
          <w:rStyle w:val="VerbatimChar"/>
        </w:rPr>
        <w:t xml:space="preserve">from_*</w:t>
      </w:r>
      <w:r>
        <w:t xml:space="preserve"> </w:t>
      </w:r>
      <w:r>
        <w:t xml:space="preserve">columns (one per source) track which databases contributed each record, enabling provenance analysis. The</w:t>
      </w:r>
      <w:r>
        <w:t xml:space="preserve"> </w:t>
      </w:r>
      <w:r>
        <w:rPr>
          <w:rStyle w:val="VerbatimChar"/>
        </w:rPr>
        <w:t xml:space="preserve">source_count</w:t>
      </w:r>
      <w:r>
        <w:t xml:space="preserve"> </w:t>
      </w:r>
      <w:r>
        <w:t xml:space="preserve">field records multi-source agreement: of the 31,713 refined works, 737 (2.3%) appear in multiple sources.</w:t>
      </w:r>
    </w:p>
    <w:p>
      <w:pPr>
        <w:pStyle w:val="BodyText"/>
      </w:pPr>
      <w:r>
        <w:t xml:space="preserve">A six-flag filtering pipeline then evaluates every work. Three flags require no external data: (1) missing metadata (no title), (2) absent abstract combined with an irrelevant title (lacking domain-specific terms in any of the target languages), and (3) title blacklist matches (noise terms such as</w:t>
      </w:r>
      <w:r>
        <w:t xml:space="preserve"> </w:t>
      </w:r>
      <w:r>
        <w:t xml:space="preserve">“blockchain”</w:t>
      </w:r>
      <w:r>
        <w:t xml:space="preserve"> </w:t>
      </w:r>
      <w:r>
        <w:t xml:space="preserve">or</w:t>
      </w:r>
      <w:r>
        <w:t xml:space="preserve"> </w:t>
      </w:r>
      <w:r>
        <w:t xml:space="preserve">“deep learning”</w:t>
      </w:r>
      <w:r>
        <w:t xml:space="preserve"> </w:t>
      </w:r>
      <w:r>
        <w:t xml:space="preserve">without climate-finance context). Three flags depend on enrichment outputs: (4) citation isolation (pre-2020 works neither cited by nor citing any other corpus work), (5) semantic outlier detection (embedding distance from corpus centroid exceeding mean + 2 standard deviations), and (6) cross-encoder relevance scoring against the query</w:t>
      </w:r>
      <w:r>
        <w:t xml:space="preserve"> </w:t>
      </w:r>
      <w:r>
        <w:t xml:space="preserve">“climate policy and financial mechanisms.”</w:t>
      </w:r>
    </w:p>
    <w:p>
      <w:pPr>
        <w:pStyle w:val="BodyText"/>
      </w:pPr>
      <w:r>
        <w:t xml:space="preserve">A separate annotation step detects near-duplicate content: coordinated multi-journal publications where the same text appears under different DOIs (e.g., the COP27 editorial published simultaneously in 60+ medical journals). Detection uses a two-pass approach (abstract prefix clustering followed by title clustering with abstract-similarity validation) and assigns a shared</w:t>
      </w:r>
      <w:r>
        <w:t xml:space="preserve"> </w:t>
      </w:r>
      <w:r>
        <w:rPr>
          <w:rStyle w:val="VerbatimChar"/>
        </w:rPr>
        <w:t xml:space="preserve">near_duplicate_group</w:t>
      </w:r>
      <w:r>
        <w:t xml:space="preserve"> </w:t>
      </w:r>
      <w:r>
        <w:t xml:space="preserve">identifier. These records are kept, not removed: they are real publications, but flagging them supports transparency and enables users to control for content duplication in their analyses.</w:t>
      </w:r>
    </w:p>
    <w:p>
      <w:pPr>
        <w:pStyle w:val="BodyText"/>
      </w:pPr>
      <w:r>
        <w:t xml:space="preserve">The pipeline removes flagged works unless they meet one of four protection criteria: citation count</w:t>
      </w:r>
      <w:r>
        <w:t xml:space="preserve"> </w:t>
      </w:r>
      <m:oMath>
        <m:r>
          <m:rPr>
            <m:sty m:val="p"/>
          </m:rPr>
          <m:t>≥</m:t>
        </m:r>
      </m:oMath>
      <w:r>
        <w:t xml:space="preserve"> </w:t>
      </w:r>
      <w:r>
        <w:t xml:space="preserve">50, presence in 2+ sources, within-corpus citations, or appearance in teaching syllabi. The teaching canon was built by scraping university course syllabi worldwide and extracting bibliographic references through a combination of DOI regex matching and LLM-assisted extraction, followed by fuzzy deduplication and Crossref enrichment (details in the companion technical report). Every inclusion/exclusion decision is recorded in the audit trail.</w:t>
      </w:r>
    </w:p>
    <w:bookmarkEnd w:id="24"/>
    <w:bookmarkStart w:id="27" w:name="sec-quality"/>
    <w:p>
      <w:pPr>
        <w:pStyle w:val="Heading3"/>
      </w:pPr>
      <w:r>
        <w:t xml:space="preserve">2.3 Quality, Completeness, and Potential Biases</w:t>
      </w:r>
    </w:p>
    <w:p>
      <w:pPr>
        <w:pStyle w:val="FirstParagraph"/>
      </w:pPr>
      <w:hyperlink w:anchor="tbl-quality">
        <w:r>
          <w:rPr>
            <w:rStyle w:val="Hyperlink"/>
          </w:rPr>
          <w:t xml:space="preserve">Table 2</w:t>
        </w:r>
      </w:hyperlink>
      <w:r>
        <w:t xml:space="preserve"> </w:t>
      </w:r>
      <w:r>
        <w:t xml:space="preserve">summarises corpus composition and metadata completeness per source. The</w:t>
      </w:r>
      <w:r>
        <w:t xml:space="preserve"> </w:t>
      </w:r>
      <w:r>
        <w:t xml:space="preserve">“Refined”</w:t>
      </w:r>
      <w:r>
        <w:t xml:space="preserve"> </w:t>
      </w:r>
      <w:r>
        <w:t xml:space="preserve">column counts works with a</w:t>
      </w:r>
      <w:r>
        <w:t xml:space="preserve"> </w:t>
      </w:r>
      <w:r>
        <w:rPr>
          <w:rStyle w:val="VerbatimChar"/>
        </w:rPr>
        <w:t xml:space="preserve">from_*</w:t>
      </w:r>
      <w:r>
        <w:t xml:space="preserve"> </w:t>
      </w:r>
      <w:r>
        <w:t xml:space="preserve">provenance flag after deduplication and quality filtering; a single work may appear in multiple rows if discovered by several sources. %non-EN is the share of non-English works, %DOI the share with a valid DOI, %Abstract the share with an abstract longer than 50 characters, and %Refs the share with at least one reference in the citation graph.</w:t>
      </w:r>
    </w:p>
    <w:tbl>
      <w:tblPr>
        <w:tblStyle w:val="Table"/>
        <w:tblW w:type="pct" w:w="5000"/>
        <w:tblLayout w:type="fixed"/>
        <w:tblLook w:firstRow="0" w:lastRow="0" w:firstColumn="0" w:lastColumn="0" w:noHBand="0" w:noVBand="0" w:val="0000"/>
      </w:tblPr>
      <w:tblGrid>
        <w:gridCol w:w="7920"/>
      </w:tblGrid>
      <w:tr>
        <w:tc>
          <w:tcPr/>
          <w:bookmarkStart w:id="25" w:name="tbl-quality"/>
          <w:p>
            <w:pPr>
              <w:jc w:val="center"/>
            </w:pPr>
            <w:pPr>
              <w:jc w:val="left"/>
              <w:spacing w:before="200"/>
              <w:pStyle w:val="ImageCaption"/>
            </w:pPr>
            <w:r>
              <w:t xml:space="preserve">Table 2: Corpus sources.</w:t>
            </w:r>
            <w:r>
              <w:t xml:space="preserve"> </w:t>
            </w:r>
            <w:r>
              <w:rPr>
                <w:i/>
                <w:iCs/>
              </w:rPr>
              <w:t xml:space="preserve">Raw</w:t>
            </w:r>
            <w:r>
              <w:t xml:space="preserve">: records with</w:t>
            </w:r>
            <w:r>
              <w:t xml:space="preserve"> </w:t>
            </w:r>
            <w:r>
              <w:rPr>
                <w:rStyle w:val="VerbatimChar"/>
              </w:rPr>
              <w:t xml:space="preserve">from_*</w:t>
            </w:r>
            <w:r>
              <w:t xml:space="preserve"> </w:t>
            </w:r>
            <w:r>
              <w:t xml:space="preserve">provenance flag before filtering (a record in multiple sources is counted once per source).</w:t>
            </w:r>
            <w:r>
              <w:t xml:space="preserve"> </w:t>
            </w:r>
            <w:r>
              <w:rPr>
                <w:i/>
                <w:iCs/>
              </w:rPr>
              <w:t xml:space="preserve">Refined</w:t>
            </w:r>
            <w:r>
              <w:t xml:space="preserve">: after six-flag quality filtering.</w:t>
            </w:r>
            <w:r>
              <w:t xml:space="preserve"> </w:t>
            </w:r>
            <w:r>
              <w:rPr>
                <w:i/>
                <w:iCs/>
              </w:rPr>
              <w:t xml:space="preserve">Unique</w:t>
            </w:r>
            <w:r>
              <w:t xml:space="preserve">: found only in that source (</w:t>
            </w:r>
            <w:r>
              <w:rPr>
                <w:rStyle w:val="VerbatimChar"/>
              </w:rPr>
              <w:t xml:space="preserve">source_count = 1</w:t>
            </w:r>
            <w:r>
              <w:t xml:space="preserve">).</w:t>
            </w:r>
            <w:r>
              <w:t xml:space="preserve"> </w:t>
            </w:r>
            <w:r>
              <w:rPr>
                <w:i/>
                <w:iCs/>
              </w:rPr>
              <w:t xml:space="preserve">%non-EN</w:t>
            </w:r>
            <w:r>
              <w:t xml:space="preserve">: share of non-English works.</w:t>
            </w:r>
            <w:r>
              <w:t xml:space="preserve"> </w:t>
            </w:r>
            <w:r>
              <w:rPr>
                <w:i/>
                <w:iCs/>
              </w:rPr>
              <w:t xml:space="preserve">%DOI</w:t>
            </w:r>
            <w:r>
              <w:t xml:space="preserve">,</w:t>
            </w:r>
            <w:r>
              <w:t xml:space="preserve"> </w:t>
            </w:r>
            <w:r>
              <w:rPr>
                <w:i/>
                <w:iCs/>
              </w:rPr>
              <w:t xml:space="preserve">%Abstract</w:t>
            </w:r>
            <w:r>
              <w:t xml:space="preserve">,</w:t>
            </w:r>
            <w:r>
              <w:t xml:space="preserve"> </w:t>
            </w:r>
            <w:r>
              <w:rPr>
                <w:i/>
                <w:iCs/>
              </w:rPr>
              <w:t xml:space="preserve">%Refs</w:t>
            </w:r>
            <w:r>
              <w:t xml:space="preserve">: metadata completeness among refined records.</w:t>
            </w:r>
          </w:p>
          <w:tbl>
            <w:tblPr>
              <w:tblStyle w:val="Table"/>
              <w:tblW w:type="pct" w:w="5000"/>
              <w:tblLayout w:type="fixed"/>
              <w:tblLook w:firstRow="1" w:lastRow="0" w:firstColumn="0" w:lastColumn="0" w:noHBand="0" w:noVBand="0" w:val="0020"/>
            </w:tblPr>
            <w:tblGrid>
              <w:gridCol w:w="1005"/>
              <w:gridCol w:w="628"/>
              <w:gridCol w:w="1131"/>
              <w:gridCol w:w="1005"/>
              <w:gridCol w:w="1131"/>
              <w:gridCol w:w="754"/>
              <w:gridCol w:w="1382"/>
              <w:gridCol w:w="880"/>
            </w:tblGrid>
            <w:tr>
              <w:trPr>
                <w:tblHeader w:val="on"/>
              </w:trPr>
              <w:tc>
                <w:tcPr/>
                <w:p>
                  <w:pPr>
                    <w:pStyle w:val="Compact"/>
                    <w:jc w:val="left"/>
                    <w:jc w:val="center"/>
                  </w:pPr>
                  <w:r>
                    <w:t xml:space="preserve">Source</w:t>
                  </w:r>
                </w:p>
              </w:tc>
              <w:tc>
                <w:tcPr/>
                <w:p>
                  <w:pPr>
                    <w:pStyle w:val="Compact"/>
                    <w:jc w:val="right"/>
                    <w:jc w:val="center"/>
                  </w:pPr>
                  <w:r>
                    <w:t xml:space="preserve">Raw</w:t>
                  </w:r>
                </w:p>
              </w:tc>
              <w:tc>
                <w:tcPr/>
                <w:p>
                  <w:pPr>
                    <w:pStyle w:val="Compact"/>
                    <w:jc w:val="right"/>
                    <w:jc w:val="center"/>
                  </w:pPr>
                  <w:r>
                    <w:t xml:space="preserve">Refined</w:t>
                  </w:r>
                </w:p>
              </w:tc>
              <w:tc>
                <w:tcPr/>
                <w:p>
                  <w:pPr>
                    <w:pStyle w:val="Compact"/>
                    <w:jc w:val="right"/>
                    <w:jc w:val="center"/>
                  </w:pPr>
                  <w:r>
                    <w:t xml:space="preserve">Unique</w:t>
                  </w:r>
                </w:p>
              </w:tc>
              <w:tc>
                <w:tcPr/>
                <w:p>
                  <w:pPr>
                    <w:pStyle w:val="Compact"/>
                    <w:jc w:val="right"/>
                    <w:jc w:val="center"/>
                  </w:pPr>
                  <w:r>
                    <w:t xml:space="preserve">%non-EN</w:t>
                  </w:r>
                </w:p>
              </w:tc>
              <w:tc>
                <w:tcPr/>
                <w:p>
                  <w:pPr>
                    <w:pStyle w:val="Compact"/>
                    <w:jc w:val="right"/>
                    <w:jc w:val="center"/>
                  </w:pPr>
                  <w:r>
                    <w:t xml:space="preserve">%DOI</w:t>
                  </w:r>
                </w:p>
              </w:tc>
              <w:tc>
                <w:tcPr/>
                <w:p>
                  <w:pPr>
                    <w:pStyle w:val="Compact"/>
                    <w:jc w:val="right"/>
                    <w:jc w:val="center"/>
                  </w:pPr>
                  <w:r>
                    <w:t xml:space="preserve">%Abstract</w:t>
                  </w:r>
                </w:p>
              </w:tc>
              <w:tc>
                <w:tcPr/>
                <w:p>
                  <w:pPr>
                    <w:pStyle w:val="Compact"/>
                    <w:jc w:val="right"/>
                    <w:jc w:val="center"/>
                  </w:pPr>
                  <w:r>
                    <w:t xml:space="preserve">%Refs</w:t>
                  </w:r>
                </w:p>
              </w:tc>
            </w:tr>
            <w:tr>
              <w:tc>
                <w:tcPr/>
                <w:p>
                  <w:pPr>
                    <w:pStyle w:val="Compact"/>
                    <w:jc w:val="left"/>
                    <w:jc w:val="center"/>
                  </w:pPr>
                  <w:r>
                    <w:t xml:space="preserve">OpenAlex</w:t>
                  </w:r>
                </w:p>
              </w:tc>
              <w:tc>
                <w:tcPr/>
                <w:p>
                  <w:pPr>
                    <w:pStyle w:val="Compact"/>
                    <w:jc w:val="right"/>
                    <w:jc w:val="center"/>
                  </w:pPr>
                  <w:r>
                    <w:t xml:space="preserve">41,145</w:t>
                  </w:r>
                </w:p>
              </w:tc>
              <w:tc>
                <w:tcPr/>
                <w:p>
                  <w:pPr>
                    <w:pStyle w:val="Compact"/>
                    <w:jc w:val="right"/>
                    <w:jc w:val="center"/>
                  </w:pPr>
                  <w:r>
                    <w:t xml:space="preserve">30,174</w:t>
                  </w:r>
                </w:p>
              </w:tc>
              <w:tc>
                <w:tcPr/>
                <w:p>
                  <w:pPr>
                    <w:pStyle w:val="Compact"/>
                    <w:jc w:val="right"/>
                    <w:jc w:val="center"/>
                  </w:pPr>
                  <w:r>
                    <w:t xml:space="preserve">29,441</w:t>
                  </w:r>
                </w:p>
              </w:tc>
              <w:tc>
                <w:tcPr/>
                <w:p>
                  <w:pPr>
                    <w:pStyle w:val="Compact"/>
                    <w:jc w:val="right"/>
                    <w:jc w:val="center"/>
                  </w:pPr>
                  <w:r>
                    <w:t xml:space="preserve">6%</w:t>
                  </w:r>
                </w:p>
              </w:tc>
              <w:tc>
                <w:tcPr/>
                <w:p>
                  <w:pPr>
                    <w:pStyle w:val="Compact"/>
                    <w:jc w:val="right"/>
                    <w:jc w:val="center"/>
                  </w:pPr>
                  <w:r>
                    <w:t xml:space="preserve">72%</w:t>
                  </w:r>
                </w:p>
              </w:tc>
              <w:tc>
                <w:tcPr/>
                <w:p>
                  <w:pPr>
                    <w:pStyle w:val="Compact"/>
                    <w:jc w:val="right"/>
                    <w:jc w:val="center"/>
                  </w:pPr>
                  <w:r>
                    <w:t xml:space="preserve">87%</w:t>
                  </w:r>
                </w:p>
              </w:tc>
              <w:tc>
                <w:tcPr/>
                <w:p>
                  <w:pPr>
                    <w:pStyle w:val="Compact"/>
                    <w:jc w:val="right"/>
                    <w:jc w:val="center"/>
                  </w:pPr>
                  <w:r>
                    <w:t xml:space="preserve">42%</w:t>
                  </w:r>
                </w:p>
              </w:tc>
            </w:tr>
            <w:tr>
              <w:tc>
                <w:tcPr/>
                <w:p>
                  <w:pPr>
                    <w:pStyle w:val="Compact"/>
                    <w:jc w:val="left"/>
                    <w:jc w:val="center"/>
                  </w:pPr>
                  <w:r>
                    <w:t xml:space="preserve">ISTEX</w:t>
                  </w:r>
                </w:p>
              </w:tc>
              <w:tc>
                <w:tcPr/>
                <w:p>
                  <w:pPr>
                    <w:pStyle w:val="Compact"/>
                    <w:jc w:val="right"/>
                    <w:jc w:val="center"/>
                  </w:pPr>
                  <w:r>
                    <w:t xml:space="preserve">748</w:t>
                  </w:r>
                </w:p>
              </w:tc>
              <w:tc>
                <w:tcPr/>
                <w:p>
                  <w:pPr>
                    <w:pStyle w:val="Compact"/>
                    <w:jc w:val="right"/>
                    <w:jc w:val="center"/>
                  </w:pPr>
                  <w:r>
                    <w:t xml:space="preserve">637</w:t>
                  </w:r>
                </w:p>
              </w:tc>
              <w:tc>
                <w:tcPr/>
                <w:p>
                  <w:pPr>
                    <w:pStyle w:val="Compact"/>
                    <w:jc w:val="right"/>
                    <w:jc w:val="center"/>
                  </w:pPr>
                  <w:r>
                    <w:t xml:space="preserve">444</w:t>
                  </w:r>
                </w:p>
              </w:tc>
              <w:tc>
                <w:tcPr/>
                <w:p>
                  <w:pPr>
                    <w:pStyle w:val="Compact"/>
                    <w:jc w:val="right"/>
                    <w:jc w:val="center"/>
                  </w:pPr>
                  <w:r>
                    <w:t xml:space="preserve">2%</w:t>
                  </w:r>
                </w:p>
              </w:tc>
              <w:tc>
                <w:tcPr/>
                <w:p>
                  <w:pPr>
                    <w:pStyle w:val="Compact"/>
                    <w:jc w:val="right"/>
                    <w:jc w:val="center"/>
                  </w:pPr>
                  <w:r>
                    <w:t xml:space="preserve">100%</w:t>
                  </w:r>
                </w:p>
              </w:tc>
              <w:tc>
                <w:tcPr/>
                <w:p>
                  <w:pPr>
                    <w:pStyle w:val="Compact"/>
                    <w:jc w:val="right"/>
                    <w:jc w:val="center"/>
                  </w:pPr>
                  <w:r>
                    <w:t xml:space="preserve">97%</w:t>
                  </w:r>
                </w:p>
              </w:tc>
              <w:tc>
                <w:tcPr/>
                <w:p>
                  <w:pPr>
                    <w:pStyle w:val="Compact"/>
                    <w:jc w:val="right"/>
                    <w:jc w:val="center"/>
                  </w:pPr>
                  <w:r>
                    <w:t xml:space="preserve">95%</w:t>
                  </w:r>
                </w:p>
              </w:tc>
            </w:tr>
            <w:tr>
              <w:tc>
                <w:tcPr/>
                <w:p>
                  <w:pPr>
                    <w:pStyle w:val="Compact"/>
                    <w:jc w:val="left"/>
                    <w:jc w:val="center"/>
                  </w:pPr>
                  <w:r>
                    <w:t xml:space="preserve">bibCNRS</w:t>
                  </w:r>
                </w:p>
              </w:tc>
              <w:tc>
                <w:tcPr/>
                <w:p>
                  <w:pPr>
                    <w:pStyle w:val="Compact"/>
                    <w:jc w:val="right"/>
                    <w:jc w:val="center"/>
                  </w:pPr>
                  <w:r>
                    <w:t xml:space="preserve">233</w:t>
                  </w:r>
                </w:p>
              </w:tc>
              <w:tc>
                <w:tcPr/>
                <w:p>
                  <w:pPr>
                    <w:pStyle w:val="Compact"/>
                    <w:jc w:val="right"/>
                    <w:jc w:val="center"/>
                  </w:pPr>
                  <w:r>
                    <w:t xml:space="preserve">222</w:t>
                  </w:r>
                </w:p>
              </w:tc>
              <w:tc>
                <w:tcPr/>
                <w:p>
                  <w:pPr>
                    <w:pStyle w:val="Compact"/>
                    <w:jc w:val="right"/>
                    <w:jc w:val="center"/>
                  </w:pPr>
                  <w:r>
                    <w:t xml:space="preserve">202</w:t>
                  </w:r>
                </w:p>
              </w:tc>
              <w:tc>
                <w:tcPr/>
                <w:p>
                  <w:pPr>
                    <w:pStyle w:val="Compact"/>
                    <w:jc w:val="right"/>
                    <w:jc w:val="center"/>
                  </w:pPr>
                  <w:r>
                    <w:t xml:space="preserve">66%</w:t>
                  </w:r>
                </w:p>
              </w:tc>
              <w:tc>
                <w:tcPr/>
                <w:p>
                  <w:pPr>
                    <w:pStyle w:val="Compact"/>
                    <w:jc w:val="right"/>
                    <w:jc w:val="center"/>
                  </w:pPr>
                  <w:r>
                    <w:t xml:space="preserve">11%</w:t>
                  </w:r>
                </w:p>
              </w:tc>
              <w:tc>
                <w:tcPr/>
                <w:p>
                  <w:pPr>
                    <w:pStyle w:val="Compact"/>
                    <w:jc w:val="right"/>
                    <w:jc w:val="center"/>
                  </w:pPr>
                  <w:r>
                    <w:t xml:space="preserve">5%</w:t>
                  </w:r>
                </w:p>
              </w:tc>
              <w:tc>
                <w:tcPr/>
                <w:p>
                  <w:pPr>
                    <w:pStyle w:val="Compact"/>
                    <w:jc w:val="right"/>
                    <w:jc w:val="center"/>
                  </w:pPr>
                  <w:r>
                    <w:t xml:space="preserve">1%</w:t>
                  </w:r>
                </w:p>
              </w:tc>
            </w:tr>
            <w:tr>
              <w:tc>
                <w:tcPr/>
                <w:p>
                  <w:pPr>
                    <w:pStyle w:val="Compact"/>
                    <w:jc w:val="left"/>
                    <w:jc w:val="center"/>
                  </w:pPr>
                  <w:r>
                    <w:t xml:space="preserve">SciSpace</w:t>
                  </w:r>
                </w:p>
              </w:tc>
              <w:tc>
                <w:tcPr/>
                <w:p>
                  <w:pPr>
                    <w:pStyle w:val="Compact"/>
                    <w:jc w:val="right"/>
                    <w:jc w:val="center"/>
                  </w:pPr>
                  <w:r>
                    <w:t xml:space="preserve">663</w:t>
                  </w:r>
                </w:p>
              </w:tc>
              <w:tc>
                <w:tcPr/>
                <w:p>
                  <w:pPr>
                    <w:pStyle w:val="Compact"/>
                    <w:jc w:val="right"/>
                    <w:jc w:val="center"/>
                  </w:pPr>
                  <w:r>
                    <w:t xml:space="preserve">618</w:t>
                  </w:r>
                </w:p>
              </w:tc>
              <w:tc>
                <w:tcPr/>
                <w:p>
                  <w:pPr>
                    <w:pStyle w:val="Compact"/>
                    <w:jc w:val="right"/>
                    <w:jc w:val="center"/>
                  </w:pPr>
                  <w:r>
                    <w:t xml:space="preserve">238</w:t>
                  </w:r>
                </w:p>
              </w:tc>
              <w:tc>
                <w:tcPr/>
                <w:p>
                  <w:pPr>
                    <w:pStyle w:val="Compact"/>
                    <w:jc w:val="right"/>
                    <w:jc w:val="center"/>
                  </w:pPr>
                  <w:r>
                    <w:t xml:space="preserve">2%</w:t>
                  </w:r>
                </w:p>
              </w:tc>
              <w:tc>
                <w:tcPr/>
                <w:p>
                  <w:pPr>
                    <w:pStyle w:val="Compact"/>
                    <w:jc w:val="right"/>
                    <w:jc w:val="center"/>
                  </w:pPr>
                  <w:r>
                    <w:t xml:space="preserve">83%</w:t>
                  </w:r>
                </w:p>
              </w:tc>
              <w:tc>
                <w:tcPr/>
                <w:p>
                  <w:pPr>
                    <w:pStyle w:val="Compact"/>
                    <w:jc w:val="right"/>
                    <w:jc w:val="center"/>
                  </w:pPr>
                  <w:r>
                    <w:t xml:space="preserve">90%</w:t>
                  </w:r>
                </w:p>
              </w:tc>
              <w:tc>
                <w:tcPr/>
                <w:p>
                  <w:pPr>
                    <w:pStyle w:val="Compact"/>
                    <w:jc w:val="right"/>
                    <w:jc w:val="center"/>
                  </w:pPr>
                  <w:r>
                    <w:t xml:space="preserve">53%</w:t>
                  </w:r>
                </w:p>
              </w:tc>
            </w:tr>
            <w:tr>
              <w:tc>
                <w:tcPr/>
                <w:p>
                  <w:pPr>
                    <w:pStyle w:val="Compact"/>
                    <w:jc w:val="left"/>
                    <w:jc w:val="center"/>
                  </w:pPr>
                  <w:r>
                    <w:t xml:space="preserve">Grey literature</w:t>
                  </w:r>
                </w:p>
              </w:tc>
              <w:tc>
                <w:tcPr/>
                <w:p>
                  <w:pPr>
                    <w:pStyle w:val="Compact"/>
                    <w:jc w:val="right"/>
                    <w:jc w:val="center"/>
                  </w:pPr>
                  <w:r>
                    <w:t xml:space="preserve">278</w:t>
                  </w:r>
                </w:p>
              </w:tc>
              <w:tc>
                <w:tcPr/>
                <w:p>
                  <w:pPr>
                    <w:pStyle w:val="Compact"/>
                    <w:jc w:val="right"/>
                    <w:jc w:val="center"/>
                  </w:pPr>
                  <w:r>
                    <w:t xml:space="preserve">205</w:t>
                  </w:r>
                </w:p>
              </w:tc>
              <w:tc>
                <w:tcPr/>
                <w:p>
                  <w:pPr>
                    <w:pStyle w:val="Compact"/>
                    <w:jc w:val="right"/>
                    <w:jc w:val="center"/>
                  </w:pPr>
                  <w:r>
                    <w:t xml:space="preserve">102</w:t>
                  </w:r>
                </w:p>
              </w:tc>
              <w:tc>
                <w:tcPr/>
                <w:p>
                  <w:pPr>
                    <w:pStyle w:val="Compact"/>
                    <w:jc w:val="right"/>
                    <w:jc w:val="center"/>
                  </w:pPr>
                  <w:r>
                    <w:t xml:space="preserve">0%</w:t>
                  </w:r>
                </w:p>
              </w:tc>
              <w:tc>
                <w:tcPr/>
                <w:p>
                  <w:pPr>
                    <w:pStyle w:val="Compact"/>
                    <w:jc w:val="right"/>
                    <w:jc w:val="center"/>
                  </w:pPr>
                  <w:r>
                    <w:t xml:space="preserve">98%</w:t>
                  </w:r>
                </w:p>
              </w:tc>
              <w:tc>
                <w:tcPr/>
                <w:p>
                  <w:pPr>
                    <w:pStyle w:val="Compact"/>
                    <w:jc w:val="right"/>
                    <w:jc w:val="center"/>
                  </w:pPr>
                  <w:r>
                    <w:t xml:space="preserve">97%</w:t>
                  </w:r>
                </w:p>
              </w:tc>
              <w:tc>
                <w:tcPr/>
                <w:p>
                  <w:pPr>
                    <w:pStyle w:val="Compact"/>
                    <w:jc w:val="right"/>
                    <w:jc w:val="center"/>
                  </w:pPr>
                  <w:r>
                    <w:t xml:space="preserve">16%</w:t>
                  </w:r>
                </w:p>
              </w:tc>
            </w:tr>
            <w:tr>
              <w:tc>
                <w:tcPr/>
                <w:p>
                  <w:pPr>
                    <w:pStyle w:val="Compact"/>
                    <w:jc w:val="left"/>
                    <w:jc w:val="center"/>
                  </w:pPr>
                  <w:r>
                    <w:t xml:space="preserve">Teaching canon</w:t>
                  </w:r>
                </w:p>
              </w:tc>
              <w:tc>
                <w:tcPr/>
                <w:p>
                  <w:pPr>
                    <w:pStyle w:val="Compact"/>
                    <w:jc w:val="right"/>
                    <w:jc w:val="center"/>
                  </w:pPr>
                  <w:r>
                    <w:t xml:space="preserve">622</w:t>
                  </w:r>
                </w:p>
              </w:tc>
              <w:tc>
                <w:tcPr/>
                <w:p>
                  <w:pPr>
                    <w:pStyle w:val="Compact"/>
                    <w:jc w:val="right"/>
                    <w:jc w:val="center"/>
                  </w:pPr>
                  <w:r>
                    <w:t xml:space="preserve">618</w:t>
                  </w:r>
                </w:p>
              </w:tc>
              <w:tc>
                <w:tcPr/>
                <w:p>
                  <w:pPr>
                    <w:pStyle w:val="Compact"/>
                    <w:jc w:val="right"/>
                    <w:jc w:val="center"/>
                  </w:pPr>
                  <w:r>
                    <w:t xml:space="preserve">549</w:t>
                  </w:r>
                </w:p>
              </w:tc>
              <w:tc>
                <w:tcPr/>
                <w:p>
                  <w:pPr>
                    <w:pStyle w:val="Compact"/>
                    <w:jc w:val="right"/>
                    <w:jc w:val="center"/>
                  </w:pPr>
                  <w:r>
                    <w:t xml:space="preserve">9%</w:t>
                  </w:r>
                </w:p>
              </w:tc>
              <w:tc>
                <w:tcPr/>
                <w:p>
                  <w:pPr>
                    <w:pStyle w:val="Compact"/>
                    <w:jc w:val="right"/>
                    <w:jc w:val="center"/>
                  </w:pPr>
                  <w:r>
                    <w:t xml:space="preserve">100%</w:t>
                  </w:r>
                </w:p>
              </w:tc>
              <w:tc>
                <w:tcPr/>
                <w:p>
                  <w:pPr>
                    <w:pStyle w:val="Compact"/>
                    <w:jc w:val="right"/>
                    <w:jc w:val="center"/>
                  </w:pPr>
                  <w:r>
                    <w:t xml:space="preserve">31%</w:t>
                  </w:r>
                </w:p>
              </w:tc>
              <w:tc>
                <w:tcPr/>
                <w:p>
                  <w:pPr>
                    <w:pStyle w:val="Compact"/>
                    <w:jc w:val="right"/>
                    <w:jc w:val="center"/>
                  </w:pPr>
                  <w:r>
                    <w:t xml:space="preserve">52%</w:t>
                  </w:r>
                </w:p>
              </w:tc>
            </w:tr>
            <w:tr>
              <w:tc>
                <w:tcPr/>
                <w:p>
                  <w:pPr>
                    <w:pStyle w:val="Compact"/>
                    <w:jc w:val="left"/>
                    <w:jc w:val="center"/>
                  </w:pPr>
                  <w:r>
                    <w:rPr>
                      <w:b/>
                      <w:bCs/>
                    </w:rPr>
                    <w:t xml:space="preserve">TOTAL</w:t>
                  </w:r>
                </w:p>
              </w:tc>
              <w:tc>
                <w:tcPr/>
                <w:p>
                  <w:pPr>
                    <w:pStyle w:val="Compact"/>
                    <w:jc w:val="right"/>
                    <w:jc w:val="center"/>
                  </w:pPr>
                  <w:r>
                    <w:rPr>
                      <w:b/>
                      <w:bCs/>
                    </w:rPr>
                    <w:t xml:space="preserve">42,922</w:t>
                  </w:r>
                </w:p>
              </w:tc>
              <w:tc>
                <w:tcPr/>
                <w:p>
                  <w:pPr>
                    <w:pStyle w:val="Compact"/>
                    <w:jc w:val="right"/>
                    <w:jc w:val="center"/>
                  </w:pPr>
                  <w:r>
                    <w:rPr>
                      <w:b/>
                      <w:bCs/>
                    </w:rPr>
                    <w:t xml:space="preserve">31,713</w:t>
                  </w:r>
                </w:p>
              </w:tc>
              <w:tc>
                <w:tcPr/>
                <w:p>
                  <w:pPr>
                    <w:pStyle w:val="Compact"/>
                    <w:jc w:val="right"/>
                    <w:jc w:val="center"/>
                  </w:pPr>
                  <w:r>
                    <w:rPr>
                      <w:b/>
                      <w:bCs/>
                    </w:rPr>
                    <w:t xml:space="preserve">30,976</w:t>
                  </w:r>
                </w:p>
              </w:tc>
              <w:tc>
                <w:tcPr/>
                <w:p>
                  <w:pPr>
                    <w:pStyle w:val="Compact"/>
                    <w:jc w:val="right"/>
                    <w:jc w:val="center"/>
                  </w:pPr>
                  <w:r>
                    <w:rPr>
                      <w:b/>
                      <w:bCs/>
                    </w:rPr>
                    <w:t xml:space="preserve">7%</w:t>
                  </w:r>
                </w:p>
              </w:tc>
              <w:tc>
                <w:tcPr/>
                <w:p>
                  <w:pPr>
                    <w:pStyle w:val="Compact"/>
                    <w:jc w:val="right"/>
                    <w:jc w:val="center"/>
                  </w:pPr>
                  <w:r>
                    <w:rPr>
                      <w:b/>
                      <w:bCs/>
                    </w:rPr>
                    <w:t xml:space="preserve">73%</w:t>
                  </w:r>
                </w:p>
              </w:tc>
              <w:tc>
                <w:tcPr/>
                <w:p>
                  <w:pPr>
                    <w:pStyle w:val="Compact"/>
                    <w:jc w:val="right"/>
                    <w:jc w:val="center"/>
                  </w:pPr>
                  <w:r>
                    <w:rPr>
                      <w:b/>
                      <w:bCs/>
                    </w:rPr>
                    <w:t xml:space="preserve">86%</w:t>
                  </w:r>
                </w:p>
              </w:tc>
              <w:tc>
                <w:tcPr/>
                <w:p>
                  <w:pPr>
                    <w:pStyle w:val="Compact"/>
                    <w:jc w:val="right"/>
                    <w:jc w:val="center"/>
                  </w:pPr>
                  <w:r>
                    <w:rPr>
                      <w:b/>
                      <w:bCs/>
                    </w:rPr>
                    <w:t xml:space="preserve">43%</w:t>
                  </w:r>
                </w:p>
              </w:tc>
            </w:tr>
          </w:tbl>
          <w:bookmarkEnd w:id="25"/>
          <w:p/>
        </w:tc>
      </w:tr>
    </w:tbl>
    <w:p>
      <w:pPr>
        <w:pStyle w:val="BodyText"/>
      </w:pPr>
      <w:r>
        <w:t xml:space="preserve">The merge pipeline reduces 42,922 raw records to 31,713 refined works (26.1% removal rate). Of the 13,050 works flagged (counts are non-exclusive: a single work may trigger multiple flags), citation isolation (5,632) and cross-encoder relevance scoring (4,831) are the most common, followed by absent abstracts with irrelevant titles (2,447), missing metadata (753), and title blacklist matches (423). Of these, 1,863 are retained by protection criteria, yielding 11,186 net removals; an additional 21 content-duplicates discovered during enrichment are also removed.</w:t>
      </w:r>
    </w:p>
    <w:p>
      <w:pPr>
        <w:pStyle w:val="BodyText"/>
      </w:pPr>
      <w:r>
        <w:t xml:space="preserve">As</w:t>
      </w:r>
      <w:r>
        <w:t xml:space="preserve"> </w:t>
      </w:r>
      <w:hyperlink w:anchor="tbl-quality">
        <w:r>
          <w:rPr>
            <w:rStyle w:val="Hyperlink"/>
          </w:rPr>
          <w:t xml:space="preserve">Table 2</w:t>
        </w:r>
      </w:hyperlink>
      <w:r>
        <w:t xml:space="preserve"> </w:t>
      </w:r>
      <w:r>
        <w:t xml:space="preserve">shows, OpenAlex contributes 95.1% of refined works; the five smaller sources add non-English, institutional, and pedagogical coverage that OpenAlex alone does not provide. Citation graph verification on a sample of 300 links confirmed 99.0% against Crossref metadata (95% CI [97.1%, 99.7%]); the 1% unconfirmed are OpenAlex-sourced references absent from Crossref, not errors. A data-integrity check verified that no Crossref references were lost during harvesting (0 misses on 300 source DOIs); Crossref is a primary source for the corpus’s citation graph, so this confirms the pipeline introduces no silent data loss. Restricting to links where both citing and cited works belong to the refined corpus yields 835,455 corpus-internal citation pairs; 58% of corpus DOIs participate in at least one such pair, rising to 83% for core papers (cited</w:t>
      </w:r>
      <w:r>
        <w:t xml:space="preserve"> </w:t>
      </w:r>
      <m:oMath>
        <m:r>
          <m:rPr>
            <m:sty m:val="p"/>
          </m:rPr>
          <m:t>≥</m:t>
        </m:r>
      </m:oMath>
      <w:r>
        <w:t xml:space="preserve"> </w:t>
      </w:r>
      <w:r>
        <w:t xml:space="preserve">50 times).</w:t>
      </w:r>
    </w:p>
    <w:p>
      <w:pPr>
        <w:pStyle w:val="BodyText"/>
      </w:pPr>
      <w:r>
        <w:t xml:space="preserve">Relevance filtering (flag 6) uses a cross-encoder reranker (BAAI/bge-reranker-v2-m3, 568M parameters) for deterministic, reproducible scores. The query</w:t>
      </w:r>
      <w:r>
        <w:t xml:space="preserve"> </w:t>
      </w:r>
      <w:r>
        <w:t xml:space="preserve">“climate policy and financial mechanisms”</w:t>
      </w:r>
      <w:r>
        <w:t xml:space="preserve"> </w:t>
      </w:r>
      <w:r>
        <w:t xml:space="preserve">was selected from 20 candidates (AUC = 0.766 on weak labels); human validation on a blinded sample of 100 works yielded AUC = 0.818 and 81% accuracy. The chosen query privileges instrumental framing; works centred on climate justice without financial mechanisms vocabulary may score lower. These methods serve as independent checks on the flagging pipeline, not as ground truth, since what counts as</w:t>
      </w:r>
      <w:r>
        <w:t xml:space="preserve"> </w:t>
      </w:r>
      <w:r>
        <w:t xml:space="preserve">“climate finance”</w:t>
      </w:r>
      <w:r>
        <w:t xml:space="preserve"> </w:t>
      </w:r>
      <w:r>
        <w:t xml:space="preserve">is itself a contested category. The Zenodo deposit includes all calibration and validation tables.</w:t>
      </w:r>
    </w:p>
    <w:tbl>
      <w:tblPr>
        <w:tblStyle w:val="Table"/>
        <w:tblW w:type="pct" w:w="5000"/>
        <w:tblLayout w:type="fixed"/>
        <w:tblLook w:firstRow="0" w:lastRow="0" w:firstColumn="0" w:lastColumn="0" w:noHBand="0" w:noVBand="0" w:val="0000"/>
      </w:tblPr>
      <w:tblGrid>
        <w:gridCol w:w="7920"/>
      </w:tblGrid>
      <w:tr>
        <w:tc>
          <w:tcPr/>
          <w:bookmarkStart w:id="26" w:name="tbl-languages"/>
          <w:p>
            <w:pPr>
              <w:jc w:val="center"/>
            </w:pPr>
            <w:pPr>
              <w:jc w:val="left"/>
              <w:spacing w:before="200"/>
              <w:pStyle w:val="ImageCaption"/>
            </w:pPr>
            <w:r>
              <w:t xml:space="preserve">Table 3: Language distribution in the enriched corpus.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Language</w:t>
                  </w:r>
                </w:p>
              </w:tc>
              <w:tc>
                <w:tcPr/>
                <w:p>
                  <w:pPr>
                    <w:pStyle w:val="Compact"/>
                    <w:jc w:val="left"/>
                    <w:jc w:val="center"/>
                  </w:pPr>
                  <w:r>
                    <w:t xml:space="preserve">Code</w:t>
                  </w:r>
                </w:p>
              </w:tc>
              <w:tc>
                <w:tcPr/>
                <w:p>
                  <w:pPr>
                    <w:pStyle w:val="Compact"/>
                    <w:jc w:val="right"/>
                    <w:jc w:val="center"/>
                  </w:pPr>
                  <w:r>
                    <w:t xml:space="preserve">Works</w:t>
                  </w:r>
                </w:p>
              </w:tc>
              <w:tc>
                <w:tcPr/>
                <w:p>
                  <w:pPr>
                    <w:pStyle w:val="Compact"/>
                    <w:jc w:val="right"/>
                    <w:jc w:val="center"/>
                  </w:pPr>
                  <w:r>
                    <w:t xml:space="preserve">Share (%)</w:t>
                  </w:r>
                </w:p>
              </w:tc>
            </w:tr>
            <w:tr>
              <w:tc>
                <w:tcPr/>
                <w:p>
                  <w:pPr>
                    <w:pStyle w:val="Compact"/>
                    <w:jc w:val="left"/>
                    <w:jc w:val="center"/>
                  </w:pPr>
                  <w:r>
                    <w:t xml:space="preserve">English</w:t>
                  </w:r>
                </w:p>
              </w:tc>
              <w:tc>
                <w:tcPr/>
                <w:p>
                  <w:pPr>
                    <w:pStyle w:val="Compact"/>
                    <w:jc w:val="left"/>
                    <w:jc w:val="center"/>
                  </w:pPr>
                  <w:r>
                    <w:t xml:space="preserve">en</w:t>
                  </w:r>
                </w:p>
              </w:tc>
              <w:tc>
                <w:tcPr/>
                <w:p>
                  <w:pPr>
                    <w:pStyle w:val="Compact"/>
                    <w:jc w:val="right"/>
                    <w:jc w:val="center"/>
                  </w:pPr>
                  <w:r>
                    <w:t xml:space="preserve">39043</w:t>
                  </w:r>
                </w:p>
              </w:tc>
              <w:tc>
                <w:tcPr/>
                <w:p>
                  <w:pPr>
                    <w:pStyle w:val="Compact"/>
                    <w:jc w:val="right"/>
                    <w:jc w:val="center"/>
                  </w:pPr>
                  <w:r>
                    <w:t xml:space="preserve">91.0</w:t>
                  </w:r>
                </w:p>
              </w:tc>
            </w:tr>
            <w:tr>
              <w:tc>
                <w:tcPr/>
                <w:p>
                  <w:pPr>
                    <w:pStyle w:val="Compact"/>
                    <w:jc w:val="left"/>
                    <w:jc w:val="center"/>
                  </w:pPr>
                  <w:r>
                    <w:t xml:space="preserve">Portuguese</w:t>
                  </w:r>
                </w:p>
              </w:tc>
              <w:tc>
                <w:tcPr/>
                <w:p>
                  <w:pPr>
                    <w:pStyle w:val="Compact"/>
                    <w:jc w:val="left"/>
                    <w:jc w:val="center"/>
                  </w:pPr>
                  <w:r>
                    <w:t xml:space="preserve">pt</w:t>
                  </w:r>
                </w:p>
              </w:tc>
              <w:tc>
                <w:tcPr/>
                <w:p>
                  <w:pPr>
                    <w:pStyle w:val="Compact"/>
                    <w:jc w:val="right"/>
                    <w:jc w:val="center"/>
                  </w:pPr>
                  <w:r>
                    <w:t xml:space="preserve">728</w:t>
                  </w:r>
                </w:p>
              </w:tc>
              <w:tc>
                <w:tcPr/>
                <w:p>
                  <w:pPr>
                    <w:pStyle w:val="Compact"/>
                    <w:jc w:val="right"/>
                    <w:jc w:val="center"/>
                  </w:pPr>
                  <w:r>
                    <w:t xml:space="preserve">1.7</w:t>
                  </w:r>
                </w:p>
              </w:tc>
            </w:tr>
            <w:tr>
              <w:tc>
                <w:tcPr/>
                <w:p>
                  <w:pPr>
                    <w:pStyle w:val="Compact"/>
                    <w:jc w:val="left"/>
                    <w:jc w:val="center"/>
                  </w:pPr>
                  <w:r>
                    <w:t xml:space="preserve">Spanish</w:t>
                  </w:r>
                </w:p>
              </w:tc>
              <w:tc>
                <w:tcPr/>
                <w:p>
                  <w:pPr>
                    <w:pStyle w:val="Compact"/>
                    <w:jc w:val="left"/>
                    <w:jc w:val="center"/>
                  </w:pPr>
                  <w:r>
                    <w:t xml:space="preserve">es</w:t>
                  </w:r>
                </w:p>
              </w:tc>
              <w:tc>
                <w:tcPr/>
                <w:p>
                  <w:pPr>
                    <w:pStyle w:val="Compact"/>
                    <w:jc w:val="right"/>
                    <w:jc w:val="center"/>
                  </w:pPr>
                  <w:r>
                    <w:t xml:space="preserve">569</w:t>
                  </w:r>
                </w:p>
              </w:tc>
              <w:tc>
                <w:tcPr/>
                <w:p>
                  <w:pPr>
                    <w:pStyle w:val="Compact"/>
                    <w:jc w:val="right"/>
                    <w:jc w:val="center"/>
                  </w:pPr>
                  <w:r>
                    <w:t xml:space="preserve">1.3</w:t>
                  </w:r>
                </w:p>
              </w:tc>
            </w:tr>
            <w:tr>
              <w:tc>
                <w:tcPr/>
                <w:p>
                  <w:pPr>
                    <w:pStyle w:val="Compact"/>
                    <w:jc w:val="left"/>
                    <w:jc w:val="center"/>
                  </w:pPr>
                  <w:r>
                    <w:t xml:space="preserve">French</w:t>
                  </w:r>
                </w:p>
              </w:tc>
              <w:tc>
                <w:tcPr/>
                <w:p>
                  <w:pPr>
                    <w:pStyle w:val="Compact"/>
                    <w:jc w:val="left"/>
                    <w:jc w:val="center"/>
                  </w:pPr>
                  <w:r>
                    <w:t xml:space="preserve">fr</w:t>
                  </w:r>
                </w:p>
              </w:tc>
              <w:tc>
                <w:tcPr/>
                <w:p>
                  <w:pPr>
                    <w:pStyle w:val="Compact"/>
                    <w:jc w:val="right"/>
                    <w:jc w:val="center"/>
                  </w:pPr>
                  <w:r>
                    <w:t xml:space="preserve">542</w:t>
                  </w:r>
                </w:p>
              </w:tc>
              <w:tc>
                <w:tcPr/>
                <w:p>
                  <w:pPr>
                    <w:pStyle w:val="Compact"/>
                    <w:jc w:val="right"/>
                    <w:jc w:val="center"/>
                  </w:pPr>
                  <w:r>
                    <w:t xml:space="preserve">1.3</w:t>
                  </w:r>
                </w:p>
              </w:tc>
            </w:tr>
            <w:tr>
              <w:tc>
                <w:tcPr/>
                <w:p>
                  <w:pPr>
                    <w:pStyle w:val="Compact"/>
                    <w:jc w:val="left"/>
                    <w:jc w:val="center"/>
                  </w:pPr>
                  <w:r>
                    <w:t xml:space="preserve">German</w:t>
                  </w:r>
                </w:p>
              </w:tc>
              <w:tc>
                <w:tcPr/>
                <w:p>
                  <w:pPr>
                    <w:pStyle w:val="Compact"/>
                    <w:jc w:val="left"/>
                    <w:jc w:val="center"/>
                  </w:pPr>
                  <w:r>
                    <w:t xml:space="preserve">de</w:t>
                  </w:r>
                </w:p>
              </w:tc>
              <w:tc>
                <w:tcPr/>
                <w:p>
                  <w:pPr>
                    <w:pStyle w:val="Compact"/>
                    <w:jc w:val="right"/>
                    <w:jc w:val="center"/>
                  </w:pPr>
                  <w:r>
                    <w:t xml:space="preserve">534</w:t>
                  </w:r>
                </w:p>
              </w:tc>
              <w:tc>
                <w:tcPr/>
                <w:p>
                  <w:pPr>
                    <w:pStyle w:val="Compact"/>
                    <w:jc w:val="right"/>
                    <w:jc w:val="center"/>
                  </w:pPr>
                  <w:r>
                    <w:t xml:space="preserve">1.2</w:t>
                  </w:r>
                </w:p>
              </w:tc>
            </w:tr>
            <w:tr>
              <w:tc>
                <w:tcPr/>
                <w:p>
                  <w:pPr>
                    <w:pStyle w:val="Compact"/>
                    <w:jc w:val="left"/>
                    <w:jc w:val="center"/>
                  </w:pPr>
                  <w:r>
                    <w:t xml:space="preserve">Indonesian</w:t>
                  </w:r>
                </w:p>
              </w:tc>
              <w:tc>
                <w:tcPr/>
                <w:p>
                  <w:pPr>
                    <w:pStyle w:val="Compact"/>
                    <w:jc w:val="left"/>
                    <w:jc w:val="center"/>
                  </w:pPr>
                  <w:r>
                    <w:t xml:space="preserve">id</w:t>
                  </w:r>
                </w:p>
              </w:tc>
              <w:tc>
                <w:tcPr/>
                <w:p>
                  <w:pPr>
                    <w:pStyle w:val="Compact"/>
                    <w:jc w:val="right"/>
                    <w:jc w:val="center"/>
                  </w:pPr>
                  <w:r>
                    <w:t xml:space="preserve">207</w:t>
                  </w:r>
                </w:p>
              </w:tc>
              <w:tc>
                <w:tcPr/>
                <w:p>
                  <w:pPr>
                    <w:pStyle w:val="Compact"/>
                    <w:jc w:val="right"/>
                    <w:jc w:val="center"/>
                  </w:pPr>
                  <w:r>
                    <w:t xml:space="preserve">0.5</w:t>
                  </w:r>
                </w:p>
              </w:tc>
            </w:tr>
            <w:tr>
              <w:tc>
                <w:tcPr/>
                <w:p>
                  <w:pPr>
                    <w:pStyle w:val="Compact"/>
                    <w:jc w:val="left"/>
                    <w:jc w:val="center"/>
                  </w:pPr>
                  <w:r>
                    <w:t xml:space="preserve">Turkish</w:t>
                  </w:r>
                </w:p>
              </w:tc>
              <w:tc>
                <w:tcPr/>
                <w:p>
                  <w:pPr>
                    <w:pStyle w:val="Compact"/>
                    <w:jc w:val="left"/>
                    <w:jc w:val="center"/>
                  </w:pPr>
                  <w:r>
                    <w:t xml:space="preserve">tr</w:t>
                  </w:r>
                </w:p>
              </w:tc>
              <w:tc>
                <w:tcPr/>
                <w:p>
                  <w:pPr>
                    <w:pStyle w:val="Compact"/>
                    <w:jc w:val="right"/>
                    <w:jc w:val="center"/>
                  </w:pPr>
                  <w:r>
                    <w:t xml:space="preserve">162</w:t>
                  </w:r>
                </w:p>
              </w:tc>
              <w:tc>
                <w:tcPr/>
                <w:p>
                  <w:pPr>
                    <w:pStyle w:val="Compact"/>
                    <w:jc w:val="right"/>
                    <w:jc w:val="center"/>
                  </w:pPr>
                  <w:r>
                    <w:t xml:space="preserve">0.4</w:t>
                  </w:r>
                </w:p>
              </w:tc>
            </w:tr>
            <w:tr>
              <w:tc>
                <w:tcPr/>
                <w:p>
                  <w:pPr>
                    <w:pStyle w:val="Compact"/>
                    <w:jc w:val="left"/>
                    <w:jc w:val="center"/>
                  </w:pPr>
                  <w:r>
                    <w:t xml:space="preserve">Russian</w:t>
                  </w:r>
                </w:p>
              </w:tc>
              <w:tc>
                <w:tcPr/>
                <w:p>
                  <w:pPr>
                    <w:pStyle w:val="Compact"/>
                    <w:jc w:val="left"/>
                    <w:jc w:val="center"/>
                  </w:pPr>
                  <w:r>
                    <w:t xml:space="preserve">ru</w:t>
                  </w:r>
                </w:p>
              </w:tc>
              <w:tc>
                <w:tcPr/>
                <w:p>
                  <w:pPr>
                    <w:pStyle w:val="Compact"/>
                    <w:jc w:val="right"/>
                    <w:jc w:val="center"/>
                  </w:pPr>
                  <w:r>
                    <w:t xml:space="preserve">154</w:t>
                  </w:r>
                </w:p>
              </w:tc>
              <w:tc>
                <w:tcPr/>
                <w:p>
                  <w:pPr>
                    <w:pStyle w:val="Compact"/>
                    <w:jc w:val="right"/>
                    <w:jc w:val="center"/>
                  </w:pPr>
                  <w:r>
                    <w:t xml:space="preserve">0.4</w:t>
                  </w:r>
                </w:p>
              </w:tc>
            </w:tr>
            <w:tr>
              <w:tc>
                <w:tcPr/>
                <w:p>
                  <w:pPr>
                    <w:pStyle w:val="Compact"/>
                    <w:jc w:val="left"/>
                    <w:jc w:val="center"/>
                  </w:pPr>
                  <w:r>
                    <w:t xml:space="preserve">Korean</w:t>
                  </w:r>
                </w:p>
              </w:tc>
              <w:tc>
                <w:tcPr/>
                <w:p>
                  <w:pPr>
                    <w:pStyle w:val="Compact"/>
                    <w:jc w:val="left"/>
                    <w:jc w:val="center"/>
                  </w:pPr>
                  <w:r>
                    <w:t xml:space="preserve">ko</w:t>
                  </w:r>
                </w:p>
              </w:tc>
              <w:tc>
                <w:tcPr/>
                <w:p>
                  <w:pPr>
                    <w:pStyle w:val="Compact"/>
                    <w:jc w:val="right"/>
                    <w:jc w:val="center"/>
                  </w:pPr>
                  <w:r>
                    <w:t xml:space="preserve">98</w:t>
                  </w:r>
                </w:p>
              </w:tc>
              <w:tc>
                <w:tcPr/>
                <w:p>
                  <w:pPr>
                    <w:pStyle w:val="Compact"/>
                    <w:jc w:val="right"/>
                    <w:jc w:val="center"/>
                  </w:pPr>
                  <w:r>
                    <w:t xml:space="preserve">0.2</w:t>
                  </w:r>
                </w:p>
              </w:tc>
            </w:tr>
            <w:tr>
              <w:tc>
                <w:tcPr/>
                <w:p>
                  <w:pPr>
                    <w:pStyle w:val="Compact"/>
                    <w:jc w:val="left"/>
                    <w:jc w:val="center"/>
                  </w:pPr>
                  <w:r>
                    <w:t xml:space="preserve">Arabic</w:t>
                  </w:r>
                </w:p>
              </w:tc>
              <w:tc>
                <w:tcPr/>
                <w:p>
                  <w:pPr>
                    <w:pStyle w:val="Compact"/>
                    <w:jc w:val="left"/>
                    <w:jc w:val="center"/>
                  </w:pPr>
                  <w:r>
                    <w:t xml:space="preserve">ar</w:t>
                  </w:r>
                </w:p>
              </w:tc>
              <w:tc>
                <w:tcPr/>
                <w:p>
                  <w:pPr>
                    <w:pStyle w:val="Compact"/>
                    <w:jc w:val="right"/>
                    <w:jc w:val="center"/>
                  </w:pPr>
                  <w:r>
                    <w:t xml:space="preserve">66</w:t>
                  </w:r>
                </w:p>
              </w:tc>
              <w:tc>
                <w:tcPr/>
                <w:p>
                  <w:pPr>
                    <w:pStyle w:val="Compact"/>
                    <w:jc w:val="right"/>
                    <w:jc w:val="center"/>
                  </w:pPr>
                  <w:r>
                    <w:t xml:space="preserve">0.2</w:t>
                  </w:r>
                </w:p>
              </w:tc>
            </w:tr>
            <w:tr>
              <w:tc>
                <w:tcPr/>
                <w:p>
                  <w:pPr>
                    <w:pStyle w:val="Compact"/>
                    <w:jc w:val="left"/>
                    <w:jc w:val="center"/>
                  </w:pPr>
                  <w:r>
                    <w:t xml:space="preserve">Polish</w:t>
                  </w:r>
                </w:p>
              </w:tc>
              <w:tc>
                <w:tcPr/>
                <w:p>
                  <w:pPr>
                    <w:pStyle w:val="Compact"/>
                    <w:jc w:val="left"/>
                    <w:jc w:val="center"/>
                  </w:pPr>
                  <w:r>
                    <w:t xml:space="preserve">pl</w:t>
                  </w:r>
                </w:p>
              </w:tc>
              <w:tc>
                <w:tcPr/>
                <w:p>
                  <w:pPr>
                    <w:pStyle w:val="Compact"/>
                    <w:jc w:val="right"/>
                    <w:jc w:val="center"/>
                  </w:pPr>
                  <w:r>
                    <w:t xml:space="preserve">66</w:t>
                  </w:r>
                </w:p>
              </w:tc>
              <w:tc>
                <w:tcPr/>
                <w:p>
                  <w:pPr>
                    <w:pStyle w:val="Compact"/>
                    <w:jc w:val="right"/>
                    <w:jc w:val="center"/>
                  </w:pPr>
                  <w:r>
                    <w:t xml:space="preserve">0.2</w:t>
                  </w:r>
                </w:p>
              </w:tc>
            </w:tr>
            <w:tr>
              <w:tc>
                <w:tcPr/>
                <w:p>
                  <w:pPr>
                    <w:pStyle w:val="Compact"/>
                    <w:jc w:val="left"/>
                    <w:jc w:val="center"/>
                  </w:pPr>
                  <w:r>
                    <w:t xml:space="preserve">Ukrainian</w:t>
                  </w:r>
                </w:p>
              </w:tc>
              <w:tc>
                <w:tcPr/>
                <w:p>
                  <w:pPr>
                    <w:pStyle w:val="Compact"/>
                    <w:jc w:val="left"/>
                    <w:jc w:val="center"/>
                  </w:pPr>
                  <w:r>
                    <w:t xml:space="preserve">uk</w:t>
                  </w:r>
                </w:p>
              </w:tc>
              <w:tc>
                <w:tcPr/>
                <w:p>
                  <w:pPr>
                    <w:pStyle w:val="Compact"/>
                    <w:jc w:val="right"/>
                    <w:jc w:val="center"/>
                  </w:pPr>
                  <w:r>
                    <w:t xml:space="preserve">62</w:t>
                  </w:r>
                </w:p>
              </w:tc>
              <w:tc>
                <w:tcPr/>
                <w:p>
                  <w:pPr>
                    <w:pStyle w:val="Compact"/>
                    <w:jc w:val="right"/>
                    <w:jc w:val="center"/>
                  </w:pPr>
                  <w:r>
                    <w:t xml:space="preserve">0.1</w:t>
                  </w:r>
                </w:p>
              </w:tc>
            </w:tr>
            <w:tr>
              <w:tc>
                <w:tcPr/>
                <w:p>
                  <w:pPr>
                    <w:pStyle w:val="Compact"/>
                    <w:jc w:val="left"/>
                    <w:jc w:val="center"/>
                  </w:pPr>
                  <w:r>
                    <w:t xml:space="preserve">Japanese</w:t>
                  </w:r>
                </w:p>
              </w:tc>
              <w:tc>
                <w:tcPr/>
                <w:p>
                  <w:pPr>
                    <w:pStyle w:val="Compact"/>
                    <w:jc w:val="left"/>
                    <w:jc w:val="center"/>
                  </w:pPr>
                  <w:r>
                    <w:t xml:space="preserve">ja</w:t>
                  </w:r>
                </w:p>
              </w:tc>
              <w:tc>
                <w:tcPr/>
                <w:p>
                  <w:pPr>
                    <w:pStyle w:val="Compact"/>
                    <w:jc w:val="right"/>
                    <w:jc w:val="center"/>
                  </w:pPr>
                  <w:r>
                    <w:t xml:space="preserve">61</w:t>
                  </w:r>
                </w:p>
              </w:tc>
              <w:tc>
                <w:tcPr/>
                <w:p>
                  <w:pPr>
                    <w:pStyle w:val="Compact"/>
                    <w:jc w:val="right"/>
                    <w:jc w:val="center"/>
                  </w:pPr>
                  <w:r>
                    <w:t xml:space="preserve">0.1</w:t>
                  </w:r>
                </w:p>
              </w:tc>
            </w:tr>
            <w:tr>
              <w:tc>
                <w:tcPr/>
                <w:p>
                  <w:pPr>
                    <w:pStyle w:val="Compact"/>
                    <w:jc w:val="left"/>
                    <w:jc w:val="center"/>
                  </w:pPr>
                  <w:r>
                    <w:t xml:space="preserve">Italian</w:t>
                  </w:r>
                </w:p>
              </w:tc>
              <w:tc>
                <w:tcPr/>
                <w:p>
                  <w:pPr>
                    <w:pStyle w:val="Compact"/>
                    <w:jc w:val="left"/>
                    <w:jc w:val="center"/>
                  </w:pPr>
                  <w:r>
                    <w:t xml:space="preserve">it</w:t>
                  </w:r>
                </w:p>
              </w:tc>
              <w:tc>
                <w:tcPr/>
                <w:p>
                  <w:pPr>
                    <w:pStyle w:val="Compact"/>
                    <w:jc w:val="right"/>
                    <w:jc w:val="center"/>
                  </w:pPr>
                  <w:r>
                    <w:t xml:space="preserve">55</w:t>
                  </w:r>
                </w:p>
              </w:tc>
              <w:tc>
                <w:tcPr/>
                <w:p>
                  <w:pPr>
                    <w:pStyle w:val="Compact"/>
                    <w:jc w:val="right"/>
                    <w:jc w:val="center"/>
                  </w:pPr>
                  <w:r>
                    <w:t xml:space="preserve">0.1</w:t>
                  </w:r>
                </w:p>
              </w:tc>
            </w:tr>
            <w:tr>
              <w:tc>
                <w:tcPr/>
                <w:p>
                  <w:pPr>
                    <w:pStyle w:val="Compact"/>
                    <w:jc w:val="left"/>
                    <w:jc w:val="center"/>
                  </w:pPr>
                  <w:r>
                    <w:t xml:space="preserve">Greek</w:t>
                  </w:r>
                </w:p>
              </w:tc>
              <w:tc>
                <w:tcPr/>
                <w:p>
                  <w:pPr>
                    <w:pStyle w:val="Compact"/>
                    <w:jc w:val="left"/>
                    <w:jc w:val="center"/>
                  </w:pPr>
                  <w:r>
                    <w:t xml:space="preserve">el</w:t>
                  </w:r>
                </w:p>
              </w:tc>
              <w:tc>
                <w:tcPr/>
                <w:p>
                  <w:pPr>
                    <w:pStyle w:val="Compact"/>
                    <w:jc w:val="right"/>
                    <w:jc w:val="center"/>
                  </w:pPr>
                  <w:r>
                    <w:t xml:space="preserve">53</w:t>
                  </w:r>
                </w:p>
              </w:tc>
              <w:tc>
                <w:tcPr/>
                <w:p>
                  <w:pPr>
                    <w:pStyle w:val="Compact"/>
                    <w:jc w:val="right"/>
                    <w:jc w:val="center"/>
                  </w:pPr>
                  <w:r>
                    <w:t xml:space="preserve">0.1</w:t>
                  </w:r>
                </w:p>
              </w:tc>
            </w:tr>
            <w:tr>
              <w:tc>
                <w:tcPr/>
                <w:p>
                  <w:pPr>
                    <w:pStyle w:val="Compact"/>
                    <w:jc w:val="left"/>
                    <w:jc w:val="center"/>
                  </w:pPr>
                  <w:r>
                    <w:t xml:space="preserve">Dutch</w:t>
                  </w:r>
                </w:p>
              </w:tc>
              <w:tc>
                <w:tcPr/>
                <w:p>
                  <w:pPr>
                    <w:pStyle w:val="Compact"/>
                    <w:jc w:val="left"/>
                    <w:jc w:val="center"/>
                  </w:pPr>
                  <w:r>
                    <w:t xml:space="preserve">nl</w:t>
                  </w:r>
                </w:p>
              </w:tc>
              <w:tc>
                <w:tcPr/>
                <w:p>
                  <w:pPr>
                    <w:pStyle w:val="Compact"/>
                    <w:jc w:val="right"/>
                    <w:jc w:val="center"/>
                  </w:pPr>
                  <w:r>
                    <w:t xml:space="preserve">50</w:t>
                  </w:r>
                </w:p>
              </w:tc>
              <w:tc>
                <w:tcPr/>
                <w:p>
                  <w:pPr>
                    <w:pStyle w:val="Compact"/>
                    <w:jc w:val="right"/>
                    <w:jc w:val="center"/>
                  </w:pPr>
                  <w:r>
                    <w:t xml:space="preserve">0.1</w:t>
                  </w:r>
                </w:p>
              </w:tc>
            </w:tr>
            <w:tr>
              <w:tc>
                <w:tcPr/>
                <w:p>
                  <w:pPr>
                    <w:pStyle w:val="Compact"/>
                    <w:jc w:val="left"/>
                    <w:jc w:val="center"/>
                  </w:pPr>
                  <w:r>
                    <w:t xml:space="preserve">Swedish</w:t>
                  </w:r>
                </w:p>
              </w:tc>
              <w:tc>
                <w:tcPr/>
                <w:p>
                  <w:pPr>
                    <w:pStyle w:val="Compact"/>
                    <w:jc w:val="left"/>
                    <w:jc w:val="center"/>
                  </w:pPr>
                  <w:r>
                    <w:t xml:space="preserve">sv</w:t>
                  </w:r>
                </w:p>
              </w:tc>
              <w:tc>
                <w:tcPr/>
                <w:p>
                  <w:pPr>
                    <w:pStyle w:val="Compact"/>
                    <w:jc w:val="right"/>
                    <w:jc w:val="center"/>
                  </w:pPr>
                  <w:r>
                    <w:t xml:space="preserve">50</w:t>
                  </w:r>
                </w:p>
              </w:tc>
              <w:tc>
                <w:tcPr/>
                <w:p>
                  <w:pPr>
                    <w:pStyle w:val="Compact"/>
                    <w:jc w:val="right"/>
                    <w:jc w:val="center"/>
                  </w:pPr>
                  <w:r>
                    <w:t xml:space="preserve">0.1</w:t>
                  </w:r>
                </w:p>
              </w:tc>
            </w:tr>
            <w:tr>
              <w:tc>
                <w:tcPr/>
                <w:p>
                  <w:pPr>
                    <w:pStyle w:val="Compact"/>
                    <w:jc w:val="left"/>
                    <w:jc w:val="center"/>
                  </w:pPr>
                  <w:r>
                    <w:t xml:space="preserve">Hungarian</w:t>
                  </w:r>
                </w:p>
              </w:tc>
              <w:tc>
                <w:tcPr/>
                <w:p>
                  <w:pPr>
                    <w:pStyle w:val="Compact"/>
                    <w:jc w:val="left"/>
                    <w:jc w:val="center"/>
                  </w:pPr>
                  <w:r>
                    <w:t xml:space="preserve">hu</w:t>
                  </w:r>
                </w:p>
              </w:tc>
              <w:tc>
                <w:tcPr/>
                <w:p>
                  <w:pPr>
                    <w:pStyle w:val="Compact"/>
                    <w:jc w:val="right"/>
                    <w:jc w:val="center"/>
                  </w:pPr>
                  <w:r>
                    <w:t xml:space="preserve">43</w:t>
                  </w:r>
                </w:p>
              </w:tc>
              <w:tc>
                <w:tcPr/>
                <w:p>
                  <w:pPr>
                    <w:pStyle w:val="Compact"/>
                    <w:jc w:val="right"/>
                    <w:jc w:val="center"/>
                  </w:pPr>
                  <w:r>
                    <w:t xml:space="preserve">0.1</w:t>
                  </w:r>
                </w:p>
              </w:tc>
            </w:tr>
            <w:tr>
              <w:tc>
                <w:tcPr/>
                <w:p>
                  <w:pPr>
                    <w:pStyle w:val="Compact"/>
                    <w:jc w:val="left"/>
                    <w:jc w:val="center"/>
                  </w:pPr>
                  <w:r>
                    <w:t xml:space="preserve">Vietnamese</w:t>
                  </w:r>
                </w:p>
              </w:tc>
              <w:tc>
                <w:tcPr/>
                <w:p>
                  <w:pPr>
                    <w:pStyle w:val="Compact"/>
                    <w:jc w:val="left"/>
                    <w:jc w:val="center"/>
                  </w:pPr>
                  <w:r>
                    <w:t xml:space="preserve">vi</w:t>
                  </w:r>
                </w:p>
              </w:tc>
              <w:tc>
                <w:tcPr/>
                <w:p>
                  <w:pPr>
                    <w:pStyle w:val="Compact"/>
                    <w:jc w:val="right"/>
                    <w:jc w:val="center"/>
                  </w:pPr>
                  <w:r>
                    <w:t xml:space="preserve">32</w:t>
                  </w:r>
                </w:p>
              </w:tc>
              <w:tc>
                <w:tcPr/>
                <w:p>
                  <w:pPr>
                    <w:pStyle w:val="Compact"/>
                    <w:jc w:val="right"/>
                    <w:jc w:val="center"/>
                  </w:pPr>
                  <w:r>
                    <w:t xml:space="preserve">0.1</w:t>
                  </w:r>
                </w:p>
              </w:tc>
            </w:tr>
            <w:tr>
              <w:tc>
                <w:tcPr/>
                <w:p>
                  <w:pPr>
                    <w:pStyle w:val="Compact"/>
                    <w:jc w:val="left"/>
                    <w:jc w:val="center"/>
                  </w:pPr>
                  <w:r>
                    <w:t xml:space="preserve">Finnish</w:t>
                  </w:r>
                </w:p>
              </w:tc>
              <w:tc>
                <w:tcPr/>
                <w:p>
                  <w:pPr>
                    <w:pStyle w:val="Compact"/>
                    <w:jc w:val="left"/>
                    <w:jc w:val="center"/>
                  </w:pPr>
                  <w:r>
                    <w:t xml:space="preserve">fi</w:t>
                  </w:r>
                </w:p>
              </w:tc>
              <w:tc>
                <w:tcPr/>
                <w:p>
                  <w:pPr>
                    <w:pStyle w:val="Compact"/>
                    <w:jc w:val="right"/>
                    <w:jc w:val="center"/>
                  </w:pPr>
                  <w:r>
                    <w:t xml:space="preserve">27</w:t>
                  </w:r>
                </w:p>
              </w:tc>
              <w:tc>
                <w:tcPr/>
                <w:p>
                  <w:pPr>
                    <w:pStyle w:val="Compact"/>
                    <w:jc w:val="right"/>
                    <w:jc w:val="center"/>
                  </w:pPr>
                  <w:r>
                    <w:t xml:space="preserve">0.1</w:t>
                  </w:r>
                </w:p>
              </w:tc>
            </w:tr>
            <w:tr>
              <w:tc>
                <w:tcPr/>
                <w:p>
                  <w:pPr>
                    <w:pStyle w:val="Compact"/>
                    <w:jc w:val="left"/>
                    <w:jc w:val="center"/>
                  </w:pPr>
                  <w:r>
                    <w:t xml:space="preserve">Chinese</w:t>
                  </w:r>
                </w:p>
              </w:tc>
              <w:tc>
                <w:tcPr/>
                <w:p>
                  <w:pPr>
                    <w:pStyle w:val="Compact"/>
                    <w:jc w:val="left"/>
                    <w:jc w:val="center"/>
                  </w:pPr>
                  <w:r>
                    <w:t xml:space="preserve">zh</w:t>
                  </w:r>
                </w:p>
              </w:tc>
              <w:tc>
                <w:tcPr/>
                <w:p>
                  <w:pPr>
                    <w:pStyle w:val="Compact"/>
                    <w:jc w:val="right"/>
                    <w:jc w:val="center"/>
                  </w:pPr>
                  <w:r>
                    <w:t xml:space="preserve">25</w:t>
                  </w:r>
                </w:p>
              </w:tc>
              <w:tc>
                <w:tcPr/>
                <w:p>
                  <w:pPr>
                    <w:pStyle w:val="Compact"/>
                    <w:jc w:val="right"/>
                    <w:jc w:val="center"/>
                  </w:pPr>
                  <w:r>
                    <w:t xml:space="preserve">0.1</w:t>
                  </w:r>
                </w:p>
              </w:tc>
            </w:tr>
            <w:tr>
              <w:tc>
                <w:tcPr/>
                <w:p>
                  <w:pPr>
                    <w:pStyle w:val="Compact"/>
                    <w:jc w:val="left"/>
                    <w:jc w:val="center"/>
                  </w:pPr>
                  <w:r>
                    <w:t xml:space="preserve">Norwegian</w:t>
                  </w:r>
                </w:p>
              </w:tc>
              <w:tc>
                <w:tcPr/>
                <w:p>
                  <w:pPr>
                    <w:pStyle w:val="Compact"/>
                    <w:jc w:val="left"/>
                    <w:jc w:val="center"/>
                  </w:pPr>
                  <w:r>
                    <w:t xml:space="preserve">no</w:t>
                  </w:r>
                </w:p>
              </w:tc>
              <w:tc>
                <w:tcPr/>
                <w:p>
                  <w:pPr>
                    <w:pStyle w:val="Compact"/>
                    <w:jc w:val="right"/>
                    <w:jc w:val="center"/>
                  </w:pPr>
                  <w:r>
                    <w:t xml:space="preserve">25</w:t>
                  </w:r>
                </w:p>
              </w:tc>
              <w:tc>
                <w:tcPr/>
                <w:p>
                  <w:pPr>
                    <w:pStyle w:val="Compact"/>
                    <w:jc w:val="right"/>
                    <w:jc w:val="center"/>
                  </w:pPr>
                  <w:r>
                    <w:t xml:space="preserve">0.1</w:t>
                  </w:r>
                </w:p>
              </w:tc>
            </w:tr>
            <w:tr>
              <w:tc>
                <w:tcPr/>
                <w:p>
                  <w:pPr>
                    <w:pStyle w:val="Compact"/>
                    <w:jc w:val="left"/>
                    <w:jc w:val="center"/>
                  </w:pPr>
                  <w:r>
                    <w:t xml:space="preserve">Other (26 languages)</w:t>
                  </w:r>
                </w:p>
              </w:tc>
              <w:tc>
                <w:tcPr/>
                <w:p>
                  <w:pPr>
                    <w:pStyle w:val="Compact"/>
                    <w:jc w:val="left"/>
                    <w:jc w:val="center"/>
                  </w:pPr>
                  <w:r>
                    <w:t xml:space="preserve">—</w:t>
                  </w:r>
                </w:p>
              </w:tc>
              <w:tc>
                <w:tcPr/>
                <w:p>
                  <w:pPr>
                    <w:pStyle w:val="Compact"/>
                    <w:jc w:val="right"/>
                    <w:jc w:val="center"/>
                  </w:pPr>
                  <w:r>
                    <w:t xml:space="preserve">142</w:t>
                  </w:r>
                </w:p>
              </w:tc>
              <w:tc>
                <w:tcPr/>
                <w:p>
                  <w:pPr>
                    <w:pStyle w:val="Compact"/>
                    <w:jc w:val="right"/>
                    <w:jc w:val="center"/>
                  </w:pPr>
                  <w:r>
                    <w:t xml:space="preserve">0.3</w:t>
                  </w:r>
                </w:p>
              </w:tc>
            </w:tr>
            <w:tr>
              <w:tc>
                <w:tcPr/>
                <w:p>
                  <w:pPr>
                    <w:pStyle w:val="Compact"/>
                    <w:jc w:val="left"/>
                    <w:jc w:val="center"/>
                  </w:pPr>
                  <w:r>
                    <w:t xml:space="preserve">Unclassified</w:t>
                  </w:r>
                </w:p>
              </w:tc>
              <w:tc>
                <w:tcPr/>
                <w:p>
                  <w:pPr>
                    <w:pStyle w:val="Compact"/>
                    <w:jc w:val="left"/>
                    <w:jc w:val="center"/>
                  </w:pPr>
                  <w:r>
                    <w:t xml:space="preserve">—</w:t>
                  </w:r>
                </w:p>
              </w:tc>
              <w:tc>
                <w:tcPr/>
                <w:p>
                  <w:pPr>
                    <w:pStyle w:val="Compact"/>
                    <w:jc w:val="right"/>
                    <w:jc w:val="center"/>
                  </w:pPr>
                  <w:r>
                    <w:t xml:space="preserve">128</w:t>
                  </w:r>
                </w:p>
              </w:tc>
              <w:tc>
                <w:tcPr/>
                <w:p>
                  <w:pPr>
                    <w:pStyle w:val="Compact"/>
                    <w:jc w:val="right"/>
                    <w:jc w:val="center"/>
                  </w:pPr>
                  <w:r>
                    <w:t xml:space="preserve">0.3</w:t>
                  </w:r>
                </w:p>
              </w:tc>
            </w:tr>
            <w:tr>
              <w:tc>
                <w:tcPr/>
                <w:p>
                  <w:pPr>
                    <w:pStyle w:val="Compact"/>
                    <w:jc w:val="left"/>
                    <w:jc w:val="center"/>
                  </w:pPr>
                  <w:r>
                    <w:rPr>
                      <w:b/>
                      <w:bCs/>
                    </w:rPr>
                    <w:t xml:space="preserve">Total</w:t>
                  </w:r>
                </w:p>
              </w:tc>
              <w:tc>
                <w:tcPr/>
                <w:p>
                  <w:pPr>
                    <w:pStyle w:val="Compact"/>
                  </w:pPr>
                </w:p>
              </w:tc>
              <w:tc>
                <w:tcPr/>
                <w:p>
                  <w:pPr>
                    <w:pStyle w:val="Compact"/>
                    <w:jc w:val="right"/>
                    <w:jc w:val="center"/>
                  </w:pPr>
                  <w:r>
                    <w:t xml:space="preserve">42922</w:t>
                  </w:r>
                </w:p>
              </w:tc>
              <w:tc>
                <w:tcPr/>
                <w:p>
                  <w:pPr>
                    <w:pStyle w:val="Compact"/>
                    <w:jc w:val="right"/>
                    <w:jc w:val="center"/>
                  </w:pPr>
                  <w:r>
                    <w:t xml:space="preserve">100.0</w:t>
                  </w:r>
                </w:p>
              </w:tc>
            </w:tr>
          </w:tbl>
          <w:bookmarkEnd w:id="26"/>
          <w:p/>
        </w:tc>
      </w:tr>
    </w:tbl>
    <w:p>
      <w:pPr>
        <w:pStyle w:val="BodyText"/>
      </w:pPr>
      <w:r>
        <w:t xml:space="preserve">Near-duplicate detection identified coordinated multi-journal publications — notably the COP27 editorial</w:t>
      </w:r>
      <w:r>
        <w:t xml:space="preserve"> </w:t>
      </w:r>
      <w:r>
        <w:t xml:space="preserve">(Atwoli et al. 2022)</w:t>
      </w:r>
      <w:r>
        <w:t xml:space="preserve">, published with identical or near-identical abstracts across 60+ journals under different DOIs. These are not data errors but a deliberate publication strategy; the</w:t>
      </w:r>
      <w:r>
        <w:t xml:space="preserve"> </w:t>
      </w:r>
      <w:r>
        <w:rPr>
          <w:rStyle w:val="VerbatimChar"/>
        </w:rPr>
        <w:t xml:space="preserve">near_duplicate_group</w:t>
      </w:r>
      <w:r>
        <w:t xml:space="preserve"> </w:t>
      </w:r>
      <w:r>
        <w:t xml:space="preserve">column enables users to deduplicate by content if their analysis requires it.</w:t>
      </w:r>
    </w:p>
    <w:p>
      <w:pPr>
        <w:pStyle w:val="BodyText"/>
      </w:pPr>
      <w:r>
        <w:t xml:space="preserve">Users should be aware of several potential biases. The literature on climate finance is distributed across distinct pools with different indexing infrastructures. Crossref covers OECD-based academic, commercial publishers. OpenAlex expands beyond OECD publishers and indexes grey literature, but remains centred on academic production. International organisations and think tanks (World Bank, OECD, UNFCCC standing committee reports) constitute a separate pool, partially captured here through our grey-literature source. News and public discourse form yet another pool, represented through bibCNRS. This corpus is strongest on the academic pool and weakest on policy and media discourse. Non-English coverage remains limited (</w:t>
      </w:r>
      <w:hyperlink w:anchor="tbl-languages">
        <w:r>
          <w:rPr>
            <w:rStyle w:val="Hyperlink"/>
          </w:rPr>
          <w:t xml:space="preserve">Table 3</w:t>
        </w:r>
      </w:hyperlink>
      <w:r>
        <w:t xml:space="preserve">): English accounts for 93.1% of refined works despite targeting eight languages, reflecting structural biases in scholarly indexing systems that privilege English-language and Western publication venues. The enriched corpus contains works in 48 detected languages, with 22 individually listed in</w:t>
      </w:r>
      <w:r>
        <w:t xml:space="preserve"> </w:t>
      </w:r>
      <w:hyperlink w:anchor="tbl-languages">
        <w:r>
          <w:rPr>
            <w:rStyle w:val="Hyperlink"/>
          </w:rPr>
          <w:t xml:space="preserve">Table 3</w:t>
        </w:r>
      </w:hyperlink>
      <w:r>
        <w:t xml:space="preserve"> </w:t>
      </w:r>
      <w:r>
        <w:t xml:space="preserve">and 26 in the</w:t>
      </w:r>
      <w:r>
        <w:t xml:space="preserve"> </w:t>
      </w:r>
      <w:r>
        <w:t xml:space="preserve">“Other”</w:t>
      </w:r>
      <w:r>
        <w:t xml:space="preserve"> </w:t>
      </w:r>
      <w:r>
        <w:t xml:space="preserve">category. The inclusion of grey literature, bibCNRS, and multilingual queries partially mitigates this bias but does not eliminate it; a more globally representative corpus would require deeper integration of regional databases, non-DOI sources, and multilingual discovery pipelines. ISTEX is retained despite its modest yield because its automated API makes future re-harvesting costless and its records provide independent confirmation for works found in other sources. Citation counts reflect OpenAlex data as of the collection date and favour older, English-language works. The teaching-canon component reflects a harvesting bias toward institutions that publish syllabi on public websites rather than behind learning management systems.</w:t>
      </w:r>
    </w:p>
    <w:bookmarkEnd w:id="27"/>
    <w:bookmarkEnd w:id="28"/>
    <w:bookmarkStart w:id="33" w:name="sec-data"/>
    <w:p>
      <w:pPr>
        <w:pStyle w:val="Heading2"/>
      </w:pPr>
      <w:r>
        <w:t xml:space="preserve">3. Data</w:t>
      </w:r>
    </w:p>
    <w:p>
      <w:pPr>
        <w:pStyle w:val="Compact"/>
        <w:numPr>
          <w:ilvl w:val="0"/>
          <w:numId w:val="1002"/>
        </w:numPr>
      </w:pPr>
      <w:r>
        <w:t xml:space="preserve">Climate finance corpus — DOI:</w:t>
      </w:r>
      <w:r>
        <w:t xml:space="preserve"> </w:t>
      </w:r>
      <w:hyperlink r:id="rId20">
        <w:r>
          <w:rPr>
            <w:rStyle w:val="Hyperlink"/>
          </w:rPr>
          <w:t xml:space="preserve">10.5281/zenodo.19236130</w:t>
        </w:r>
      </w:hyperlink>
    </w:p>
    <w:p>
      <w:pPr>
        <w:pStyle w:val="Compact"/>
        <w:numPr>
          <w:ilvl w:val="0"/>
          <w:numId w:val="1002"/>
        </w:numPr>
      </w:pPr>
      <w:r>
        <w:t xml:space="preserve">Temporal coverage: 1990–2024</w:t>
      </w:r>
    </w:p>
    <w:p>
      <w:pPr>
        <w:pStyle w:val="FirstParagraph"/>
      </w:pPr>
      <w:r>
        <w:t xml:space="preserve">The Zenodo deposit is a reproducibility archive in two parts: the pipeline source code (scripts, configuration, and DVC definitions) and the v1.1 corpus data files described below. All CSV files use UTF-8 encoding with standard comma-separated format; identifiers are opaque string keys.</w:t>
      </w:r>
    </w:p>
    <w:p>
      <w:pPr>
        <w:pStyle w:val="BodyText"/>
      </w:pPr>
      <w:r>
        <w:rPr>
          <w:b/>
          <w:bCs/>
        </w:rPr>
        <w:t xml:space="preserve">climate_finance_corpus.csv</w:t>
      </w:r>
      <w:r>
        <w:t xml:space="preserve"> </w:t>
      </w:r>
      <w:r>
        <w:t xml:space="preserve">(42,922 rows). The complete, unfiltered corpus. Each row is one deduplicated work with columns for: identifier (string), DOI, title, first author, year (integer), citation count (integer), publication venue, work type, language code (ISO 639-1), source provenance flags (one boolean per source:</w:t>
      </w:r>
      <w:r>
        <w:t xml:space="preserve"> </w:t>
      </w:r>
      <w:r>
        <w:rPr>
          <w:rStyle w:val="VerbatimChar"/>
        </w:rPr>
        <w:t xml:space="preserve">from_openalex</w:t>
      </w:r>
      <w:r>
        <w:t xml:space="preserve">,</w:t>
      </w:r>
      <w:r>
        <w:t xml:space="preserve"> </w:t>
      </w:r>
      <w:r>
        <w:rPr>
          <w:rStyle w:val="VerbatimChar"/>
        </w:rPr>
        <w:t xml:space="preserve">from_istex</w:t>
      </w:r>
      <w:r>
        <w:t xml:space="preserve">,</w:t>
      </w:r>
      <w:r>
        <w:t xml:space="preserve"> </w:t>
      </w:r>
      <w:r>
        <w:rPr>
          <w:rStyle w:val="VerbatimChar"/>
        </w:rPr>
        <w:t xml:space="preserve">from_bibcnrs</w:t>
      </w:r>
      <w:r>
        <w:t xml:space="preserve">,</w:t>
      </w:r>
      <w:r>
        <w:t xml:space="preserve"> </w:t>
      </w:r>
      <w:r>
        <w:rPr>
          <w:rStyle w:val="VerbatimChar"/>
        </w:rPr>
        <w:t xml:space="preserve">from_scispace</w:t>
      </w:r>
      <w:r>
        <w:t xml:space="preserve">,</w:t>
      </w:r>
      <w:r>
        <w:t xml:space="preserve"> </w:t>
      </w:r>
      <w:r>
        <w:rPr>
          <w:rStyle w:val="VerbatimChar"/>
        </w:rPr>
        <w:t xml:space="preserve">from_grey</w:t>
      </w:r>
      <w:r>
        <w:t xml:space="preserve">,</w:t>
      </w:r>
      <w:r>
        <w:t xml:space="preserve"> </w:t>
      </w:r>
      <w:r>
        <w:rPr>
          <w:rStyle w:val="VerbatimChar"/>
        </w:rPr>
        <w:t xml:space="preserve">from_teaching</w:t>
      </w:r>
      <w:r>
        <w:t xml:space="preserve">), and quality-filtering metadata (</w:t>
      </w:r>
      <w:r>
        <w:rPr>
          <w:rStyle w:val="VerbatimChar"/>
        </w:rPr>
        <w:t xml:space="preserve">is_flagged</w:t>
      </w:r>
      <w:r>
        <w:t xml:space="preserve">,</w:t>
      </w:r>
      <w:r>
        <w:t xml:space="preserve"> </w:t>
      </w:r>
      <w:r>
        <w:rPr>
          <w:rStyle w:val="VerbatimChar"/>
        </w:rPr>
        <w:t xml:space="preserve">flag_reason</w:t>
      </w:r>
      <w:r>
        <w:t xml:space="preserve">,</w:t>
      </w:r>
      <w:r>
        <w:t xml:space="preserve"> </w:t>
      </w:r>
      <w:r>
        <w:rPr>
          <w:rStyle w:val="VerbatimChar"/>
        </w:rPr>
        <w:t xml:space="preserve">is_protected</w:t>
      </w:r>
      <w:r>
        <w:t xml:space="preserve">). The quality flags are the audit trail: users reproduce our refined subset (31,713 works) with</w:t>
      </w:r>
      <w:r>
        <w:t xml:space="preserve"> </w:t>
      </w:r>
      <w:r>
        <w:rPr>
          <w:rStyle w:val="VerbatimChar"/>
        </w:rPr>
        <w:t xml:space="preserve">df[~df['is_flagged'] | df['is_protected']]</w:t>
      </w:r>
      <w:r>
        <w:t xml:space="preserve">. A</w:t>
      </w:r>
      <w:r>
        <w:t xml:space="preserve"> </w:t>
      </w:r>
      <w:r>
        <w:rPr>
          <w:rStyle w:val="VerbatimChar"/>
        </w:rPr>
        <w:t xml:space="preserve">near_duplicate_group</w:t>
      </w:r>
      <w:r>
        <w:t xml:space="preserve"> </w:t>
      </w:r>
      <w:r>
        <w:t xml:space="preserve">column (integer, null for ungrouped works) identifies coordinated multi-journal publications sharing near-identical content. A version-tracking flag (</w:t>
      </w:r>
      <w:r>
        <w:rPr>
          <w:rStyle w:val="VerbatimChar"/>
        </w:rPr>
        <w:t xml:space="preserve">in_v1</w:t>
      </w:r>
      <w:r>
        <w:t xml:space="preserve">) marks works present in the v1.0 submission corpus. An enrichment step reconstructs missing abstracts from OpenAlex inverted indices and ISTEX fulltext (TEI XML), replacing boilerplate stubs where possible. Abstracts are not included in the deposited file due to publisher redistribution restrictions; they can be retrieved programmatically via the DOI or OpenAlex identifier.</w:t>
      </w:r>
      <w:r>
        <w:t xml:space="preserve"> </w:t>
      </w:r>
      <w:hyperlink w:anchor="fig-bars">
        <w:r>
          <w:rPr>
            <w:rStyle w:val="Hyperlink"/>
          </w:rPr>
          <w:t xml:space="preserve">Figure 1</w:t>
        </w:r>
      </w:hyperlink>
      <w:r>
        <w:t xml:space="preserve"> </w:t>
      </w:r>
      <w:r>
        <w:t xml:space="preserve">shows the temporal distribution.</w:t>
      </w:r>
    </w:p>
    <w:p>
      <w:pPr>
        <w:pStyle w:val="BodyText"/>
      </w:pPr>
      <w:r>
        <w:rPr>
          <w:b/>
          <w:bCs/>
        </w:rPr>
        <w:t xml:space="preserve">embeddings.npz.</w:t>
      </w:r>
      <w:r>
        <w:t xml:space="preserve"> </w:t>
      </w:r>
      <w:r>
        <w:t xml:space="preserve">Compressed NumPy archive (keys:</w:t>
      </w:r>
      <w:r>
        <w:t xml:space="preserve"> </w:t>
      </w:r>
      <w:r>
        <w:rPr>
          <w:rStyle w:val="VerbatimChar"/>
        </w:rPr>
        <w:t xml:space="preserve">vectors</w:t>
      </w:r>
      <w:r>
        <w:t xml:space="preserve"> </w:t>
      </w:r>
      <w:r>
        <w:t xml:space="preserve">as float32 array,</w:t>
      </w:r>
      <w:r>
        <w:t xml:space="preserve"> </w:t>
      </w:r>
      <w:r>
        <w:rPr>
          <w:rStyle w:val="VerbatimChar"/>
        </w:rPr>
        <w:t xml:space="preserve">keys</w:t>
      </w:r>
      <w:r>
        <w:t xml:space="preserve"> </w:t>
      </w:r>
      <w:r>
        <w:t xml:space="preserve">as string array of identifiers) containing L2-normalised (unit-length) 1024-dimensional vectors for 38,479 of the 42,922 works, computed by the multilingual sentence-transformer</w:t>
      </w:r>
      <w:r>
        <w:t xml:space="preserve"> </w:t>
      </w:r>
      <w:r>
        <w:rPr>
          <w:i/>
          <w:iCs/>
        </w:rPr>
        <w:t xml:space="preserve">BAAI/bge-m3</w:t>
      </w:r>
      <w:r>
        <w:t xml:space="preserve">. Works without a title are excluded; works with missing or boilerplate abstracts (paywall stubs, repository metadata) are embedded from title and keywords only. Row</w:t>
      </w:r>
      <w:r>
        <w:t xml:space="preserve"> </w:t>
      </w:r>
      <w:r>
        <w:rPr>
          <w:i/>
          <w:iCs/>
        </w:rPr>
        <w:t xml:space="preserve">i</w:t>
      </w:r>
      <w:r>
        <w:t xml:space="preserve"> </w:t>
      </w:r>
      <w:r>
        <w:t xml:space="preserve">of</w:t>
      </w:r>
      <w:r>
        <w:t xml:space="preserve"> </w:t>
      </w:r>
      <w:r>
        <w:rPr>
          <w:rStyle w:val="VerbatimChar"/>
        </w:rPr>
        <w:t xml:space="preserve">vectors</w:t>
      </w:r>
      <w:r>
        <w:t xml:space="preserve"> </w:t>
      </w:r>
      <w:r>
        <w:t xml:space="preserve">corresponds to</w:t>
      </w:r>
      <w:r>
        <w:t xml:space="preserve"> </w:t>
      </w:r>
      <w:r>
        <w:rPr>
          <w:rStyle w:val="VerbatimChar"/>
        </w:rPr>
        <w:t xml:space="preserve">keys[i]</w:t>
      </w:r>
      <w:r>
        <w:t xml:space="preserve">. Flagged works are included to support alternative filtering strategies. Each vector encodes the concatenation of title, abstract (when available and non-boilerplate), and keywords within the model’s 8192-token context window (no truncation for typical abstracts). The model maps texts in English, French, Chinese, Japanese, and German into a shared semantic space, which is designed to group works by topic rather than by language. These vectors serve as direct input for BERTopic, top2vec, or other embedding-based topic models, and support cosine-similarity search.</w:t>
      </w:r>
    </w:p>
    <w:p>
      <w:pPr>
        <w:pStyle w:val="BodyText"/>
      </w:pPr>
      <w:r>
        <w:rPr>
          <w:b/>
          <w:bCs/>
        </w:rPr>
        <w:t xml:space="preserve">citations.csv.</w:t>
      </w:r>
      <w:r>
        <w:t xml:space="preserve"> </w:t>
      </w:r>
      <w:r>
        <w:t xml:space="preserve">Citation network (968,871 rows). Columns:</w:t>
      </w:r>
      <w:r>
        <w:t xml:space="preserve"> </w:t>
      </w:r>
      <w:r>
        <w:rPr>
          <w:rStyle w:val="VerbatimChar"/>
        </w:rPr>
        <w:t xml:space="preserve">source_doi</w:t>
      </w:r>
      <w:r>
        <w:t xml:space="preserve">,</w:t>
      </w:r>
      <w:r>
        <w:t xml:space="preserve"> </w:t>
      </w:r>
      <w:r>
        <w:rPr>
          <w:rStyle w:val="VerbatimChar"/>
        </w:rPr>
        <w:t xml:space="preserve">ref_doi</w:t>
      </w:r>
      <w:r>
        <w:t xml:space="preserve"> </w:t>
      </w:r>
      <w:r>
        <w:t xml:space="preserve">(both normalised, lowercased DOIs). Each row records a (citing, cited) pair where the citing work belongs to the corpus; the cited work may or may not. For corpus-internal citations only, join on the corpus identifiers. The citation network operates on DOI pairs: works without DOIs cannot be matched as citing sources, and references without DOIs are retained but cannot be deduplicated. Since 28% of records lack DOIs, citation coverage is incomplete for early and grey-literature works. Fulltext reference parsing (e.g., via GROBID) could recover additional links but is not implemented in the current pipeline.</w:t>
      </w:r>
    </w:p>
    <w:p>
      <w:pPr>
        <w:pStyle w:val="BodyText"/>
      </w:pPr>
      <w:r>
        <w:rPr>
          <w:b/>
          <w:bCs/>
        </w:rPr>
        <w:t xml:space="preserve">Source catalogs.</w:t>
      </w:r>
      <w:r>
        <w:t xml:space="preserve"> </w:t>
      </w:r>
      <w:r>
        <w:t xml:space="preserve">Per-source catalogs (</w:t>
      </w:r>
      <w:r>
        <w:rPr>
          <w:rStyle w:val="VerbatimChar"/>
        </w:rPr>
        <w:t xml:space="preserve">openalex_works.csv</w:t>
      </w:r>
      <w:r>
        <w:t xml:space="preserve">,</w:t>
      </w:r>
      <w:r>
        <w:t xml:space="preserve"> </w:t>
      </w:r>
      <w:r>
        <w:rPr>
          <w:rStyle w:val="VerbatimChar"/>
        </w:rPr>
        <w:t xml:space="preserve">istex_works.csv</w:t>
      </w:r>
      <w:r>
        <w:t xml:space="preserve">, etc.) enable provenance tracking back to individual databases before merge and deduplication. The corpus does not include a dedicated Open Access or fulltext URL column; users can recover OA links via the OpenAlex API using the</w:t>
      </w:r>
      <w:r>
        <w:t xml:space="preserve"> </w:t>
      </w:r>
      <w:r>
        <w:rPr>
          <w:rStyle w:val="VerbatimChar"/>
        </w:rPr>
        <w:t xml:space="preserve">source_id</w:t>
      </w:r>
      <w:r>
        <w:t xml:space="preserve"> </w:t>
      </w:r>
      <w:r>
        <w:t xml:space="preserve">field, or construct ISTEX fulltext URLs from ISTEX identifiers in the source catalogs.</w:t>
      </w:r>
    </w:p>
    <w:tbl>
      <w:tblPr>
        <w:tblStyle w:val="Table"/>
        <w:tblW w:type="pct" w:w="5000"/>
        <w:tblLayout w:type="fixed"/>
        <w:tblLook w:firstRow="0" w:lastRow="0" w:firstColumn="0" w:lastColumn="0" w:noHBand="0" w:noVBand="0" w:val="0000"/>
      </w:tblPr>
      <w:tblGrid>
        <w:gridCol w:w="7920"/>
      </w:tblGrid>
      <w:tr>
        <w:tc>
          <w:tcPr/>
          <w:bookmarkStart w:id="32" w:name="fig-bars"/>
          <w:p>
            <w:pPr>
              <w:pStyle w:val="Compact"/>
              <w:jc w:val="center"/>
            </w:pPr>
            <w:r>
              <w:drawing>
                <wp:inline>
                  <wp:extent cx="4838062" cy="3165230"/>
                  <wp:effectExtent b="0" l="0" r="0" t="0"/>
                  <wp:docPr descr="" title="" id="30" name="Picture"/>
                  <a:graphic>
                    <a:graphicData uri="http://schemas.openxmlformats.org/drawingml/2006/picture">
                      <pic:pic>
                        <pic:nvPicPr>
                          <pic:cNvPr descr="figures/fig_bars.png" id="31" name="Picture"/>
                          <pic:cNvPicPr>
                            <a:picLocks noChangeArrowheads="1" noChangeAspect="1"/>
                          </pic:cNvPicPr>
                        </pic:nvPicPr>
                        <pic:blipFill>
                          <a:blip r:embed="rId29"/>
                          <a:stretch>
                            <a:fillRect/>
                          </a:stretch>
                        </pic:blipFill>
                        <pic:spPr bwMode="auto">
                          <a:xfrm>
                            <a:off x="0" y="0"/>
                            <a:ext cx="4838062" cy="316523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Annual publication volume in the corpus. The search window is 1990–2024; the earliest works date from 1992.</w:t>
            </w:r>
          </w:p>
          <w:bookmarkEnd w:id="32"/>
        </w:tc>
      </w:tr>
    </w:tbl>
    <w:p>
      <w:pPr>
        <w:pStyle w:val="BodyText"/>
      </w:pPr>
      <w:r>
        <w:t xml:space="preserve">Citation coverage — the share of corpus works that appear as a citing source in the citation network — is unevenly distributed over time: approximately 27% for works published before 2007 versus 47% for post-2015 works. This gap reflects two compounding factors: early and grey-literature works are less likely to carry DOIs or to have their reference lists indexed by Crossref and OpenAlex, and the field itself was smaller before 2007. Users conducting temporal citation-network analyses should account for this systematic undercount of early-period connectivity.</w:t>
      </w:r>
    </w:p>
    <w:p>
      <w:pPr>
        <w:pStyle w:val="BodyText"/>
      </w:pPr>
      <w:r>
        <w:t xml:space="preserve">The dataset is released under CC BY 4.0. The four automated or semi-automated sources can be re-harvested with an internet connection; the two restricted sources (bibCNRS, SciSpace) have their raw exports included in the Zenodo deposit.</w:t>
      </w:r>
    </w:p>
    <w:bookmarkEnd w:id="33"/>
    <w:bookmarkStart w:id="34" w:name="sec-concluding"/>
    <w:p>
      <w:pPr>
        <w:pStyle w:val="Heading2"/>
      </w:pPr>
      <w:r>
        <w:t xml:space="preserve">4. Concluding Remarks</w:t>
      </w:r>
    </w:p>
    <w:p>
      <w:pPr>
        <w:pStyle w:val="FirstParagraph"/>
      </w:pPr>
      <w:r>
        <w:t xml:space="preserve">This corpus assembles climate finance scholarship into a single, cross-lingual bibliographic object. Its 6-source design pairs the breadth of OpenAlex with coverage from French archives (ISTEX), non-English discourse (bibCNRS), institutional reports (grey literature), pedagogical use (teaching canon), and AI-assisted discovery (SciSpace) absent from single-database corpora. Pre-computed multilingual embeddings lower the barrier to semantic analysis, enabling researchers to study thematic structure, temporal evolution, and cross-lingual patterns without re-encoding the full corpus.</w:t>
      </w:r>
    </w:p>
    <w:p>
      <w:pPr>
        <w:pStyle w:val="BodyText"/>
      </w:pPr>
      <w:r>
        <w:t xml:space="preserve">The dataset supports several research directions: history-of-economics analyses of climate finance as a contested concept, methodological studies of how different databases define</w:t>
      </w:r>
      <w:r>
        <w:t xml:space="preserve"> </w:t>
      </w:r>
      <w:r>
        <w:t xml:space="preserve">“climate finance,”</w:t>
      </w:r>
      <w:r>
        <w:t xml:space="preserve"> </w:t>
      </w:r>
      <w:r>
        <w:t xml:space="preserve">genealogical analyses tracing concept propagation across disciplinary communities, and diachronic analyses of field dynamics over 35 years. The provenance architecture makes it straightforward to add new sources or extend the temporal window. A future iteration would benefit from OpenAlex’s bulk download rather than keyword-based API queries: filtering a complete snapshot post-hoc with semantic classifiers would reduce the dependence on vocabulary choices made at harvest time. Author affiliation and country metadata, available through OpenAlex, are left for future enrichment. By making its boundaries explicit rather than implicit, the corpus turns the definition of</w:t>
      </w:r>
      <w:r>
        <w:t xml:space="preserve"> </w:t>
      </w:r>
      <w:r>
        <w:t xml:space="preserve">“climate finance”</w:t>
      </w:r>
      <w:r>
        <w:t xml:space="preserve"> </w:t>
      </w:r>
      <w:r>
        <w:t xml:space="preserve">from a hidden assumption into an object of analysis.</w:t>
      </w:r>
    </w:p>
    <w:bookmarkEnd w:id="34"/>
    <w:bookmarkStart w:id="35" w:name="data-and-code-availability"/>
    <w:p>
      <w:pPr>
        <w:pStyle w:val="Heading2"/>
      </w:pPr>
      <w:r>
        <w:t xml:space="preserve">Data and Code Availability</w:t>
      </w:r>
    </w:p>
    <w:p>
      <w:pPr>
        <w:pStyle w:val="FirstParagraph"/>
      </w:pPr>
      <w:r>
        <w:t xml:space="preserve">The corpus data files and pipeline source code are deposited in Zenodo under CC BY 4.0 at</w:t>
      </w:r>
      <w:r>
        <w:t xml:space="preserve"> </w:t>
      </w:r>
      <w:hyperlink r:id="rId20">
        <w:r>
          <w:rPr>
            <w:rStyle w:val="Hyperlink"/>
          </w:rPr>
          <w:t xml:space="preserve">10.5281/zenodo.19236130</w:t>
        </w:r>
      </w:hyperlink>
      <w:r>
        <w:t xml:space="preserve">. The deposit contains the corpus data files (climate_finance_corpus.csv, embeddings.npz, citations.csv, and per-source catalogs) alongside the pipeline source code (scripts, configuration files, DVC pipeline definitions, and</w:t>
      </w:r>
      <w:r>
        <w:t xml:space="preserve"> </w:t>
      </w:r>
      <w:r>
        <w:rPr>
          <w:rStyle w:val="VerbatimChar"/>
        </w:rPr>
        <w:t xml:space="preserve">pyproject.toml</w:t>
      </w:r>
      <w:r>
        <w:t xml:space="preserve"> </w:t>
      </w:r>
      <w:r>
        <w:t xml:space="preserve">with pinned dependencies). Key software dependencies: Python</w:t>
      </w:r>
      <w:r>
        <w:t xml:space="preserve"> </w:t>
      </w:r>
      <m:oMath>
        <m:r>
          <m:rPr>
            <m:sty m:val="p"/>
          </m:rPr>
          <m:t>≥</m:t>
        </m:r>
      </m:oMath>
      <w:r>
        <w:t xml:space="preserve"> </w:t>
      </w:r>
      <w:r>
        <w:t xml:space="preserve">3.10, pandas, scikit-learn, sentence-transformers, and DVC (Data Version Control). Suggested citation:</w:t>
      </w:r>
    </w:p>
    <w:p>
      <w:pPr>
        <w:pStyle w:val="BlockText"/>
      </w:pPr>
      <w:r>
        <w:t xml:space="preserve">Ha-Duong, M. (2026). A Curated Corpus of Climate Finance Literature, 1990–2024: Six Sources, Multilingual Retrieval, and Grey Literature [Data set]. Zenodo.</w:t>
      </w:r>
      <w:r>
        <w:t xml:space="preserve"> </w:t>
      </w:r>
      <w:hyperlink r:id="rId20">
        <w:r>
          <w:rPr>
            <w:rStyle w:val="Hyperlink"/>
          </w:rPr>
          <w:t xml:space="preserve">10.5281/zenodo.19236130</w:t>
        </w:r>
      </w:hyperlink>
    </w:p>
    <w:bookmarkEnd w:id="35"/>
    <w:bookmarkStart w:id="36" w:name="technical-environment"/>
    <w:p>
      <w:pPr>
        <w:pStyle w:val="Heading2"/>
      </w:pPr>
      <w:r>
        <w:t xml:space="preserve">Technical Environment</w:t>
      </w:r>
    </w:p>
    <w:p>
      <w:pPr>
        <w:pStyle w:val="FirstParagraph"/>
      </w:pPr>
      <w:r>
        <w:t xml:space="preserve">API harvesting was last run on 2026-03-23. The pipeline was executed with Python 3.12.3, pandas 2.2, sentence-transformers 3.4 (model:</w:t>
      </w:r>
      <w:r>
        <w:t xml:space="preserve"> </w:t>
      </w:r>
      <w:r>
        <w:rPr>
          <w:i/>
          <w:iCs/>
        </w:rPr>
        <w:t xml:space="preserve">BAAI/bge-m3</w:t>
      </w:r>
      <w:r>
        <w:t xml:space="preserve">), and BAAI/bge-reranker-v2-m3 for relevance scoring. Corpus building (API harvesting, enrichment, and filtering) runs on a single workstation without a GPU. Embedding computation completes in under ten minutes on an NVIDIA RTX A4000 (16 GB).</w:t>
      </w:r>
    </w:p>
    <w:bookmarkEnd w:id="36"/>
    <w:bookmarkStart w:id="37" w:name="funding"/>
    <w:p>
      <w:pPr>
        <w:pStyle w:val="Heading2"/>
      </w:pPr>
      <w:r>
        <w:t xml:space="preserve">Funding</w:t>
      </w:r>
    </w:p>
    <w:p>
      <w:pPr>
        <w:pStyle w:val="FirstParagraph"/>
      </w:pPr>
      <w:r>
        <w:t xml:space="preserve">This work was supported by CNRS (Centre National de la Recherche Scientifique) through the author’s permanent research position at CIRED (Centre International de Recherche sur l’Environnement et le Développement).</w:t>
      </w:r>
    </w:p>
    <w:bookmarkEnd w:id="37"/>
    <w:bookmarkStart w:id="38" w:name="acknowledgements"/>
    <w:p>
      <w:pPr>
        <w:pStyle w:val="Heading2"/>
      </w:pPr>
      <w:r>
        <w:t xml:space="preserve">Acknowledgements</w:t>
      </w:r>
    </w:p>
    <w:bookmarkEnd w:id="38"/>
    <w:bookmarkStart w:id="39" w:name="ethics-and-competing-interests"/>
    <w:p>
      <w:pPr>
        <w:pStyle w:val="Heading2"/>
      </w:pPr>
      <w:r>
        <w:t xml:space="preserve">Ethics and Competing Interests</w:t>
      </w:r>
    </w:p>
    <w:p>
      <w:pPr>
        <w:pStyle w:val="FirstParagraph"/>
      </w:pPr>
      <w:r>
        <w:t xml:space="preserve">This study uses only publicly available bibliographic metadata; no human subjects were involved. The author declares no competing interests.</w:t>
      </w:r>
    </w:p>
    <w:bookmarkEnd w:id="39"/>
    <w:bookmarkStart w:id="40" w:name="author-contributions-credit"/>
    <w:p>
      <w:pPr>
        <w:pStyle w:val="Heading2"/>
      </w:pPr>
      <w:r>
        <w:t xml:space="preserve">Author Contributions (CRediT)</w:t>
      </w:r>
    </w:p>
    <w:p>
      <w:pPr>
        <w:pStyle w:val="FirstParagraph"/>
      </w:pPr>
      <w:r>
        <w:rPr>
          <w:b/>
          <w:bCs/>
        </w:rPr>
        <w:t xml:space="preserve">Minh Ha-Duong</w:t>
      </w:r>
      <w:r>
        <w:t xml:space="preserve">: Conceptualisation, Methodology, Software, Data Curation, Validation, Writing — Original Draft, Writing — Review &amp; Editing.</w:t>
      </w:r>
    </w:p>
    <w:bookmarkEnd w:id="40"/>
    <w:bookmarkStart w:id="60" w:name="references"/>
    <w:p>
      <w:pPr>
        <w:pStyle w:val="Heading2"/>
      </w:pPr>
      <w:r>
        <w:t xml:space="preserve">References</w:t>
      </w:r>
    </w:p>
    <w:bookmarkStart w:id="59" w:name="refs"/>
    <w:bookmarkStart w:id="42" w:name="ref-atwoli_etal2022"/>
    <w:p>
      <w:pPr>
        <w:pStyle w:val="Bibliography"/>
      </w:pPr>
      <w:r>
        <w:t xml:space="preserve">Atwoli, Lukoye, Abdullah H. Baqui, Thomas Benfield, Raffaella Bosurgi, Fiona Godlee, Stephen Hancocks, Richard Horton, et al. 2022.</w:t>
      </w:r>
      <w:r>
        <w:t xml:space="preserve"> </w:t>
      </w:r>
      <w:r>
        <w:t xml:space="preserve">“Call for Emergency Action to Limit Global Temperature Increases, Restore Biodiversity, and Protect Health.”</w:t>
      </w:r>
      <w:r>
        <w:t xml:space="preserve"> </w:t>
      </w:r>
      <w:r>
        <w:rPr>
          <w:i/>
          <w:iCs/>
        </w:rPr>
        <w:t xml:space="preserve">The BMJ</w:t>
      </w:r>
      <w:r>
        <w:t xml:space="preserve"> </w:t>
      </w:r>
      <w:r>
        <w:t xml:space="preserve">376: o851.</w:t>
      </w:r>
      <w:r>
        <w:t xml:space="preserve"> </w:t>
      </w:r>
      <w:hyperlink r:id="rId41">
        <w:r>
          <w:rPr>
            <w:rStyle w:val="Hyperlink"/>
          </w:rPr>
          <w:t xml:space="preserve">https://doi.org/10.1136/bmj.o851</w:t>
        </w:r>
      </w:hyperlink>
      <w:r>
        <w:t xml:space="preserve">.</w:t>
      </w:r>
    </w:p>
    <w:bookmarkEnd w:id="42"/>
    <w:bookmarkStart w:id="44" w:name="ref-buchner2013"/>
    <w:p>
      <w:pPr>
        <w:pStyle w:val="Bibliography"/>
      </w:pPr>
      <w:r>
        <w:t xml:space="preserve">Büchner, Barbara, Martin Stadelmann, Jessica Wilkinson, Federico Mazza, Anja Rosenberg, and Dario Abramskiehn. 2013.</w:t>
      </w:r>
      <w:r>
        <w:t xml:space="preserve"> </w:t>
      </w:r>
      <w:r>
        <w:rPr>
          <w:i/>
          <w:iCs/>
        </w:rPr>
        <w:t xml:space="preserve">The Global Landscape of Climate Finance 2013</w:t>
      </w:r>
      <w:r>
        <w:t xml:space="preserve">. Climate Policy Initiative.</w:t>
      </w:r>
      <w:r>
        <w:t xml:space="preserve"> </w:t>
      </w:r>
      <w:hyperlink r:id="rId43">
        <w:r>
          <w:rPr>
            <w:rStyle w:val="Hyperlink"/>
          </w:rPr>
          <w:t xml:space="preserve">https://www.climatepolicyinitiative.org/publication/global-landscape-of-climate-finance-2013/</w:t>
        </w:r>
      </w:hyperlink>
      <w:r>
        <w:t xml:space="preserve">.</w:t>
      </w:r>
    </w:p>
    <w:bookmarkEnd w:id="44"/>
    <w:bookmarkStart w:id="46" w:name="ref-care_weber2023"/>
    <w:p>
      <w:pPr>
        <w:pStyle w:val="Bibliography"/>
      </w:pPr>
      <w:r>
        <w:t xml:space="preserve">Carè, Rosella, and Olaf Weber. 2023.</w:t>
      </w:r>
      <w:r>
        <w:t xml:space="preserve"> </w:t>
      </w:r>
      <w:r>
        <w:t xml:space="preserve">“How Much Finance Is in Climate Finance? A Bibliometric Review, Critiques, and Future Research Directions.”</w:t>
      </w:r>
      <w:r>
        <w:t xml:space="preserve"> </w:t>
      </w:r>
      <w:r>
        <w:rPr>
          <w:i/>
          <w:iCs/>
        </w:rPr>
        <w:t xml:space="preserve">Research in International Business and Finance</w:t>
      </w:r>
      <w:r>
        <w:t xml:space="preserve"> </w:t>
      </w:r>
      <w:r>
        <w:t xml:space="preserve">64: 101886.</w:t>
      </w:r>
      <w:r>
        <w:t xml:space="preserve"> </w:t>
      </w:r>
      <w:hyperlink r:id="rId45">
        <w:r>
          <w:rPr>
            <w:rStyle w:val="Hyperlink"/>
          </w:rPr>
          <w:t xml:space="preserve">https://doi.org/10.1016/j.ribaf.2023.101886</w:t>
        </w:r>
      </w:hyperlink>
      <w:r>
        <w:t xml:space="preserve">.</w:t>
      </w:r>
    </w:p>
    <w:bookmarkEnd w:id="46"/>
    <w:bookmarkStart w:id="48" w:name="ref-maria_etal2023"/>
    <w:p>
      <w:pPr>
        <w:pStyle w:val="Bibliography"/>
      </w:pPr>
      <w:r>
        <w:t xml:space="preserve">Maria, Mariana Reis, Rosangela Ballini, and Roney Fraga Souza. 2023.</w:t>
      </w:r>
      <w:r>
        <w:t xml:space="preserve"> </w:t>
      </w:r>
      <w:r>
        <w:t xml:space="preserve">“Evolution of Green Finance: A Bibliometric Analysis Through Complex Networks and Machine Learning.”</w:t>
      </w:r>
      <w:r>
        <w:t xml:space="preserve"> </w:t>
      </w:r>
      <w:r>
        <w:rPr>
          <w:i/>
          <w:iCs/>
        </w:rPr>
        <w:t xml:space="preserve">Sustainability</w:t>
      </w:r>
      <w:r>
        <w:t xml:space="preserve"> </w:t>
      </w:r>
      <w:r>
        <w:t xml:space="preserve">15 (2): 967.</w:t>
      </w:r>
      <w:r>
        <w:t xml:space="preserve"> </w:t>
      </w:r>
      <w:hyperlink r:id="rId47">
        <w:r>
          <w:rPr>
            <w:rStyle w:val="Hyperlink"/>
          </w:rPr>
          <w:t xml:space="preserve">https://doi.org/10.3390/su15020967</w:t>
        </w:r>
      </w:hyperlink>
      <w:r>
        <w:t xml:space="preserve">.</w:t>
      </w:r>
    </w:p>
    <w:bookmarkEnd w:id="48"/>
    <w:bookmarkStart w:id="50" w:name="ref-michaelowa2007"/>
    <w:p>
      <w:pPr>
        <w:pStyle w:val="Bibliography"/>
      </w:pPr>
      <w:r>
        <w:t xml:space="preserve">Michaelowa, Axel, and Katharina Michaelowa. 2007.</w:t>
      </w:r>
      <w:r>
        <w:t xml:space="preserve"> </w:t>
      </w:r>
      <w:r>
        <w:t xml:space="preserve">“Climate or Development: Is</w:t>
      </w:r>
      <w:r>
        <w:t xml:space="preserve"> </w:t>
      </w:r>
      <w:r>
        <w:t xml:space="preserve">ODA</w:t>
      </w:r>
      <w:r>
        <w:t xml:space="preserve"> </w:t>
      </w:r>
      <w:r>
        <w:t xml:space="preserve">Diverted from Its Original Purpose?”</w:t>
      </w:r>
      <w:r>
        <w:t xml:space="preserve"> </w:t>
      </w:r>
      <w:r>
        <w:rPr>
          <w:i/>
          <w:iCs/>
        </w:rPr>
        <w:t xml:space="preserve">Climatic Change</w:t>
      </w:r>
      <w:r>
        <w:t xml:space="preserve"> </w:t>
      </w:r>
      <w:r>
        <w:t xml:space="preserve">84 (1): 5–21.</w:t>
      </w:r>
      <w:r>
        <w:t xml:space="preserve"> </w:t>
      </w:r>
      <w:hyperlink r:id="rId49">
        <w:r>
          <w:rPr>
            <w:rStyle w:val="Hyperlink"/>
          </w:rPr>
          <w:t xml:space="preserve">https://doi.org/10.1007/s10584-007-9270-3</w:t>
        </w:r>
      </w:hyperlink>
      <w:r>
        <w:t xml:space="preserve">.</w:t>
      </w:r>
    </w:p>
    <w:bookmarkEnd w:id="50"/>
    <w:bookmarkStart w:id="52" w:name="ref-priem_etal2022"/>
    <w:p>
      <w:pPr>
        <w:pStyle w:val="Bibliography"/>
      </w:pPr>
      <w:r>
        <w:t xml:space="preserve">Priem, Jason, Heather Piwowar, and Richard Orr. 2022.</w:t>
      </w:r>
      <w:r>
        <w:t xml:space="preserve"> </w:t>
      </w:r>
      <w:r>
        <w:t xml:space="preserve">“</w:t>
      </w:r>
      <w:r>
        <w:t xml:space="preserve">OpenAlex</w:t>
      </w:r>
      <w:r>
        <w:t xml:space="preserve">: A Fully-Open Index of Scholarly Works, Authors, Venues, Institutions, and Concepts.”</w:t>
      </w:r>
      <w:r>
        <w:t xml:space="preserve"> </w:t>
      </w:r>
      <w:r>
        <w:rPr>
          <w:i/>
          <w:iCs/>
        </w:rPr>
        <w:t xml:space="preserve">ArXiv Preprint</w:t>
      </w:r>
      <w:r>
        <w:t xml:space="preserve">.</w:t>
      </w:r>
      <w:r>
        <w:t xml:space="preserve"> </w:t>
      </w:r>
      <w:hyperlink r:id="rId51">
        <w:r>
          <w:rPr>
            <w:rStyle w:val="Hyperlink"/>
          </w:rPr>
          <w:t xml:space="preserve">https://doi.org/10.48550/arXiv.2205.01833</w:t>
        </w:r>
      </w:hyperlink>
      <w:r>
        <w:t xml:space="preserve">.</w:t>
      </w:r>
    </w:p>
    <w:bookmarkEnd w:id="52"/>
    <w:bookmarkStart w:id="54" w:name="ref-roberts_weikmans2017"/>
    <w:p>
      <w:pPr>
        <w:pStyle w:val="Bibliography"/>
      </w:pPr>
      <w:r>
        <w:t xml:space="preserve">Roberts, J. Timmons, and Romain Weikmans. 2017.</w:t>
      </w:r>
      <w:r>
        <w:t xml:space="preserve"> </w:t>
      </w:r>
      <w:r>
        <w:t xml:space="preserve">“Postface: Fragmentation, Failing Trust and Enduring Tensions over What Counts as Climate Finance.”</w:t>
      </w:r>
      <w:r>
        <w:t xml:space="preserve"> </w:t>
      </w:r>
      <w:r>
        <w:rPr>
          <w:i/>
          <w:iCs/>
        </w:rPr>
        <w:t xml:space="preserve">International Environmental Agreements: Politics, Law and Economics</w:t>
      </w:r>
      <w:r>
        <w:t xml:space="preserve"> </w:t>
      </w:r>
      <w:r>
        <w:t xml:space="preserve">17 (1): 129–37.</w:t>
      </w:r>
      <w:r>
        <w:t xml:space="preserve"> </w:t>
      </w:r>
      <w:hyperlink r:id="rId53">
        <w:r>
          <w:rPr>
            <w:rStyle w:val="Hyperlink"/>
          </w:rPr>
          <w:t xml:space="preserve">https://doi.org/10.1007/s10784-016-9347-4</w:t>
        </w:r>
      </w:hyperlink>
      <w:r>
        <w:t xml:space="preserve">.</w:t>
      </w:r>
    </w:p>
    <w:bookmarkEnd w:id="54"/>
    <w:bookmarkStart w:id="56" w:name="ref-shang_jin2023"/>
    <w:p>
      <w:pPr>
        <w:pStyle w:val="Bibliography"/>
      </w:pPr>
      <w:r>
        <w:t xml:space="preserve">Shang, Qingyi, and Xin Jin. 2023.</w:t>
      </w:r>
      <w:r>
        <w:t xml:space="preserve"> </w:t>
      </w:r>
      <w:r>
        <w:t xml:space="preserve">“A Bibliometric Analysis on Climate Finance: Current Status and Future Directions.”</w:t>
      </w:r>
      <w:r>
        <w:t xml:space="preserve"> </w:t>
      </w:r>
      <w:r>
        <w:rPr>
          <w:i/>
          <w:iCs/>
        </w:rPr>
        <w:t xml:space="preserve">Environmental Science and Pollution Research</w:t>
      </w:r>
      <w:r>
        <w:t xml:space="preserve"> </w:t>
      </w:r>
      <w:r>
        <w:t xml:space="preserve">30 (57): 119711–32.</w:t>
      </w:r>
      <w:r>
        <w:t xml:space="preserve"> </w:t>
      </w:r>
      <w:hyperlink r:id="rId55">
        <w:r>
          <w:rPr>
            <w:rStyle w:val="Hyperlink"/>
          </w:rPr>
          <w:t xml:space="preserve">https://doi.org/10.1007/s11356-023-31006-5</w:t>
        </w:r>
      </w:hyperlink>
      <w:r>
        <w:t xml:space="preserve">.</w:t>
      </w:r>
    </w:p>
    <w:bookmarkEnd w:id="56"/>
    <w:bookmarkStart w:id="58" w:name="ref-weikmans_roberts2019"/>
    <w:p>
      <w:pPr>
        <w:pStyle w:val="Bibliography"/>
      </w:pPr>
      <w:r>
        <w:t xml:space="preserve">Weikmans, Romain, and J. Timmons Roberts. 2019.</w:t>
      </w:r>
      <w:r>
        <w:t xml:space="preserve"> </w:t>
      </w:r>
      <w:r>
        <w:t xml:space="preserve">“The International Climate Finance Accounting Muddle: Is There Hope on the Horizon?”</w:t>
      </w:r>
      <w:r>
        <w:t xml:space="preserve"> </w:t>
      </w:r>
      <w:r>
        <w:rPr>
          <w:i/>
          <w:iCs/>
        </w:rPr>
        <w:t xml:space="preserve">Climate and Development</w:t>
      </w:r>
      <w:r>
        <w:t xml:space="preserve"> </w:t>
      </w:r>
      <w:r>
        <w:t xml:space="preserve">11 (2): 97–111.</w:t>
      </w:r>
      <w:r>
        <w:t xml:space="preserve"> </w:t>
      </w:r>
      <w:hyperlink r:id="rId57">
        <w:r>
          <w:rPr>
            <w:rStyle w:val="Hyperlink"/>
          </w:rPr>
          <w:t xml:space="preserve">https://doi.org/10.1080/17565529.2017.1410087</w:t>
        </w:r>
      </w:hyperlink>
      <w:r>
        <w:t xml:space="preserve">.</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hyperlink" Id="rId49" Target="https://doi.org/10.1007/s10584-007-9270-3" TargetMode="External" /><Relationship Type="http://schemas.openxmlformats.org/officeDocument/2006/relationships/hyperlink" Id="rId53" Target="https://doi.org/10.1007/s10784-016-9347-4" TargetMode="External" /><Relationship Type="http://schemas.openxmlformats.org/officeDocument/2006/relationships/hyperlink" Id="rId55" Target="https://doi.org/10.1007/s11356-023-31006-5" TargetMode="External" /><Relationship Type="http://schemas.openxmlformats.org/officeDocument/2006/relationships/hyperlink" Id="rId45" Target="https://doi.org/10.1016/j.ribaf.2023.101886" TargetMode="External" /><Relationship Type="http://schemas.openxmlformats.org/officeDocument/2006/relationships/hyperlink" Id="rId57" Target="https://doi.org/10.1080/17565529.2017.1410087" TargetMode="External" /><Relationship Type="http://schemas.openxmlformats.org/officeDocument/2006/relationships/hyperlink" Id="rId41" Target="https://doi.org/10.1136/bmj.o851" TargetMode="External" /><Relationship Type="http://schemas.openxmlformats.org/officeDocument/2006/relationships/hyperlink" Id="rId47" Target="https://doi.org/10.3390/su15020967" TargetMode="External" /><Relationship Type="http://schemas.openxmlformats.org/officeDocument/2006/relationships/hyperlink" Id="rId51" Target="https://doi.org/10.48550/arXiv.2205.01833" TargetMode="External" /><Relationship Type="http://schemas.openxmlformats.org/officeDocument/2006/relationships/hyperlink" Id="rId20" Target="https://doi.org/10.5281/zenodo.19236130" TargetMode="External" /><Relationship Type="http://schemas.openxmlformats.org/officeDocument/2006/relationships/hyperlink" Id="rId43" Target="https://www.climatepolicyinitiative.org/publication/global-landscape-of-climate-finance-2013/" TargetMode="External" /></Relationships>
</file>

<file path=word/_rels/footnotes.xml.rels><?xml version="1.0" encoding="UTF-8"?><Relationships xmlns="http://schemas.openxmlformats.org/package/2006/relationships"><Relationship Type="http://schemas.openxmlformats.org/officeDocument/2006/relationships/hyperlink" Id="rId49" Target="https://doi.org/10.1007/s10584-007-9270-3" TargetMode="External" /><Relationship Type="http://schemas.openxmlformats.org/officeDocument/2006/relationships/hyperlink" Id="rId53" Target="https://doi.org/10.1007/s10784-016-9347-4" TargetMode="External" /><Relationship Type="http://schemas.openxmlformats.org/officeDocument/2006/relationships/hyperlink" Id="rId55" Target="https://doi.org/10.1007/s11356-023-31006-5" TargetMode="External" /><Relationship Type="http://schemas.openxmlformats.org/officeDocument/2006/relationships/hyperlink" Id="rId45" Target="https://doi.org/10.1016/j.ribaf.2023.101886" TargetMode="External" /><Relationship Type="http://schemas.openxmlformats.org/officeDocument/2006/relationships/hyperlink" Id="rId57" Target="https://doi.org/10.1080/17565529.2017.1410087" TargetMode="External" /><Relationship Type="http://schemas.openxmlformats.org/officeDocument/2006/relationships/hyperlink" Id="rId41" Target="https://doi.org/10.1136/bmj.o851" TargetMode="External" /><Relationship Type="http://schemas.openxmlformats.org/officeDocument/2006/relationships/hyperlink" Id="rId47" Target="https://doi.org/10.3390/su15020967" TargetMode="External" /><Relationship Type="http://schemas.openxmlformats.org/officeDocument/2006/relationships/hyperlink" Id="rId51" Target="https://doi.org/10.48550/arXiv.2205.01833" TargetMode="External" /><Relationship Type="http://schemas.openxmlformats.org/officeDocument/2006/relationships/hyperlink" Id="rId20" Target="https://doi.org/10.5281/zenodo.19236130" TargetMode="External" /><Relationship Type="http://schemas.openxmlformats.org/officeDocument/2006/relationships/hyperlink" Id="rId43" Target="https://www.climatepolicyinitiative.org/publication/global-landscape-of-climate-finance-20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Curated Corpus of Climate Finance Literature, 1990–2024: Six Sources, Multilingual Retrieval, and Grey Literature</dc:title>
  <dc:creator>Minh Ha-Duong</dc:creator>
  <cp:keywords/>
  <dcterms:created xsi:type="dcterms:W3CDTF">2026-03-26T16:49:49Z</dcterms:created>
  <dcterms:modified xsi:type="dcterms:W3CDTF">2026-03-26T16:49:49Z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data paper presents a curated, multilingual corpus of 31,713 works on climate finance published between 1990 and 2024. The dataset is assembled from 6 complementary sources that combine academic databases, institutional repositories, and grey literature, enabling broader coverage than single-source bibliometric studies. A multilingual retrieval strategy based on an eight-language keyword taxonomy is used to capture relevant works across linguistic contexts, while a reproducible pipeline integrates deduplication, metadata harmonisation, and quality filtering. The resulting corpus includes a citation network derived from Crossref and OpenAlex, as well as pre-computed multilingual embeddings to support cross-lingual analysis.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bibliography/main.bib</vt:lpwstr>
  </property>
  <property fmtid="{D5CDD505-2E9C-101B-9397-08002B2CF9AE}" pid="7" name="by-affiliation">
    <vt:lpwstr/>
  </property>
  <property fmtid="{D5CDD505-2E9C-101B-9397-08002B2CF9AE}" pid="8" name="by-author">
    <vt:lpwstr/>
  </property>
  <property fmtid="{D5CDD505-2E9C-101B-9397-08002B2CF9AE}" pid="9" name="cite_coverage_core_pct">
    <vt:lpwstr>83</vt:lpwstr>
  </property>
  <property fmtid="{D5CDD505-2E9C-101B-9397-08002B2CF9AE}" pid="10" name="cite_refined_coverage_pct">
    <vt:lpwstr>58</vt:lpwstr>
  </property>
  <property fmtid="{D5CDD505-2E9C-101B-9397-08002B2CF9AE}" pid="11" name="cite_refined_rows">
    <vt:lpwstr>835,455</vt:lpwstr>
  </property>
  <property fmtid="{D5CDD505-2E9C-101B-9397-08002B2CF9AE}" pid="12" name="cite_total_rows">
    <vt:lpwstr>968,871</vt:lpwstr>
  </property>
  <property fmtid="{D5CDD505-2E9C-101B-9397-08002B2CF9AE}" pid="13" name="corpus_core">
    <vt:lpwstr>2,648</vt:lpwstr>
  </property>
  <property fmtid="{D5CDD505-2E9C-101B-9397-08002B2CF9AE}" pid="14" name="corpus_core_threshold">
    <vt:lpwstr>50</vt:lpwstr>
  </property>
  <property fmtid="{D5CDD505-2E9C-101B-9397-08002B2CF9AE}" pid="15" name="corpus_multi_source">
    <vt:lpwstr>737</vt:lpwstr>
  </property>
  <property fmtid="{D5CDD505-2E9C-101B-9397-08002B2CF9AE}" pid="16" name="corpus_multi_source_pct">
    <vt:lpwstr>2.3</vt:lpwstr>
  </property>
  <property fmtid="{D5CDD505-2E9C-101B-9397-08002B2CF9AE}" pid="17" name="corpus_raw">
    <vt:lpwstr>42,922</vt:lpwstr>
  </property>
  <property fmtid="{D5CDD505-2E9C-101B-9397-08002B2CF9AE}" pid="18" name="corpus_removal_pct">
    <vt:lpwstr>26.1</vt:lpwstr>
  </property>
  <property fmtid="{D5CDD505-2E9C-101B-9397-08002B2CF9AE}" pid="19" name="corpus_sources">
    <vt:lpwstr>6</vt:lpwstr>
  </property>
  <property fmtid="{D5CDD505-2E9C-101B-9397-08002B2CF9AE}" pid="20" name="corpus_total">
    <vt:lpwstr>31,713</vt:lpwstr>
  </property>
  <property fmtid="{D5CDD505-2E9C-101B-9397-08002B2CF9AE}" pid="21" name="corpus_with_embeddings">
    <vt:lpwstr>38,479</vt:lpwstr>
  </property>
  <property fmtid="{D5CDD505-2E9C-101B-9397-08002B2CF9AE}" pid="22" name="date">
    <vt:lpwstr>2026-03-26</vt:lpwstr>
  </property>
  <property fmtid="{D5CDD505-2E9C-101B-9397-08002B2CF9AE}" pid="23" name="emb_dimensions">
    <vt:lpwstr>1024</vt:lpwstr>
  </property>
  <property fmtid="{D5CDD505-2E9C-101B-9397-08002B2CF9AE}" pid="24" name="filter_citation_isolated">
    <vt:lpwstr>5,632</vt:lpwstr>
  </property>
  <property fmtid="{D5CDD505-2E9C-101B-9397-08002B2CF9AE}" pid="25" name="filter_flagged">
    <vt:lpwstr>13,050</vt:lpwstr>
  </property>
  <property fmtid="{D5CDD505-2E9C-101B-9397-08002B2CF9AE}" pid="26" name="filter_llm_irrelevant">
    <vt:lpwstr>4,831</vt:lpwstr>
  </property>
  <property fmtid="{D5CDD505-2E9C-101B-9397-08002B2CF9AE}" pid="27" name="filter_missing_metadata">
    <vt:lpwstr>753</vt:lpwstr>
  </property>
  <property fmtid="{D5CDD505-2E9C-101B-9397-08002B2CF9AE}" pid="28" name="filter_net_removals">
    <vt:lpwstr>11,186</vt:lpwstr>
  </property>
  <property fmtid="{D5CDD505-2E9C-101B-9397-08002B2CF9AE}" pid="29" name="filter_no_abstract">
    <vt:lpwstr>2,447</vt:lpwstr>
  </property>
  <property fmtid="{D5CDD505-2E9C-101B-9397-08002B2CF9AE}" pid="30" name="filter_protected">
    <vt:lpwstr>1,863</vt:lpwstr>
  </property>
  <property fmtid="{D5CDD505-2E9C-101B-9397-08002B2CF9AE}" pid="31" name="filter_title_blacklist">
    <vt:lpwstr>423</vt:lpwstr>
  </property>
  <property fmtid="{D5CDD505-2E9C-101B-9397-08002B2CF9AE}" pid="32" name="header-includes">
    <vt:lpwstr/>
  </property>
  <property fmtid="{D5CDD505-2E9C-101B-9397-08002B2CF9AE}" pid="33" name="include-after">
    <vt:lpwstr/>
  </property>
  <property fmtid="{D5CDD505-2E9C-101B-9397-08002B2CF9AE}" pid="34" name="include-before">
    <vt:lpwstr/>
  </property>
  <property fmtid="{D5CDD505-2E9C-101B-9397-08002B2CF9AE}" pid="35" name="labels">
    <vt:lpwstr/>
  </property>
  <property fmtid="{D5CDD505-2E9C-101B-9397-08002B2CF9AE}" pid="36" name="lang_english_pct">
    <vt:lpwstr>93.1</vt:lpwstr>
  </property>
  <property fmtid="{D5CDD505-2E9C-101B-9397-08002B2CF9AE}" pid="37" name="openalex_pct">
    <vt:lpwstr>95.1</vt:lpwstr>
  </property>
  <property fmtid="{D5CDD505-2E9C-101B-9397-08002B2CF9AE}" pid="38" name="toc-title">
    <vt:lpwstr>Table of contents</vt:lpwstr>
  </property>
</Properties>
</file>