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3864"/>
          <w:sz w:val="40"/>
          <w:szCs w:val="40"/>
        </w:rPr>
        <w:t xml:space="preserve">MÔ HÌNH THÔNG TIN CÔNG TRÌNH</w:t>
      </w:r>
    </w:p>
    <w:p>
      <w:pPr>
        <w:spacing w:after="0"/>
        <w:jc w:val="center"/>
      </w:pPr>
      <w:r>
        <w:rPr>
          <w:b/>
          <w:bCs/>
          <w:color w:val="1F3864"/>
          <w:sz w:val="32"/>
          <w:szCs w:val="32"/>
        </w:rPr>
        <w:t xml:space="preserve">CHO QUẢN LÝ TÀI SẢN &amp; BẢN SAO SỐ (BIM–AM / Digital Twin)</w:t>
      </w:r>
    </w:p>
    <w:p>
      <w:pPr>
        <w:spacing w:after="0" w:before="240"/>
        <w:jc w:val="center"/>
      </w:pPr>
      <w:r>
        <w:rPr>
          <w:b/>
          <w:bCs/>
          <w:color w:val="2E75B6"/>
          <w:sz w:val="48"/>
          <w:szCs w:val="48"/>
        </w:rPr>
        <w:t xml:space="preserve">QUY ĐỊNH BIM PIPELINE CHUYỂN GIAO</w:t>
      </w:r>
    </w:p>
    <w:p>
      <w:pPr>
        <w:spacing w:after="0" w:before="120"/>
        <w:jc w:val="center"/>
      </w:pPr>
      <w:r>
        <w:rPr>
          <w:color w:val="404040"/>
          <w:sz w:val="32"/>
          <w:szCs w:val="32"/>
        </w:rPr>
        <w:t xml:space="preserve">Tiêu chuẩn &amp; Hướng dẫn</w:t>
      </w:r>
    </w:p>
    <w:p>
      <w:pPr>
        <w:spacing w:after="0" w:before="1600"/>
        <w:jc w:val="center"/>
      </w:pPr>
      <w:r>
        <w:rPr>
          <w:b/>
          <w:bCs/>
          <w:sz w:val="28"/>
          <w:szCs w:val="28"/>
        </w:rPr>
        <w:t xml:space="preserve">Phiên bản 1.0</w:t>
      </w:r>
    </w:p>
    <w:p>
      <w:pPr>
        <w:spacing w:before="80"/>
        <w:jc w:val="center"/>
      </w:pPr>
      <w:r>
        <w:rPr>
          <w:color w:val="404040"/>
          <w:sz w:val="24"/>
          <w:szCs w:val="24"/>
        </w:rPr>
        <w:t xml:space="preserve">Ấn bản 2026</w:t>
      </w:r>
    </w:p>
    <w:p>
      <w:pPr>
        <w:pBdr>
          <w:top w:val="single" w:color="2E75B6" w:sz="8" w:space="8"/>
        </w:pBdr>
        <w:spacing w:before="2000"/>
        <w:jc w:val="center"/>
      </w:pPr>
      <w:r>
        <w:rPr>
          <w:b/>
          <w:bCs/>
          <w:color w:val="1F3864"/>
          <w:sz w:val="24"/>
          <w:szCs w:val="24"/>
        </w:rPr>
        <w:t xml:space="preserve">CHỦ ĐẦU TƯ (CĐT)</w:t>
      </w:r>
    </w:p>
    <w:p>
      <w:r>
        <w:br w:type="page"/>
      </w:r>
    </w:p>
    <w:p>
      <w:pPr>
        <w:pStyle w:val="Heading1"/>
      </w:pPr>
      <w:r>
        <w:t xml:space="preserve">Theo dõi phiên bản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Phiên bản tài liệu</w:t>
            </w:r>
          </w:p>
        </w:tc>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Ngày ban hành</w:t>
            </w:r>
          </w:p>
        </w:tc>
        <w:tc>
          <w:tcPr>
            <w:tcW w:type="dxa" w:w="45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chính</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Phiên bản 1.0</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Tháng 6 năm 2026</w:t>
            </w:r>
          </w:p>
        </w:tc>
        <w:tc>
          <w:tcPr>
            <w:tcW w:type="dxa" w:w="4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Ban hành lần đầu — thiết lập khung BIM Pipeline chuyển giao cho Digital Twin theo chuẩn quốc tế.</w:t>
            </w:r>
          </w:p>
        </w:tc>
      </w:tr>
    </w:tbl>
    <w:p>
      <w:pPr>
        <w:spacing w:after="60"/>
      </w:pPr>
      <w:r>
        <w:t xml:space="preserve"/>
      </w:r>
    </w:p>
    <w:p>
      <w:pPr>
        <w:spacing w:after="120" w:line="276"/>
        <w:jc w:val="both"/>
      </w:pPr>
      <w:r>
        <w:t xml:space="preserve">Mọi thắc mắc liên quan đến tài liệu này, vui lòng liên hệ bộ phận hỗ trợ BIM–AM của Chủ đầu tư (CĐT).</w:t>
      </w:r>
    </w:p>
    <w:p>
      <w:pPr>
        <w:spacing w:after="120" w:line="276"/>
        <w:jc w:val="both"/>
      </w:pPr>
      <w:r>
        <w:rPr>
          <w:i/>
          <w:iCs/>
          <w:sz w:val="18"/>
          <w:szCs w:val="18"/>
        </w:rPr>
        <w:t xml:space="preserve">© Bản quyền 2026 thuộc về Chủ đầu tư (CĐT). Bảo lưu mọi quyền. Không phần nào của ấn phẩm này được phép sao chép, phân phối hoặc truyền tải dưới bất kỳ hình thức hay phương tiện nào, bao gồm photocopy, ghi âm hoặc các phương pháp điện tử/cơ học khác, mà không có sự cho phép trước bằng văn bản của đơn vị xuất bản, trừ trường hợp trích dẫn ngắn trong các bài bình luận và một số sử dụng phi thương mại khác được pháp luật về bản quyền cho phép.</w:t>
      </w:r>
    </w:p>
    <w:p>
      <w:r>
        <w:br w:type="page"/>
      </w:r>
    </w:p>
    <w:p>
      <w:pPr>
        <w:spacing w:after="200"/>
      </w:pPr>
      <w:r>
        <w:rPr>
          <w:b/>
          <w:bCs/>
          <w:color w:val="1F3864"/>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Danh mục thuật ngữ &amp; từ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Thuật ngữ</w:t>
            </w:r>
          </w:p>
        </w:tc>
        <w:tc>
          <w:tcPr>
            <w:tcW w:type="dxa" w:w="71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Giải nghĩa</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BIM</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Building Information Modelling — Mô hình thông tin công trình.</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BIM–AM</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BIM for Asset Management — BIM phục vụ quản lý tài sản.</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Digital Twin</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Bản sao số — mô hình số đồng bộ dữ liệu vận hành thời gian thực với tài sản vật lý.</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BEP</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BIM Execution Plan — Kế hoạch triển khai BIM.</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CDE</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Common Data Environment — Môi trường dữ liệu chung (tuân thủ ISO 19650).</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PIM</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Project Information Model — Mô hình thông tin dự án (giai đoạn thiết kế/thi công).</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AIM</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Asset Information Model — Mô hình thông tin tài sản (giai đoạn vận hành).</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AIMP</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Asset Information Management Platform — Nền tảng quản lý thông tin tài sản của CĐT.</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ADT</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Asset Data Template — Bảng mẫu dữ liệu tài sản.</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AIR</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Asset Information Requirement — Yêu cầu thông tin tài sản.</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LOIN</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Level of Information Need — Mức độ thông tin cần thiết.</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LOD-G / LOD-I</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Mức độ chi tiết hình học (Geometry) / mức độ phong phú dữ liệu (Information).</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COBie / COBieLite</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Construction Operations Building Information exchange — chuẩn trao đổi thông tin chuyển giao; COBieLite là bản XML rút gọn.</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IFC</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Industry Foundation Classes — định dạng mở trao đổi BIM (yêu cầu IFC4).</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E&amp;M</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Electrical &amp; Mechanical — cơ điện.</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DLP</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Defect Liability Period — Thời hạn bảo hành/khắc phục khiếm khuyết.</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RFID / QR</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Nhận dạng tần số vô tuyến / mã phản hồi nhanh — dùng định danh tài sản.</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Nhà thầu</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Bên được giao/ký hợp đồng thực hiện công việc theo bộ quy định này.</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Tư vấn</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Bên được chỉ định cung cấp dịch vụ trong phạm vi bộ quy định này.</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Đội Dự án (PT)</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Đội thực hiện và giám sát dự án của CĐT, kiểm tra tuân thủ và chất lượng công việc.</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Đội O&amp;M</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Đội vận hành &amp; bảo trì của CĐT.</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Thiết bị Cấp 1 / Cấp 2</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Hệ thống/thiết bị E&amp;M cấp 1 và thiết bị trọng yếu cấp 2 phục vụ quản lý tài sản.</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Mô hình hợp nhất</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Mô hình liên kết các mô hình thành phần mà không làm mất tính toàn vẹn của từng mô hình.</w:t>
            </w:r>
          </w:p>
        </w:tc>
      </w:tr>
    </w:tbl>
    <w:p>
      <w:r>
        <w:br w:type="page"/>
      </w:r>
    </w:p>
    <w:p>
      <w:pPr>
        <w:pStyle w:val="Heading1"/>
      </w:pPr>
      <w:r>
        <w:t xml:space="preserve">1. Giới thiệu</w:t>
      </w:r>
    </w:p>
    <w:p>
      <w:pPr>
        <w:pStyle w:val="Heading2"/>
      </w:pPr>
      <w:r>
        <w:t xml:space="preserve">1.1 Tổng quan</w:t>
      </w:r>
    </w:p>
    <w:p>
      <w:pPr>
        <w:spacing w:after="120" w:line="276"/>
        <w:jc w:val="both"/>
      </w:pPr>
      <w:r>
        <w:t xml:space="preserve">Quy định BIM Pipeline Chuyển giao cho Digital Twin — Tiêu chuẩn &amp; Hướng dẫn (sau đây gọi là “Quy định BIM–AM”) tổng hợp các yêu cầu thông tin theo vòng đời tài sản của Chủ đầu tư (CĐT). Quy định BIM–AM đưa ra tiêu chuẩn mô hình hoá BIM, tiêu chuẩn mã hoá và yêu cầu thông tin cho các hệ thống và tài sản cơ điện (E&amp;M) từ giai đoạn thi công đến khi bàn giao cho vận hành công trình, áp dụng cho các bên (sau đây gọi là “Nhà thầu”) thực hiện dự án của CĐT. Các bảng mẫu liên quan được xây dựng dựa trên các yêu cầu này.</w:t>
      </w:r>
    </w:p>
    <w:p>
      <w:pPr>
        <w:spacing w:after="120" w:line="276"/>
        <w:jc w:val="both"/>
      </w:pPr>
      <w:r>
        <w:t xml:space="preserve">Trong giai đoạn thiết kế và thi công, BIM được dùng làm công cụ trực quan hoá và phối hợp thiết kế. Đồng thời, thông tin tài sản phải được bồi đắp dần trong Mô hình Thông tin Dự án (PIM) để đến cuối giai đoạn thi công, mô hình BIM trở thành Mô hình Thông tin Tài sản (AIM) phục vụ bàn giao cho quản lý tài sản. Quy định BIM–AM hướng dẫn cụ thể thông tin nào cần đưa vào và cách thức quản lý, nhằm cung cấp tiêu chuẩn cho BIM hoàn công và thông tin tài sản tại thời điểm bàn giao, tương thích với hệ thống Digital Twin của CĐT.</w:t>
      </w:r>
    </w:p>
    <w:p>
      <w:pPr>
        <w:pStyle w:val="Heading3"/>
      </w:pPr>
      <w:r>
        <w:t xml:space="preserve">1.1.1 Mục tiêu</w:t>
      </w:r>
    </w:p>
    <w:p>
      <w:pPr>
        <w:spacing w:after="120" w:line="276"/>
        <w:jc w:val="both"/>
      </w:pPr>
      <w:r>
        <w:t xml:space="preserve">Quy định BIM–AM hướng đến các mục tiêu sau:</w:t>
      </w:r>
    </w:p>
    <w:p>
      <w:pPr>
        <w:pStyle w:val="ListParagraph"/>
        <w:numPr>
          <w:ilvl w:val="0"/>
          <w:numId w:val="2"/>
        </w:numPr>
        <w:spacing w:after="80" w:line="264"/>
        <w:jc w:val="both"/>
      </w:pPr>
      <w:r>
        <w:t xml:space="preserve">Chuẩn hoá mã hoá hệ thống, phân hệ và thiết bị E&amp;M;</w:t>
      </w:r>
    </w:p>
    <w:p>
      <w:pPr>
        <w:pStyle w:val="ListParagraph"/>
        <w:numPr>
          <w:ilvl w:val="0"/>
          <w:numId w:val="2"/>
        </w:numPr>
        <w:spacing w:after="80" w:line="264"/>
        <w:jc w:val="both"/>
      </w:pPr>
      <w:r>
        <w:t xml:space="preserve">Xác định yêu cầu thông tin cho thiết bị E&amp;M cần nhập vào mô hình BIM;</w:t>
      </w:r>
    </w:p>
    <w:p>
      <w:pPr>
        <w:pStyle w:val="ListParagraph"/>
        <w:numPr>
          <w:ilvl w:val="0"/>
          <w:numId w:val="2"/>
        </w:numPr>
        <w:spacing w:after="80" w:line="264"/>
        <w:jc w:val="both"/>
      </w:pPr>
      <w:r>
        <w:t xml:space="preserve">Quy định yêu cầu mô hình hoá, thiết lập dự án, thiết lập E&amp;M và phong cách trình bày;</w:t>
      </w:r>
    </w:p>
    <w:p>
      <w:pPr>
        <w:pStyle w:val="ListParagraph"/>
        <w:numPr>
          <w:ilvl w:val="0"/>
          <w:numId w:val="2"/>
        </w:numPr>
        <w:spacing w:after="80" w:line="264"/>
        <w:jc w:val="both"/>
      </w:pPr>
      <w:r>
        <w:t xml:space="preserve">Được xây dựng dựa trên các tiêu chuẩn quốc tế đã được công nhận.</w:t>
      </w:r>
    </w:p>
    <w:p>
      <w:pPr>
        <w:pStyle w:val="Heading3"/>
      </w:pPr>
      <w:r>
        <w:t xml:space="preserve">1.1.2 Cơ sở tham chiếu</w:t>
      </w:r>
    </w:p>
    <w:p>
      <w:pPr>
        <w:spacing w:after="120" w:line="276"/>
        <w:jc w:val="both"/>
      </w:pPr>
      <w:r>
        <w:t xml:space="preserve">Quy định BIM–AM được xây dựng phù hợp và tham chiếu tới các tiêu chuẩn, hướng dẫn sau:</w:t>
      </w:r>
    </w:p>
    <w:p>
      <w:pPr>
        <w:pStyle w:val="ListParagraph"/>
        <w:numPr>
          <w:ilvl w:val="0"/>
          <w:numId w:val="2"/>
        </w:numPr>
        <w:spacing w:after="80" w:line="264"/>
        <w:jc w:val="both"/>
      </w:pPr>
      <w:r>
        <w:t xml:space="preserve">BS EN ISO 19650 (các phần 1–5) về quản lý thông tin theo BIM;</w:t>
      </w:r>
    </w:p>
    <w:p>
      <w:pPr>
        <w:pStyle w:val="ListParagraph"/>
        <w:numPr>
          <w:ilvl w:val="0"/>
          <w:numId w:val="2"/>
        </w:numPr>
        <w:spacing w:after="80" w:line="264"/>
        <w:jc w:val="both"/>
      </w:pPr>
      <w:r>
        <w:t xml:space="preserve">Các chuẩn sản xuất đối tượng BIM và chuẩn BIM tổng quát cho hệ MEP;</w:t>
      </w:r>
    </w:p>
    <w:p>
      <w:pPr>
        <w:pStyle w:val="ListParagraph"/>
        <w:numPr>
          <w:ilvl w:val="0"/>
          <w:numId w:val="2"/>
        </w:numPr>
        <w:spacing w:after="80" w:line="264"/>
        <w:jc w:val="both"/>
      </w:pPr>
      <w:r>
        <w:t xml:space="preserve">Chuẩn trao đổi thông tin chuyển giao COBie / COBieLite;</w:t>
      </w:r>
    </w:p>
    <w:p>
      <w:pPr>
        <w:pStyle w:val="ListParagraph"/>
        <w:numPr>
          <w:ilvl w:val="0"/>
          <w:numId w:val="2"/>
        </w:numPr>
        <w:spacing w:after="80" w:line="264"/>
        <w:jc w:val="both"/>
      </w:pPr>
      <w:r>
        <w:t xml:space="preserve">Định dạng mở Industry Foundation Classes (IFC) phiên bản 4 (IFC4).</w:t>
      </w:r>
    </w:p>
    <w:p>
      <w:pPr>
        <w:pStyle w:val="Heading2"/>
      </w:pPr>
      <w:r>
        <w:t xml:space="preserve">1.2 Phạm vi &amp; đối tượng áp dụng</w:t>
      </w:r>
    </w:p>
    <w:p>
      <w:pPr>
        <w:spacing w:after="120" w:line="276"/>
        <w:jc w:val="both"/>
      </w:pPr>
      <w:r>
        <w:t xml:space="preserve">Quy định BIM–AM giúp tất cả các bên làm việc với CĐT hiểu rõ yêu cầu BIM–AM, bao gồm:</w:t>
      </w:r>
    </w:p>
    <w:p>
      <w:pPr>
        <w:pStyle w:val="ListParagraph"/>
        <w:numPr>
          <w:ilvl w:val="0"/>
          <w:numId w:val="2"/>
        </w:numPr>
        <w:spacing w:after="80" w:line="264"/>
        <w:jc w:val="both"/>
      </w:pPr>
      <w:r>
        <w:t xml:space="preserve">Quy định yêu cầu mô hình hoá, thiết lập dự án, thiết lập E&amp;M và phong cách trình bày;</w:t>
      </w:r>
    </w:p>
    <w:p>
      <w:pPr>
        <w:pStyle w:val="ListParagraph"/>
        <w:numPr>
          <w:ilvl w:val="0"/>
          <w:numId w:val="2"/>
        </w:numPr>
        <w:spacing w:after="80" w:line="264"/>
        <w:jc w:val="both"/>
      </w:pPr>
      <w:r>
        <w:t xml:space="preserve">Chuẩn hoá mã hoá hệ thống, phân hệ và thiết bị E&amp;M;</w:t>
      </w:r>
    </w:p>
    <w:p>
      <w:pPr>
        <w:pStyle w:val="ListParagraph"/>
        <w:numPr>
          <w:ilvl w:val="0"/>
          <w:numId w:val="2"/>
        </w:numPr>
        <w:spacing w:after="80" w:line="264"/>
        <w:jc w:val="both"/>
      </w:pPr>
      <w:r>
        <w:t xml:space="preserve">Xác định yêu cầu thông tin cho thiết bị E&amp;M cần nhập vào mô hình BIM;</w:t>
      </w:r>
    </w:p>
    <w:p>
      <w:pPr>
        <w:pStyle w:val="ListParagraph"/>
        <w:numPr>
          <w:ilvl w:val="0"/>
          <w:numId w:val="2"/>
        </w:numPr>
        <w:spacing w:after="80" w:line="264"/>
        <w:jc w:val="both"/>
      </w:pPr>
      <w:r>
        <w:t xml:space="preserve">Quy định giao thức trao đổi thông tin chuẩn bị cho quá trình bàn giao và nghiệm thu;</w:t>
      </w:r>
    </w:p>
    <w:p>
      <w:pPr>
        <w:pStyle w:val="ListParagraph"/>
        <w:numPr>
          <w:ilvl w:val="0"/>
          <w:numId w:val="2"/>
        </w:numPr>
        <w:spacing w:after="80" w:line="264"/>
        <w:jc w:val="both"/>
      </w:pPr>
      <w:r>
        <w:t xml:space="preserve">Chuẩn bị thông tin BIM phục vụ quản lý tài sản (BIM–AM) và vận hành Digital Twin;</w:t>
      </w:r>
    </w:p>
    <w:p>
      <w:pPr>
        <w:pStyle w:val="ListParagraph"/>
        <w:numPr>
          <w:ilvl w:val="0"/>
          <w:numId w:val="2"/>
        </w:numPr>
        <w:spacing w:after="80" w:line="264"/>
        <w:jc w:val="both"/>
      </w:pPr>
      <w:r>
        <w:t xml:space="preserve">Áp dụng các phương pháp chuẩn hoá trong Kế hoạch triển khai BIM (BEP).</w:t>
      </w:r>
    </w:p>
    <w:p>
      <w:pPr>
        <w:pStyle w:val="Heading2"/>
      </w:pPr>
      <w:r>
        <w:t xml:space="preserve">1.3 Cấu trúc tài liệu</w:t>
      </w:r>
    </w:p>
    <w:p>
      <w:pPr>
        <w:spacing w:after="120" w:line="276"/>
        <w:jc w:val="both"/>
      </w:pPr>
      <w:r>
        <w:t xml:space="preserve">Quy định BIM–AM gồm các phần sau:</w:t>
      </w:r>
    </w:p>
    <w:p>
      <w:pPr>
        <w:pStyle w:val="ListParagraph"/>
        <w:numPr>
          <w:ilvl w:val="0"/>
          <w:numId w:val="3"/>
        </w:numPr>
        <w:spacing w:after="80" w:line="264"/>
        <w:jc w:val="both"/>
      </w:pPr>
      <w:r>
        <w:t xml:space="preserve">Giới thiệu;</w:t>
      </w:r>
    </w:p>
    <w:p>
      <w:pPr>
        <w:pStyle w:val="ListParagraph"/>
        <w:numPr>
          <w:ilvl w:val="0"/>
          <w:numId w:val="3"/>
        </w:numPr>
        <w:spacing w:after="80" w:line="264"/>
        <w:jc w:val="both"/>
      </w:pPr>
      <w:r>
        <w:t xml:space="preserve">Tiêu chuẩn mô hình hoá BIM: hướng dẫn sơ bộ thiết lập dự án BIM với nội dung BIM–AM yêu cầu;</w:t>
      </w:r>
    </w:p>
    <w:p>
      <w:pPr>
        <w:pStyle w:val="ListParagraph"/>
        <w:numPr>
          <w:ilvl w:val="0"/>
          <w:numId w:val="3"/>
        </w:numPr>
        <w:spacing w:after="80" w:line="264"/>
        <w:jc w:val="both"/>
      </w:pPr>
      <w:r>
        <w:t xml:space="preserve">Tạo lập đối tượng BIM: thiết lập tiêu chuẩn tạo đối tượng theo yêu cầu BIM–AM của CĐT;</w:t>
      </w:r>
    </w:p>
    <w:p>
      <w:pPr>
        <w:pStyle w:val="ListParagraph"/>
        <w:numPr>
          <w:ilvl w:val="0"/>
          <w:numId w:val="3"/>
        </w:numPr>
        <w:spacing w:after="80" w:line="264"/>
        <w:jc w:val="both"/>
      </w:pPr>
      <w:r>
        <w:t xml:space="preserve">Tạo lập mô hình BIM: thiết lập tiêu chuẩn tạo mô hình, bao gồm chiến lược hợp nhất và phương pháp mô hình hoá hệ thống;</w:t>
      </w:r>
    </w:p>
    <w:p>
      <w:pPr>
        <w:pStyle w:val="ListParagraph"/>
        <w:numPr>
          <w:ilvl w:val="0"/>
          <w:numId w:val="3"/>
        </w:numPr>
        <w:spacing w:after="80" w:line="264"/>
        <w:jc w:val="both"/>
      </w:pPr>
      <w:r>
        <w:t xml:space="preserve">Hệ thống mã hoá &amp; đánh số tài sản: nguyên tắc mã hoá cho khu vực, bộ môn và tài sản;</w:t>
      </w:r>
    </w:p>
    <w:p>
      <w:pPr>
        <w:pStyle w:val="ListParagraph"/>
        <w:numPr>
          <w:ilvl w:val="0"/>
          <w:numId w:val="3"/>
        </w:numPr>
        <w:spacing w:after="80" w:line="264"/>
        <w:jc w:val="both"/>
      </w:pPr>
      <w:r>
        <w:t xml:space="preserve">Yêu cầu thông tin tài sản: cách thiết lập mô hình BIM để cung cấp thông tin tài sản cho quản lý và bảo trì;</w:t>
      </w:r>
    </w:p>
    <w:p>
      <w:pPr>
        <w:pStyle w:val="ListParagraph"/>
        <w:numPr>
          <w:ilvl w:val="0"/>
          <w:numId w:val="3"/>
        </w:numPr>
        <w:spacing w:after="80" w:line="264"/>
        <w:jc w:val="both"/>
      </w:pPr>
      <w:r>
        <w:t xml:space="preserve">Giao tiếp/tích hợp hệ thống Digital Twin với các hệ thống khác: bao gồm đầu đọc RFID, hệ CCTV và yêu cầu mã hoá thẻ tài sản;</w:t>
      </w:r>
    </w:p>
    <w:p>
      <w:pPr>
        <w:pStyle w:val="ListParagraph"/>
        <w:numPr>
          <w:ilvl w:val="0"/>
          <w:numId w:val="3"/>
        </w:numPr>
        <w:spacing w:after="80" w:line="264"/>
        <w:jc w:val="both"/>
      </w:pPr>
      <w:r>
        <w:t xml:space="preserve">Quy trình CDE: cách thức tích hợp thông tin BIM–AM vào Môi trường Dữ liệu Chung (CDE);</w:t>
      </w:r>
    </w:p>
    <w:p>
      <w:pPr>
        <w:pStyle w:val="ListParagraph"/>
        <w:numPr>
          <w:ilvl w:val="0"/>
          <w:numId w:val="3"/>
        </w:numPr>
        <w:spacing w:after="80" w:line="264"/>
        <w:jc w:val="both"/>
      </w:pPr>
      <w:r>
        <w:t xml:space="preserve">Bàn giao &amp; nghiệm thu: các nhiệm vụ và tài liệu bàn giao cần thiết để chuyển giao thông tin từ Nhà thầu cho CĐT.</w:t>
      </w:r>
    </w:p>
    <w:p>
      <w:r>
        <w:br w:type="page"/>
      </w:r>
    </w:p>
    <w:p>
      <w:pPr>
        <w:pStyle w:val="Heading1"/>
      </w:pPr>
      <w:r>
        <w:t xml:space="preserve">2. Tiêu chuẩn mô hình hoá BIM</w:t>
      </w:r>
    </w:p>
    <w:p>
      <w:pPr>
        <w:pStyle w:val="Heading2"/>
      </w:pPr>
      <w:r>
        <w:t xml:space="preserve">2.1 Phần mềm BIM tham chiếu</w:t>
      </w:r>
    </w:p>
    <w:p>
      <w:pPr>
        <w:spacing w:after="120" w:line="276"/>
        <w:jc w:val="both"/>
      </w:pPr>
      <w:r>
        <w:t xml:space="preserve">Quy định BIM–AM lấy Autodesk Revit và nền tảng Digital Twin mở làm ví dụ minh hoạ. Các phần mềm khác đáp ứng yêu cầu đều có thể được sử dụng nhằm bảo đảm tính mở. Phiên bản phần mềm tạo lập BIM cụ thể phải được Đội Dự án (PT) của CĐT thống nhất.</w:t>
      </w:r>
    </w:p>
    <w:p>
      <w:pPr>
        <w:spacing w:after="120" w:line="276"/>
        <w:jc w:val="both"/>
      </w:pPr>
      <w:r>
        <w:t xml:space="preserve">Nếu đề xuất nền tảng phần mềm khác trong dự án, phần mềm đó phải tuân thủ:</w:t>
      </w:r>
    </w:p>
    <w:p>
      <w:pPr>
        <w:pStyle w:val="ListParagraph"/>
        <w:numPr>
          <w:ilvl w:val="0"/>
          <w:numId w:val="2"/>
        </w:numPr>
        <w:spacing w:after="80" w:line="264"/>
        <w:jc w:val="both"/>
      </w:pPr>
      <w:r>
        <w:t xml:space="preserve">Định dạng tệp Industry Foundation Classes (IFC) phiên bản 4 (IFC4);</w:t>
      </w:r>
    </w:p>
    <w:p>
      <w:pPr>
        <w:pStyle w:val="ListParagraph"/>
        <w:numPr>
          <w:ilvl w:val="0"/>
          <w:numId w:val="2"/>
        </w:numPr>
        <w:spacing w:after="80" w:line="264"/>
        <w:jc w:val="both"/>
      </w:pPr>
      <w:r>
        <w:t xml:space="preserve">Phần mềm cộng tác thương mại có sẵn cung cấp khả năng tương tác giữa các ứng dụng khác nhau;</w:t>
      </w:r>
    </w:p>
    <w:p>
      <w:pPr>
        <w:pStyle w:val="ListParagraph"/>
        <w:numPr>
          <w:ilvl w:val="0"/>
          <w:numId w:val="2"/>
        </w:numPr>
        <w:spacing w:after="80" w:line="264"/>
        <w:jc w:val="both"/>
      </w:pPr>
      <w:r>
        <w:t xml:space="preserve">Khả năng mang theo và xuất toàn bộ thông tin tài sản E&amp;M mô tả tại Mục 6.</w:t>
      </w:r>
    </w:p>
    <w:p>
      <w:pPr>
        <w:pStyle w:val="Heading2"/>
      </w:pPr>
      <w:r>
        <w:t xml:space="preserve">2.2 Quy trình mô hình hoá BIM</w:t>
      </w:r>
    </w:p>
    <w:p>
      <w:pPr>
        <w:spacing w:after="120" w:line="276"/>
        <w:jc w:val="both"/>
      </w:pPr>
      <w:r>
        <w:t xml:space="preserve">Quy trình mô hình hoá BIM tổng thể của CĐT gồm: tạo template mô hình BIM, cấu trúc hợp nhất, tạo lập đối tượng BIM, tạo lập mô hình BIM và rà soát mô hình BIM. Mô hình BIM phải được tạo lập từ các đối tượng BIM phù hợp tiêu chuẩn, sau đó tiến hành rà soát kiểm tra chất lượng.</w:t>
      </w:r>
    </w:p>
    <w:p>
      <w:pPr>
        <w:spacing w:after="120" w:line="276"/>
        <w:jc w:val="both"/>
      </w:pPr>
      <w:r>
        <w:t xml:space="preserve">Đối với mọi dự án mới cũng như dự án cải tạo &amp; bổ sung (A&amp;A), Quy định BIM–AM và Hướng dẫn Bàn giao (H/O Guide) sẽ được đưa vào hồ sơ mời thầu, tạo thành căn cứ nền tảng để hiểu yêu cầu BIM–AM của CĐT.</w:t>
      </w:r>
    </w:p>
    <w:p>
      <w:pPr>
        <w:spacing w:after="120" w:line="276"/>
        <w:jc w:val="both"/>
      </w:pPr>
      <w:r>
        <w:t xml:space="preserve">Nhà thầu phải đáp ứng yêu cầu tối thiểu tại Mục 2.3 để thiết lập template dự án BIM, có xét đến yêu cầu của các bộ phận/đơn vị giao tiếp liên quan. Trong quá trình thực hiện, Nhà thầu phải tham chiếu H/O Guide để xác định các yêu cầu bàn giao áp dụng cho phạm vi dự án, đồng thời thực hiện kiểm tra tuân thủ/tự kiểm tra chất lượng theo các yêu cầu này.</w:t>
      </w:r>
    </w:p>
    <w:p>
      <w:pPr>
        <w:spacing w:after="120" w:line="276"/>
        <w:jc w:val="both"/>
      </w:pPr>
      <w:r>
        <w:t xml:space="preserve">Khi hoàn thành dự án, PT sẽ kiểm tra tuân thủ và chất lượng sản phẩm do Nhà thầu nộp. Nhà thầu phải bao gồm tất cả các loại tài liệu bắt buộc gồm: mô hình &amp; đối tượng BIM hoàn công, tài liệu &amp; ảnh O&amp;M, tệp COBieLite, quan hệ tài sản và thuộc tính thiết bị như nêu trong Quy định BIM–AM và H/O Guide. Hồ sơ nộp sẽ trải qua quy trình nghiệm thu nội bộ của CĐT trước khi đóng dự án.</w:t>
      </w:r>
    </w:p>
    <w:p>
      <w:pPr>
        <w:spacing w:after="120" w:line="276"/>
        <w:jc w:val="both"/>
      </w:pPr>
      <w:r>
        <w:rPr>
          <w:i/>
          <w:iCs/>
        </w:rPr>
        <w:t xml:space="preserve">Quy trình BIM (và các điều chỉnh riêng cho từng dự án, nếu có) phải được nêu rõ trong BEP và được PT thống nhất.</w:t>
      </w:r>
    </w:p>
    <w:p>
      <w:pPr>
        <w:pStyle w:val="Heading2"/>
      </w:pPr>
      <w:r>
        <w:t xml:space="preserve">2.3 Template BIM</w:t>
      </w:r>
    </w:p>
    <w:p>
      <w:pPr>
        <w:spacing w:after="120" w:line="276"/>
        <w:jc w:val="both"/>
      </w:pPr>
      <w:r>
        <w:t xml:space="preserve">Template mô hình BIM phải được PT phê duyệt cùng với việc nộp BEP trước khi tạo lập từng mô hình BIM. Template mô hình BIM nên bao gồm:</w:t>
      </w:r>
    </w:p>
    <w:p>
      <w:pPr>
        <w:pStyle w:val="ListParagraph"/>
        <w:numPr>
          <w:ilvl w:val="0"/>
          <w:numId w:val="2"/>
        </w:numPr>
        <w:spacing w:after="80" w:line="264"/>
        <w:jc w:val="both"/>
      </w:pPr>
      <w:r>
        <w:t xml:space="preserve">Đơn vị và ký hiệu;</w:t>
      </w:r>
    </w:p>
    <w:p>
      <w:pPr>
        <w:pStyle w:val="ListParagraph"/>
        <w:numPr>
          <w:ilvl w:val="0"/>
          <w:numId w:val="2"/>
        </w:numPr>
        <w:spacing w:after="80" w:line="264"/>
        <w:jc w:val="both"/>
      </w:pPr>
      <w:r>
        <w:t xml:space="preserve">Toạ độ dự án và điểm gốc (origin);</w:t>
      </w:r>
    </w:p>
    <w:p>
      <w:pPr>
        <w:pStyle w:val="ListParagraph"/>
        <w:numPr>
          <w:ilvl w:val="0"/>
          <w:numId w:val="2"/>
        </w:numPr>
        <w:spacing w:after="80" w:line="264"/>
        <w:jc w:val="both"/>
      </w:pPr>
      <w:r>
        <w:t xml:space="preserve">Tổ chức trình duyệt (browser organisation);</w:t>
      </w:r>
    </w:p>
    <w:p>
      <w:pPr>
        <w:pStyle w:val="ListParagraph"/>
        <w:numPr>
          <w:ilvl w:val="0"/>
          <w:numId w:val="2"/>
        </w:numPr>
        <w:spacing w:after="80" w:line="264"/>
        <w:jc w:val="both"/>
      </w:pPr>
      <w:r>
        <w:t xml:space="preserve">Các thuộc tính bắt buộc (như nêu tại Mục 3.4);</w:t>
      </w:r>
    </w:p>
    <w:p>
      <w:pPr>
        <w:pStyle w:val="ListParagraph"/>
        <w:numPr>
          <w:ilvl w:val="0"/>
          <w:numId w:val="2"/>
        </w:numPr>
        <w:spacing w:after="80" w:line="264"/>
        <w:jc w:val="both"/>
      </w:pPr>
      <w:r>
        <w:t xml:space="preserve">Hệ thống E&amp;M và mã màu hệ thống như nêu tại Mục 4.4.3;</w:t>
      </w:r>
    </w:p>
    <w:p>
      <w:pPr>
        <w:pStyle w:val="ListParagraph"/>
        <w:numPr>
          <w:ilvl w:val="0"/>
          <w:numId w:val="2"/>
        </w:numPr>
        <w:spacing w:after="80" w:line="264"/>
        <w:jc w:val="both"/>
      </w:pPr>
      <w:r>
        <w:t xml:space="preserve">Phân tách hợp lý các phần tử mô hình cho chi tiết thi công như nêu tại Mục 4.2.4.</w:t>
      </w:r>
    </w:p>
    <w:p>
      <w:pPr>
        <w:pStyle w:val="Heading2"/>
      </w:pPr>
      <w:r>
        <w:t xml:space="preserve">2.4 Quy ước đặt tên mô hình BIM</w:t>
      </w:r>
    </w:p>
    <w:p>
      <w:pPr>
        <w:spacing w:after="120" w:line="276"/>
        <w:jc w:val="both"/>
      </w:pPr>
      <w:r>
        <w:t xml:space="preserve">Quy ước đặt tên mô hình BIM phải tuân theo nguyên tắc hài hoà hoá đã được căn chỉnh với chuẩn quốc tế. Việc mã hoá phải tham chiếu Phụ lục F — Quy ước mã hoá đặt tên mô hình BIM của CĐT.</w:t>
      </w:r>
    </w:p>
    <w:p>
      <w:pPr>
        <w:spacing w:after="120" w:line="276"/>
        <w:jc w:val="both"/>
      </w:pPr>
      <w:r>
        <w:t xml:space="preserve">Yêu cầu về quy ước đặt tên tệp này CHỈ áp dụng cho các tệp mô hình BIM nhằm đồng bộ với việc phát triển bản đồ số 3D đô thị thông minh. Tuy nhiên, siêu dữ liệu (metadata) của tệp phải được định nghĩa rõ trong CDE của CĐT trước khi tải sản phẩm BIM–AM lên để phê duyệt.</w:t>
      </w:r>
    </w:p>
    <w:p>
      <w:pPr>
        <w:pStyle w:val="Heading2"/>
      </w:pPr>
      <w:r>
        <w:t xml:space="preserve">2.5 Chiến lược hợp nhất</w:t>
      </w:r>
    </w:p>
    <w:p>
      <w:pPr>
        <w:spacing w:after="120" w:line="276"/>
        <w:jc w:val="both"/>
      </w:pPr>
      <w:r>
        <w:t xml:space="preserve">Việc hợp nhất phải tuân theo các nguyên tắc hợp nhất đồng thời đáp ứng các yêu cầu riêng của CĐT nêu tại Phụ lục F:</w:t>
      </w:r>
    </w:p>
    <w:p>
      <w:pPr>
        <w:pStyle w:val="ListParagraph"/>
        <w:numPr>
          <w:ilvl w:val="0"/>
          <w:numId w:val="2"/>
        </w:numPr>
        <w:spacing w:after="80" w:line="264"/>
        <w:jc w:val="both"/>
      </w:pPr>
      <w:r>
        <w:t xml:space="preserve">Tệp mô hình hợp nhất phải được tạo để liên kết tất cả các mô hình kiến trúc, kết cấu và E&amp;M phục vụ vận hành Digital Twin. Không gộp cứng (bind) các mô hình riêng lẻ vào mô hình hợp nhất;</w:t>
      </w:r>
    </w:p>
    <w:p>
      <w:pPr>
        <w:pStyle w:val="ListParagraph"/>
        <w:numPr>
          <w:ilvl w:val="0"/>
          <w:numId w:val="2"/>
        </w:numPr>
        <w:spacing w:after="80" w:line="264"/>
        <w:jc w:val="both"/>
      </w:pPr>
      <w:r>
        <w:t xml:space="preserve">Tất cả mô hình BIM phải được liên kết cùng hệ toạ độ và cùng điểm gốc;</w:t>
      </w:r>
    </w:p>
    <w:p>
      <w:pPr>
        <w:pStyle w:val="ListParagraph"/>
        <w:numPr>
          <w:ilvl w:val="0"/>
          <w:numId w:val="2"/>
        </w:numPr>
        <w:spacing w:after="80" w:line="264"/>
        <w:jc w:val="both"/>
      </w:pPr>
      <w:r>
        <w:t xml:space="preserve">Các mô hình liên kết phải đặt ở dạng đường dẫn tương đối (relative path) trong mọi mô hình kết hợp;</w:t>
      </w:r>
    </w:p>
    <w:p>
      <w:pPr>
        <w:pStyle w:val="ListParagraph"/>
        <w:numPr>
          <w:ilvl w:val="0"/>
          <w:numId w:val="2"/>
        </w:numPr>
        <w:spacing w:after="80" w:line="264"/>
        <w:jc w:val="both"/>
      </w:pPr>
      <w:r>
        <w:t xml:space="preserve">Tệp CAD dùng để tạo bản vẽ trong mô hình BIM phải được liên kết theo đường dẫn tương đối và đặt trong thư mục “CAD” theo phiên bản hướng dẫn CDE mới nhất;</w:t>
      </w:r>
    </w:p>
    <w:p>
      <w:pPr>
        <w:pStyle w:val="ListParagraph"/>
        <w:numPr>
          <w:ilvl w:val="0"/>
          <w:numId w:val="2"/>
        </w:numPr>
        <w:spacing w:after="80" w:line="264"/>
        <w:jc w:val="both"/>
      </w:pPr>
      <w:r>
        <w:t xml:space="preserve">Mô hình BIM của các bộ môn khác nhau (kiến trúc, kết cấu, từng hệ E&amp;M nêu tại Phụ lục G) phải được mô hình hoá và hợp nhất riêng biệt;</w:t>
      </w:r>
    </w:p>
    <w:p>
      <w:pPr>
        <w:pStyle w:val="ListParagraph"/>
        <w:numPr>
          <w:ilvl w:val="0"/>
          <w:numId w:val="2"/>
        </w:numPr>
        <w:spacing w:after="80" w:line="264"/>
        <w:jc w:val="both"/>
      </w:pPr>
      <w:r>
        <w:t xml:space="preserve">Mô hình BIM phải được dựng riêng theo từng khối nhà và từng tầng.</w:t>
      </w:r>
    </w:p>
    <w:p>
      <w:pPr>
        <w:pStyle w:val="Heading2"/>
      </w:pPr>
      <w:r>
        <w:t xml:space="preserve">2.6 Mức độ thông tin cần thiết (LOIN)</w:t>
      </w:r>
    </w:p>
    <w:p>
      <w:pPr>
        <w:spacing w:after="120" w:line="276"/>
        <w:jc w:val="both"/>
      </w:pPr>
      <w:r>
        <w:t xml:space="preserve">Theo nguyên tắc ISO 19650, thông tin được yêu cầu nhằm mục đích thực hiện một nhiệm vụ hoặc hỗ trợ một quyết định. Mức độ thông tin cần thiết (LOIN) được định nghĩa là mức độ (hay độ “phong phú”) thông tin phù hợp cần cung cấp để đáp ứng mục đích của nhu cầu thông tin. LOIN có thể biểu thị bằng độ phong phú chi tiết hình học (LOD-G) và/hoặc độ phong phú dữ liệu (LOD-I). Yêu cầu LOD-I của CĐT bao gồm thông tin dự án trong mô hình BIM và các thuộc tính bắt buộc trong đối tượng BIM.</w:t>
      </w:r>
    </w:p>
    <w:p>
      <w:pPr>
        <w:pStyle w:val="Heading3"/>
      </w:pPr>
      <w:r>
        <w:t xml:space="preserve">2.6.1 LOD-I cho mô hình BIM</w:t>
      </w:r>
    </w:p>
    <w:p>
      <w:pPr>
        <w:spacing w:after="120" w:line="276"/>
        <w:jc w:val="both"/>
      </w:pPr>
      <w:r>
        <w:t xml:space="preserve">Đối với dự án đầu tư xây dựng, trong mô hình BIM bắt buộc phải nhập Thông tin Dự án (Project Information) theo quy ước hài hoà hoá. Các tham số dùng để nhập Thông tin Dự án bao gồm tên dự án, số hợp đồng, địa chỉ, đơn vị thực hiện và giai đoạn dự án.</w:t>
      </w:r>
    </w:p>
    <w:p>
      <w:pPr>
        <w:pStyle w:val="Heading3"/>
      </w:pPr>
      <w:r>
        <w:t xml:space="preserve">2.6.2 LOD-I cho đối tượng BIM</w:t>
      </w:r>
    </w:p>
    <w:p>
      <w:pPr>
        <w:spacing w:after="120" w:line="276"/>
        <w:jc w:val="both"/>
      </w:pPr>
      <w:r>
        <w:t xml:space="preserve">Đối với đối tượng BIM, tham chiếu Mục 3.4 về yêu cầu LOD-I cho đối tượng theo Bảng mẫu dữ liệu tài sản (ADT).</w:t>
      </w:r>
    </w:p>
    <w:p>
      <w:pPr>
        <w:pStyle w:val="Heading2"/>
      </w:pPr>
      <w:r>
        <w:t xml:space="preserve">2.7 Kích thước tệp BIM</w:t>
      </w:r>
    </w:p>
    <w:p>
      <w:pPr>
        <w:pStyle w:val="Heading3"/>
      </w:pPr>
      <w:r>
        <w:t xml:space="preserve">2.7.1 Kích thước tệp đối tượng BIM</w:t>
      </w:r>
    </w:p>
    <w:p>
      <w:pPr>
        <w:spacing w:after="120" w:line="276"/>
        <w:jc w:val="both"/>
      </w:pPr>
      <w:r>
        <w:t xml:space="preserve">Kích thước mỗi tệp đối tượng BIM không được vượt quá 5MB.</w:t>
      </w:r>
    </w:p>
    <w:p>
      <w:pPr>
        <w:pStyle w:val="Heading3"/>
      </w:pPr>
      <w:r>
        <w:t xml:space="preserve">2.7.2 Kích thước tệp mô hình BIM</w:t>
      </w:r>
    </w:p>
    <w:p>
      <w:pPr>
        <w:spacing w:after="120" w:line="276"/>
        <w:jc w:val="both"/>
      </w:pPr>
      <w:r>
        <w:t xml:space="preserve">Kích thước mỗi tệp mô hình BIM phải được giữ dưới 500MB.</w:t>
      </w:r>
    </w:p>
    <w:p>
      <w:r>
        <w:br w:type="page"/>
      </w:r>
    </w:p>
    <w:p>
      <w:pPr>
        <w:pStyle w:val="Heading1"/>
      </w:pPr>
      <w:r>
        <w:t xml:space="preserve">3. Tạo lập đối tượng BIM</w:t>
      </w:r>
    </w:p>
    <w:p>
      <w:pPr>
        <w:pStyle w:val="Heading2"/>
      </w:pPr>
      <w:r>
        <w:t xml:space="preserve">3.1 Quy ước đặt tên đối tượng BIM</w:t>
      </w:r>
    </w:p>
    <w:p>
      <w:pPr>
        <w:spacing w:after="120" w:line="276"/>
        <w:jc w:val="both"/>
      </w:pPr>
      <w:r>
        <w:t xml:space="preserve">Đối tượng BIM phải được mô hình hoá cho một mục đích cụ thể và được gán hạng mục (category) phù hợp, đại diện nhất. Đối tượng BIM phải được đặt tên có hệ thống và logic để người dùng dễ hiểu và dễ quản lý.</w:t>
      </w:r>
    </w:p>
    <w:p>
      <w:pPr>
        <w:spacing w:after="120" w:line="276"/>
        <w:jc w:val="both"/>
      </w:pPr>
      <w:r>
        <w:t xml:space="preserve">Quy ước đặt tên đối tượng BIM phải tuân theo nguyên tắc hài hoà hoá. Mã đặt tên cho Hạng mục (Category) và Loại chức năng (Functional Type) được quản lý theo Danh mục chủ (Master List) tham chiếu.</w:t>
      </w:r>
    </w:p>
    <w:p>
      <w:pPr>
        <w:pStyle w:val="Heading2"/>
      </w:pPr>
      <w:r>
        <w:t xml:space="preserve">3.2 Tạo lập đối tượng BIM</w:t>
      </w:r>
    </w:p>
    <w:p>
      <w:pPr>
        <w:spacing w:after="120" w:line="276"/>
        <w:jc w:val="both"/>
      </w:pPr>
      <w:r>
        <w:t xml:space="preserve">Để duy trì “nguồn dữ liệu chân lý duy nhất” (single source of truth), nên sử dụng đối tượng BIM từ thư viện/cổng đối tượng chuẩn càng nhiều càng tốt. Nếu không có sẵn, đối tượng BIM mới tạo cho mục đích BIM–AM của CĐT phải bao gồm các thuộc tính riêng nêu trong Bảng mẫu dữ liệu tài sản (ADT) cho Thiết bị Cấp 2 (tham chiếu Phụ lục B). Dữ liệu tài sản riêng như trong ADT phải được tạo dưới dạng tham số đối tượng (object parameters).</w:t>
      </w:r>
    </w:p>
    <w:p>
      <w:pPr>
        <w:spacing w:after="120" w:line="276"/>
        <w:jc w:val="both"/>
      </w:pPr>
      <w:r>
        <w:t xml:space="preserve">Khi tạo đối tượng BIM mới bằng cách chỉnh sửa đối tượng sẵn có làm cơ sở, LOD-G có thể được đơn giản hoá hoặc nâng cao để đáp ứng yêu cầu dự án, trong khi LOD-I phải được bảo toàn. Đối tượng đã chỉnh sửa phải được đổi tên theo đơn vị khởi tạo (Originator).</w:t>
      </w:r>
    </w:p>
    <w:p>
      <w:pPr>
        <w:spacing w:after="120" w:line="276"/>
        <w:jc w:val="both"/>
      </w:pPr>
      <w:r>
        <w:t xml:space="preserve">Khuyến khích đóng góp các đối tượng BIM mới phát triển vào kho thư viện dùng chung.</w:t>
      </w:r>
    </w:p>
    <w:p>
      <w:pPr>
        <w:pStyle w:val="Heading2"/>
      </w:pPr>
      <w:r>
        <w:t xml:space="preserve">3.3 Yêu cầu LOD-G</w:t>
      </w:r>
    </w:p>
    <w:p>
      <w:pPr>
        <w:spacing w:after="120" w:line="276"/>
        <w:jc w:val="both"/>
      </w:pPr>
      <w:r>
        <w:t xml:space="preserve">Để giảm thiểu kích thước tệp, đối tượng nên được giữ nhẹ nhất có thể trong điều kiện vẫn đáp ứng yêu cầu LOD-G của dự án. Vật liệu tham chiếu và thành phần không dùng phải được purge (dọn sạch) trước khi nộp. Phục vụ mục đích quản lý tài sản, LOD-G cho thiết bị E&amp;M không được thấp hơn LOD-G 300.</w:t>
      </w:r>
    </w:p>
    <w:p>
      <w:pPr>
        <w:spacing w:after="120" w:line="276"/>
        <w:jc w:val="both"/>
      </w:pPr>
      <w:r>
        <w:t xml:space="preserve">Nên hạn chế tối đa việc mô hình hoá các đối tượng lồng nhau (nested objects) gồm nhiều đối tượng BIM. Việc mô hình hoá không gian bảo trì và không gian thông thuỷ (clearance space) cũng phải tuân theo nguyên tắc thực hành tốt nhất.</w:t>
      </w:r>
    </w:p>
    <w:p>
      <w:pPr>
        <w:pStyle w:val="Heading2"/>
      </w:pPr>
      <w:r>
        <w:t xml:space="preserve">3.4 Yêu cầu LOD-I</w:t>
      </w:r>
    </w:p>
    <w:p>
      <w:pPr>
        <w:spacing w:after="120" w:line="276"/>
        <w:jc w:val="both"/>
      </w:pPr>
      <w:r>
        <w:t xml:space="preserve">Phải sử dụng bảng mẫu dữ liệu tài sản khi tạo đối tượng BIM mới. LOD-I (thuộc tính đối tượng) nên được nhóm theo loại thuộc tính như: thông tin chung, thuộc tính thiết kế, thuộc tính phân loại (ví dụ OmniClass) và thông tin lắp đặt — nhằm truy xuất thông tin hiệu quả.</w:t>
      </w:r>
    </w:p>
    <w:p>
      <w:pPr>
        <w:pStyle w:val="Heading3"/>
      </w:pPr>
      <w:r>
        <w:t xml:space="preserve">3.4.1 Thuộc tính phân loại</w:t>
      </w:r>
    </w:p>
    <w:p>
      <w:pPr>
        <w:spacing w:after="120" w:line="276"/>
        <w:jc w:val="both"/>
      </w:pPr>
      <w:r>
        <w:t xml:space="preserve">Việc áp dụng OmniClass làm hệ phân loại cho đối tượng BIM được tham chiếu trong hướng dẫn sản xuất đối tượng BIM. Tham chiếu Phụ lục G để xem mẫu OmniClass của Thiết bị Cấp 2 của CĐT.</w:t>
      </w:r>
    </w:p>
    <w:p>
      <w:pPr>
        <w:pStyle w:val="Heading3"/>
      </w:pPr>
      <w:r>
        <w:t xml:space="preserve">3.4.2 Bảng mẫu dữ liệu tài sản (ADT)</w:t>
      </w:r>
    </w:p>
    <w:p>
      <w:pPr>
        <w:spacing w:after="120" w:line="276"/>
        <w:jc w:val="both"/>
      </w:pPr>
      <w:r>
        <w:t xml:space="preserve">Mỗi đối tượng BIM dùng để đại diện cho Thiết bị Cấp 1 và Cấp 2 trong hệ thống BIM–AM của CĐT phải chứa các thuộc tính riêng liệt kê tại Phụ lục B. Việc áp dụng ADT được loại trừ đối với các tài sản có dấu (*) như trong Phụ lục G.</w:t>
      </w:r>
    </w:p>
    <w:p>
      <w:r>
        <w:br w:type="page"/>
      </w:r>
    </w:p>
    <w:p>
      <w:pPr>
        <w:pStyle w:val="Heading1"/>
      </w:pPr>
      <w:r>
        <w:t xml:space="preserve">4. Tạo lập mô hình BIM</w:t>
      </w:r>
    </w:p>
    <w:p>
      <w:pPr>
        <w:pStyle w:val="Heading2"/>
      </w:pPr>
      <w:r>
        <w:t xml:space="preserve">4.1 Thiết lập mô hình BIM</w:t>
      </w:r>
    </w:p>
    <w:p>
      <w:pPr>
        <w:pStyle w:val="Heading3"/>
      </w:pPr>
      <w:r>
        <w:t xml:space="preserve">4.1.1 Đơn vị và ký hiệu</w:t>
      </w:r>
    </w:p>
    <w:p>
      <w:pPr>
        <w:spacing w:after="120" w:line="276"/>
        <w:jc w:val="both"/>
      </w:pPr>
      <w:r>
        <w:t xml:space="preserve">Mô hình BIM phải được mô hình hoá theo hệ mét và nhất quán về đơn vị. Đối với đơn vị/ký hiệu không liệt kê dưới đây, Nhà thầu đề xuất đơn vị và/hoặc ký hiệu mới kèm giải trình, nộp bảng ánh xạ khi cần; các đơn vị/ký hiệu mới phải được các bên thống nhất và ghi vào BEP.</w:t>
      </w:r>
    </w:p>
    <w:p>
      <w:pPr>
        <w:spacing w:after="160" w:before="60"/>
        <w:jc w:val="center"/>
      </w:pPr>
      <w:r>
        <w:rPr>
          <w:i/>
          <w:iCs/>
          <w:color w:val="595959"/>
          <w:sz w:val="18"/>
          <w:szCs w:val="18"/>
        </w:rPr>
        <w:t xml:space="preserve">Bảng 4-1 Đơn vị cơ bản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2600"/>
        <w:gridCol w:w="1600"/>
      </w:tblGrid>
      <w:tr>
        <w:trPr>
          <w:tblHeader/>
        </w:trPr>
        <w:tc>
          <w:tcPr>
            <w:tcW w:type="dxa" w:w="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4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Tên đại lượng</w:t>
            </w:r>
          </w:p>
        </w:tc>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Đơn vị</w:t>
            </w:r>
          </w:p>
        </w:tc>
        <w:tc>
          <w:tcPr>
            <w:tcW w:type="dxa" w:w="1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Ký hiệu</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1</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Chiều dài</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milimét</w:t>
            </w:r>
          </w:p>
        </w:tc>
        <w:tc>
          <w:tcPr>
            <w:tcW w:type="dxa" w:w="1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mm</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2</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Khối lượng</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kilôgam</w:t>
            </w:r>
          </w:p>
        </w:tc>
        <w:tc>
          <w:tcPr>
            <w:tcW w:type="dxa" w:w="1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kg</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3</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Thời gian</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giây</w:t>
            </w:r>
          </w:p>
        </w:tc>
        <w:tc>
          <w:tcPr>
            <w:tcW w:type="dxa" w:w="1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s</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4</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Cường độ dòng điện</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Ampe</w:t>
            </w:r>
          </w:p>
        </w:tc>
        <w:tc>
          <w:tcPr>
            <w:tcW w:type="dxa" w:w="1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A</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5</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Nhiệt độ nhiệt động</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Kelvin</w:t>
            </w:r>
          </w:p>
        </w:tc>
        <w:tc>
          <w:tcPr>
            <w:tcW w:type="dxa" w:w="1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K</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6</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Cường độ sáng</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candela</w:t>
            </w:r>
          </w:p>
        </w:tc>
        <w:tc>
          <w:tcPr>
            <w:tcW w:type="dxa" w:w="1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cd</w:t>
            </w:r>
          </w:p>
        </w:tc>
      </w:tr>
    </w:tbl>
    <w:p>
      <w:pPr>
        <w:spacing w:after="60"/>
      </w:pPr>
      <w:r>
        <w:t xml:space="preserve"/>
      </w:r>
    </w:p>
    <w:p>
      <w:pPr>
        <w:spacing w:after="160" w:before="60"/>
        <w:jc w:val="center"/>
      </w:pPr>
      <w:r>
        <w:rPr>
          <w:i/>
          <w:iCs/>
          <w:color w:val="595959"/>
          <w:sz w:val="18"/>
          <w:szCs w:val="18"/>
        </w:rPr>
        <w:t xml:space="preserve">Bảng 4-2 Đơn vị dẫn xuất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2600"/>
        <w:gridCol w:w="1600"/>
      </w:tblGrid>
      <w:tr>
        <w:trPr>
          <w:tblHeader/>
        </w:trPr>
        <w:tc>
          <w:tcPr>
            <w:tcW w:type="dxa" w:w="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4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Tên đại lượng</w:t>
            </w:r>
          </w:p>
        </w:tc>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Đơn vị</w:t>
            </w:r>
          </w:p>
        </w:tc>
        <w:tc>
          <w:tcPr>
            <w:tcW w:type="dxa" w:w="1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Ký hiệu</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1</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Năng lượng</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joule</w:t>
            </w:r>
          </w:p>
        </w:tc>
        <w:tc>
          <w:tcPr>
            <w:tcW w:type="dxa" w:w="1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J</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2</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Tần số</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hertz</w:t>
            </w:r>
          </w:p>
        </w:tc>
        <w:tc>
          <w:tcPr>
            <w:tcW w:type="dxa" w:w="1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Hz</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3</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Lực</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newton</w:t>
            </w:r>
          </w:p>
        </w:tc>
        <w:tc>
          <w:tcPr>
            <w:tcW w:type="dxa" w:w="1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N</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4</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Độ rọi</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lux</w:t>
            </w:r>
          </w:p>
        </w:tc>
        <w:tc>
          <w:tcPr>
            <w:tcW w:type="dxa" w:w="1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lux</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5</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Áp suất</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Pascal</w:t>
            </w:r>
          </w:p>
        </w:tc>
        <w:tc>
          <w:tcPr>
            <w:tcW w:type="dxa" w:w="1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Pa</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6</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Công suất</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watt</w:t>
            </w:r>
          </w:p>
        </w:tc>
        <w:tc>
          <w:tcPr>
            <w:tcW w:type="dxa" w:w="1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W</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7</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Nhiệt độ</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Celsius</w:t>
            </w:r>
          </w:p>
        </w:tc>
        <w:tc>
          <w:tcPr>
            <w:tcW w:type="dxa" w:w="1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°C</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8</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Điện thế</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volt</w:t>
            </w:r>
          </w:p>
        </w:tc>
        <w:tc>
          <w:tcPr>
            <w:tcW w:type="dxa" w:w="1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V</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9</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Điện trở</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ohm</w:t>
            </w:r>
          </w:p>
        </w:tc>
        <w:tc>
          <w:tcPr>
            <w:tcW w:type="dxa" w:w="1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Ω</w:t>
            </w:r>
          </w:p>
        </w:tc>
      </w:tr>
    </w:tbl>
    <w:p>
      <w:pPr>
        <w:spacing w:after="60"/>
      </w:pPr>
      <w:r>
        <w:t xml:space="preserve"/>
      </w:r>
    </w:p>
    <w:p>
      <w:pPr>
        <w:spacing w:after="160" w:before="60"/>
        <w:jc w:val="center"/>
      </w:pPr>
      <w:r>
        <w:rPr>
          <w:i/>
          <w:iCs/>
          <w:color w:val="595959"/>
          <w:sz w:val="18"/>
          <w:szCs w:val="18"/>
        </w:rPr>
        <w:t xml:space="preserve">Bảng 4-4 Đơn vị kỹ thuật SI ưu tiên (trích)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0"/>
        <w:gridCol w:w="1740"/>
        <w:gridCol w:w="2940"/>
        <w:gridCol w:w="1740"/>
      </w:tblGrid>
      <w:tr>
        <w:trPr>
          <w:tblHeader/>
        </w:trPr>
        <w:tc>
          <w:tcPr>
            <w:tcW w:type="dxa" w:w="29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Đại lượng</w:t>
            </w:r>
          </w:p>
        </w:tc>
        <w:tc>
          <w:tcPr>
            <w:tcW w:type="dxa" w:w="17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Đơn vị</w:t>
            </w:r>
          </w:p>
        </w:tc>
        <w:tc>
          <w:tcPr>
            <w:tcW w:type="dxa" w:w="29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Đại lượng</w:t>
            </w:r>
          </w:p>
        </w:tc>
        <w:tc>
          <w:tcPr>
            <w:tcW w:type="dxa" w:w="17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Đơn vị</w:t>
            </w:r>
          </w:p>
        </w:tc>
      </w:tr>
      <w:tr>
        <w:tc>
          <w:tcPr>
            <w:tcW w:type="dxa" w:w="29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Diện tích</w:t>
            </w:r>
          </w:p>
        </w:tc>
        <w:tc>
          <w:tcPr>
            <w:tcW w:type="dxa" w:w="17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m²</w:t>
            </w:r>
          </w:p>
        </w:tc>
        <w:tc>
          <w:tcPr>
            <w:tcW w:type="dxa" w:w="29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Công suất biểu kiến</w:t>
            </w:r>
          </w:p>
        </w:tc>
        <w:tc>
          <w:tcPr>
            <w:tcW w:type="dxa" w:w="17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kVA</w:t>
            </w:r>
          </w:p>
        </w:tc>
      </w:tr>
      <w:tr>
        <w:tc>
          <w:tcPr>
            <w:tcW w:type="dxa" w:w="29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Công suất lạnh</w:t>
            </w:r>
          </w:p>
        </w:tc>
        <w:tc>
          <w:tcPr>
            <w:tcW w:type="dxa" w:w="17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kW</w:t>
            </w:r>
          </w:p>
        </w:tc>
        <w:tc>
          <w:tcPr>
            <w:tcW w:type="dxa" w:w="29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Mật độ</w:t>
            </w:r>
          </w:p>
        </w:tc>
        <w:tc>
          <w:tcPr>
            <w:tcW w:type="dxa" w:w="17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kg/m³</w:t>
            </w:r>
          </w:p>
        </w:tc>
      </w:tr>
      <w:tr>
        <w:tc>
          <w:tcPr>
            <w:tcW w:type="dxa" w:w="29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Công suất điện</w:t>
            </w:r>
          </w:p>
        </w:tc>
        <w:tc>
          <w:tcPr>
            <w:tcW w:type="dxa" w:w="17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kW</w:t>
            </w:r>
          </w:p>
        </w:tc>
        <w:tc>
          <w:tcPr>
            <w:tcW w:type="dxa" w:w="29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Lưu lượng khối</w:t>
            </w:r>
          </w:p>
        </w:tc>
        <w:tc>
          <w:tcPr>
            <w:tcW w:type="dxa" w:w="17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kg/s</w:t>
            </w:r>
          </w:p>
        </w:tc>
      </w:tr>
      <w:tr>
        <w:tc>
          <w:tcPr>
            <w:tcW w:type="dxa" w:w="29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Áp suất đường ống</w:t>
            </w:r>
          </w:p>
        </w:tc>
        <w:tc>
          <w:tcPr>
            <w:tcW w:type="dxa" w:w="17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kPa</w:t>
            </w:r>
          </w:p>
        </w:tc>
        <w:tc>
          <w:tcPr>
            <w:tcW w:type="dxa" w:w="29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Tốc độ quay</w:t>
            </w:r>
          </w:p>
        </w:tc>
        <w:tc>
          <w:tcPr>
            <w:tcW w:type="dxa" w:w="17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vòng/phút</w:t>
            </w:r>
          </w:p>
        </w:tc>
      </w:tr>
      <w:tr>
        <w:tc>
          <w:tcPr>
            <w:tcW w:type="dxa" w:w="29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Vận tốc</w:t>
            </w:r>
          </w:p>
        </w:tc>
        <w:tc>
          <w:tcPr>
            <w:tcW w:type="dxa" w:w="17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m/s</w:t>
            </w:r>
          </w:p>
        </w:tc>
        <w:tc>
          <w:tcPr>
            <w:tcW w:type="dxa" w:w="29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Thể tích</w:t>
            </w:r>
          </w:p>
        </w:tc>
        <w:tc>
          <w:tcPr>
            <w:tcW w:type="dxa" w:w="17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m³</w:t>
            </w:r>
          </w:p>
        </w:tc>
      </w:tr>
      <w:tr>
        <w:tc>
          <w:tcPr>
            <w:tcW w:type="dxa" w:w="29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Lưu lượng thể tích</w:t>
            </w:r>
          </w:p>
        </w:tc>
        <w:tc>
          <w:tcPr>
            <w:tcW w:type="dxa" w:w="17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l/s</w:t>
            </w:r>
          </w:p>
        </w:tc>
        <w:tc>
          <w:tcPr>
            <w:tcW w:type="dxa" w:w="29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Công suất âm</w:t>
            </w:r>
          </w:p>
        </w:tc>
        <w:tc>
          <w:tcPr>
            <w:tcW w:type="dxa" w:w="17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dB</w:t>
            </w:r>
          </w:p>
        </w:tc>
      </w:tr>
    </w:tbl>
    <w:p>
      <w:pPr>
        <w:spacing w:after="60"/>
      </w:pPr>
      <w:r>
        <w:t xml:space="preserve"/>
      </w:r>
    </w:p>
    <w:p>
      <w:pPr>
        <w:pStyle w:val="Heading3"/>
      </w:pPr>
      <w:r>
        <w:t xml:space="preserve">4.1.2 Toạ độ dự án BIM</w:t>
      </w:r>
    </w:p>
    <w:p>
      <w:pPr>
        <w:spacing w:after="120" w:line="276"/>
        <w:jc w:val="both"/>
      </w:pPr>
      <w:r>
        <w:t xml:space="preserve">Mô hình BIM phải được thiết lập dựa trên hệ toạ độ thực và cao độ thực. Điểm gốc/điểm cơ sở (origin/base point) phải do Nhà thầu thiết lập và được PT xác nhận. Hệ chia sẻ mô hình giữa các bộ môn phải được thiết lập như sau:</w:t>
      </w:r>
    </w:p>
    <w:p>
      <w:pPr>
        <w:pStyle w:val="ListParagraph"/>
        <w:numPr>
          <w:ilvl w:val="0"/>
          <w:numId w:val="2"/>
        </w:numPr>
        <w:spacing w:after="80" w:line="264"/>
        <w:jc w:val="both"/>
      </w:pPr>
      <w:r>
        <w:t xml:space="preserve">Sử dụng hệ lưới toạ độ quốc gia cho toạ độ Đông (Easting) và Bắc (Northing);</w:t>
      </w:r>
    </w:p>
    <w:p>
      <w:pPr>
        <w:pStyle w:val="ListParagraph"/>
        <w:numPr>
          <w:ilvl w:val="0"/>
          <w:numId w:val="2"/>
        </w:numPr>
        <w:spacing w:after="80" w:line="264"/>
        <w:jc w:val="both"/>
      </w:pPr>
      <w:r>
        <w:t xml:space="preserve">Vị trí địa lý của công trình phải được đặt đúng theo kinh độ/vĩ độ thực tế;</w:t>
      </w:r>
    </w:p>
    <w:p>
      <w:pPr>
        <w:pStyle w:val="ListParagraph"/>
        <w:numPr>
          <w:ilvl w:val="0"/>
          <w:numId w:val="2"/>
        </w:numPr>
        <w:spacing w:after="80" w:line="264"/>
        <w:jc w:val="both"/>
      </w:pPr>
      <w:r>
        <w:t xml:space="preserve">Dự án phải thiết lập và phản ánh hướng Bắc thực (True North) — tức góc so với hướng Bắc thực;</w:t>
      </w:r>
    </w:p>
    <w:p>
      <w:pPr>
        <w:pStyle w:val="ListParagraph"/>
        <w:numPr>
          <w:ilvl w:val="0"/>
          <w:numId w:val="2"/>
        </w:numPr>
        <w:spacing w:after="80" w:line="264"/>
        <w:jc w:val="both"/>
      </w:pPr>
      <w:r>
        <w:t xml:space="preserve">Cao độ phải tham chiếu hệ cao độ chuẩn quốc gia (mốc cao độ chuẩn).</w:t>
      </w:r>
    </w:p>
    <w:p>
      <w:pPr>
        <w:pStyle w:val="Heading3"/>
      </w:pPr>
      <w:r>
        <w:t xml:space="preserve">4.1.3 Tổ chức trình duyệt (Browser Organisation)</w:t>
      </w:r>
    </w:p>
    <w:p>
      <w:pPr>
        <w:spacing w:after="120" w:line="276"/>
        <w:jc w:val="both"/>
      </w:pPr>
      <w:r>
        <w:t xml:space="preserve">Trình duyệt dự án (Project Browser) nên được Nhà thầu thiết kế để các khung nhìn được tổ chức theo mục đích, mức độ chi tiết và loại khung nhìn. Các khung nhìn lập theo hướng dẫn của CĐT nên được đặt tên bắt đầu bằng “DT” (Digital Twin) để dễ tìm và nhập đúng vào AIMP khi bàn giao. Cấu trúc đề xuất 3 cấp:</w:t>
      </w:r>
    </w:p>
    <w:p>
      <w:pPr>
        <w:pStyle w:val="ListParagraph"/>
        <w:numPr>
          <w:ilvl w:val="0"/>
          <w:numId w:val="3"/>
        </w:numPr>
        <w:spacing w:after="80" w:line="264"/>
        <w:jc w:val="both"/>
      </w:pPr>
      <w:r>
        <w:t xml:space="preserve">Cấp 1: cho biết khung nhìn dùng cho Tài liệu (Documentation) hay Mô hình hoá (Modelling);</w:t>
      </w:r>
    </w:p>
    <w:p>
      <w:pPr>
        <w:pStyle w:val="ListParagraph"/>
        <w:numPr>
          <w:ilvl w:val="0"/>
          <w:numId w:val="3"/>
        </w:numPr>
        <w:spacing w:after="80" w:line="264"/>
        <w:jc w:val="both"/>
      </w:pPr>
      <w:r>
        <w:t xml:space="preserve">Cấp 2: cho biết khung nhìn thuộc phối hợp (coordination) hay bố trí (layout);</w:t>
      </w:r>
    </w:p>
    <w:p>
      <w:pPr>
        <w:pStyle w:val="ListParagraph"/>
        <w:numPr>
          <w:ilvl w:val="0"/>
          <w:numId w:val="3"/>
        </w:numPr>
        <w:spacing w:after="80" w:line="264"/>
        <w:jc w:val="both"/>
      </w:pPr>
      <w:r>
        <w:t xml:space="preserve">Cấp 3: loại khung nhìn — mặt bằng / 3D / mặt cắt / mặt đứng, v.v.</w:t>
      </w:r>
    </w:p>
    <w:p>
      <w:pPr>
        <w:pStyle w:val="Heading2"/>
      </w:pPr>
      <w:r>
        <w:t xml:space="preserve">4.2 Nguyên tắc tạo lập mô hình BIM theo bộ môn</w:t>
      </w:r>
    </w:p>
    <w:p>
      <w:pPr>
        <w:pStyle w:val="Heading3"/>
      </w:pPr>
      <w:r>
        <w:t xml:space="preserve">4.2.1 Thiết lập BIM theo hạng mục — Hệ ống gió (Duct)</w:t>
      </w:r>
    </w:p>
    <w:p>
      <w:pPr>
        <w:spacing w:after="120" w:line="276"/>
        <w:jc w:val="both"/>
      </w:pPr>
      <w:r>
        <w:t xml:space="preserve">Hệ ống gió phải có các thiết lập sau:</w:t>
      </w:r>
    </w:p>
    <w:p>
      <w:pPr>
        <w:spacing w:after="160" w:before="60"/>
        <w:jc w:val="center"/>
      </w:pPr>
      <w:r>
        <w:rPr>
          <w:i/>
          <w:iCs/>
          <w:color w:val="595959"/>
          <w:sz w:val="18"/>
          <w:szCs w:val="18"/>
        </w:rPr>
        <w:t xml:space="preserve">Bảng 4-5 Thiết lập hệ ống gió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660"/>
        <w:gridCol w:w="1800"/>
      </w:tblGrid>
      <w:tr>
        <w:trPr>
          <w:tblHeader/>
        </w:trPr>
        <w:tc>
          <w:tcPr>
            <w:tcW w:type="dxa" w:w="7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2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thông tin</w:t>
            </w:r>
          </w:p>
        </w:tc>
        <w:tc>
          <w:tcPr>
            <w:tcW w:type="dxa" w:w="46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Thiết lập</w:t>
            </w:r>
          </w:p>
        </w:tc>
        <w:tc>
          <w:tcPr>
            <w:tcW w:type="dxa" w:w="1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Ví dụ</w:t>
            </w:r>
          </w:p>
        </w:tc>
      </w:tr>
      <w:tr>
        <w:tc>
          <w:tcPr>
            <w:tcW w:type="dxa" w:w="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Tên loại hệ thống</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Gồm mã hệ thống và mã tuyến, phân tách bởi dấu “-”</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HVAC-EAD</w:t>
            </w:r>
          </w:p>
        </w:tc>
      </w:tr>
      <w:tr>
        <w:tc>
          <w:tcPr>
            <w:tcW w:type="dxa" w:w="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2</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Viết tắt hệ thống</w:t>
            </w:r>
          </w:p>
        </w:tc>
        <w:tc>
          <w:tcPr>
            <w:tcW w:type="dxa" w:w="46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Nhập mã tuyến tại Mục 5.5</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EAD</w:t>
            </w:r>
          </w:p>
        </w:tc>
      </w:tr>
      <w:tr>
        <w:tc>
          <w:tcPr>
            <w:tcW w:type="dxa" w:w="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3</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Mô tả</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Nhập tên tuyến tại Mục 5.5</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Ống gió thải</w:t>
            </w:r>
          </w:p>
        </w:tc>
      </w:tr>
      <w:tr>
        <w:tc>
          <w:tcPr>
            <w:tcW w:type="dxa" w:w="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4</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Ký hiệu lên/xuống</w:t>
            </w:r>
          </w:p>
        </w:tc>
        <w:tc>
          <w:tcPr>
            <w:tcW w:type="dxa" w:w="46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Theo loại tuyến (slash/cross/wye/backslash)</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w:t>
            </w:r>
          </w:p>
        </w:tc>
      </w:tr>
      <w:tr>
        <w:tc>
          <w:tcPr>
            <w:tcW w:type="dxa" w:w="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5</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màu hệ thống</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Tham chiếu Mục 4.4.3</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w:t>
            </w:r>
          </w:p>
        </w:tc>
      </w:tr>
    </w:tbl>
    <w:p>
      <w:pPr>
        <w:spacing w:after="60"/>
      </w:pPr>
      <w:r>
        <w:t xml:space="preserve"/>
      </w:r>
    </w:p>
    <w:p>
      <w:pPr>
        <w:pStyle w:val="Heading3"/>
      </w:pPr>
      <w:r>
        <w:t xml:space="preserve">4.2.2 Thiết lập BIM theo hạng mục — Hệ đường ống (Pipe)</w:t>
      </w:r>
    </w:p>
    <w:p>
      <w:pPr>
        <w:spacing w:after="160" w:before="60"/>
        <w:jc w:val="center"/>
      </w:pPr>
      <w:r>
        <w:rPr>
          <w:i/>
          <w:iCs/>
          <w:color w:val="595959"/>
          <w:sz w:val="18"/>
          <w:szCs w:val="18"/>
        </w:rPr>
        <w:t xml:space="preserve">Bảng 4-6 Thiết lập hệ đường 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660"/>
        <w:gridCol w:w="1800"/>
      </w:tblGrid>
      <w:tr>
        <w:trPr>
          <w:tblHeader/>
        </w:trPr>
        <w:tc>
          <w:tcPr>
            <w:tcW w:type="dxa" w:w="7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w:t>
            </w:r>
          </w:p>
        </w:tc>
        <w:tc>
          <w:tcPr>
            <w:tcW w:type="dxa" w:w="2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thông tin</w:t>
            </w:r>
          </w:p>
        </w:tc>
        <w:tc>
          <w:tcPr>
            <w:tcW w:type="dxa" w:w="46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Thiết lập</w:t>
            </w:r>
          </w:p>
        </w:tc>
        <w:tc>
          <w:tcPr>
            <w:tcW w:type="dxa" w:w="1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Ví dụ</w:t>
            </w:r>
          </w:p>
        </w:tc>
      </w:tr>
      <w:tr>
        <w:tc>
          <w:tcPr>
            <w:tcW w:type="dxa" w:w="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Tên loại hệ thống</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Gồm mã hệ thống và mã tuyến, phân tách bởi dấu “-”</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HVAC-CHWS</w:t>
            </w:r>
          </w:p>
        </w:tc>
      </w:tr>
      <w:tr>
        <w:tc>
          <w:tcPr>
            <w:tcW w:type="dxa" w:w="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2</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Viết tắt hệ thống</w:t>
            </w:r>
          </w:p>
        </w:tc>
        <w:tc>
          <w:tcPr>
            <w:tcW w:type="dxa" w:w="46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Nhập mã tuyến tại Mục 5.5</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CHWS</w:t>
            </w:r>
          </w:p>
        </w:tc>
      </w:tr>
      <w:tr>
        <w:tc>
          <w:tcPr>
            <w:tcW w:type="dxa" w:w="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3</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Mô tả</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Nhập tên tuyến tại Mục 5.5</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Ống cấp nước lạnh</w:t>
            </w:r>
          </w:p>
        </w:tc>
      </w:tr>
      <w:tr>
        <w:tc>
          <w:tcPr>
            <w:tcW w:type="dxa" w:w="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4</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Ký hiệu lên/xuống</w:t>
            </w:r>
          </w:p>
        </w:tc>
        <w:tc>
          <w:tcPr>
            <w:tcW w:type="dxa" w:w="46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Yin Yang - Filled</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w:t>
            </w:r>
          </w:p>
        </w:tc>
      </w:tr>
      <w:tr>
        <w:tc>
          <w:tcPr>
            <w:tcW w:type="dxa" w:w="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5</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màu hệ thống</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Tham chiếu Mục 4.4.3</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w:t>
            </w:r>
          </w:p>
        </w:tc>
      </w:tr>
    </w:tbl>
    <w:p>
      <w:pPr>
        <w:spacing w:after="60"/>
      </w:pPr>
      <w:r>
        <w:t xml:space="preserve"/>
      </w:r>
    </w:p>
    <w:p>
      <w:pPr>
        <w:pStyle w:val="Heading3"/>
      </w:pPr>
      <w:r>
        <w:t xml:space="preserve">4.2.3 Mô hình hoá thiết bị &amp; tuyến E&amp;M</w:t>
      </w:r>
    </w:p>
    <w:p>
      <w:pPr>
        <w:spacing w:after="120" w:line="276"/>
        <w:jc w:val="both"/>
      </w:pPr>
      <w:r>
        <w:t xml:space="preserve">Các đối tượng sau của hệ thống E&amp;M phải được mô hình hoá để vận hành Digital Twin:</w:t>
      </w:r>
    </w:p>
    <w:p>
      <w:pPr>
        <w:pStyle w:val="ListParagraph"/>
        <w:numPr>
          <w:ilvl w:val="0"/>
          <w:numId w:val="2"/>
        </w:numPr>
        <w:spacing w:after="80" w:line="264"/>
        <w:jc w:val="both"/>
      </w:pPr>
      <w:r>
        <w:t xml:space="preserve">Thiết bị nêu tại Phụ lục G là bắt buộc;</w:t>
      </w:r>
    </w:p>
    <w:p>
      <w:pPr>
        <w:pStyle w:val="ListParagraph"/>
        <w:numPr>
          <w:ilvl w:val="0"/>
          <w:numId w:val="2"/>
        </w:numPr>
        <w:spacing w:after="80" w:line="264"/>
        <w:jc w:val="both"/>
      </w:pPr>
      <w:r>
        <w:t xml:space="preserve">Đối tượng E&amp;M nhìn thấy được (ví dụ: cửa gió hệ HVAC, ổ cắm hệ phân phối điện…);</w:t>
      </w:r>
    </w:p>
    <w:p>
      <w:pPr>
        <w:pStyle w:val="ListParagraph"/>
        <w:numPr>
          <w:ilvl w:val="0"/>
          <w:numId w:val="2"/>
        </w:numPr>
        <w:spacing w:after="80" w:line="264"/>
        <w:jc w:val="both"/>
      </w:pPr>
      <w:r>
        <w:t xml:space="preserve">Tuyến chính của tất cả hệ thống nêu tại Mục 5.5. Tuyến chi tiết bao gồm toàn bộ phụ kiện ống gió/ống nước phải được đưa vào hệ HVAC.</w:t>
      </w:r>
    </w:p>
    <w:p>
      <w:pPr>
        <w:spacing w:after="120" w:line="276"/>
        <w:jc w:val="both"/>
      </w:pPr>
      <w:r>
        <w:t xml:space="preserve">Tuyến và thiết bị E&amp;M phải được mô hình hoá đúng hạng mục BIM như sau:</w:t>
      </w:r>
    </w:p>
    <w:p>
      <w:pPr>
        <w:spacing w:after="160" w:before="60"/>
        <w:jc w:val="center"/>
      </w:pPr>
      <w:r>
        <w:rPr>
          <w:i/>
          <w:iCs/>
          <w:color w:val="595959"/>
          <w:sz w:val="18"/>
          <w:szCs w:val="18"/>
        </w:rPr>
        <w:t xml:space="preserve">Bảng 4-7 Hạng mục BIM yêu cầu theo loại tuyến E&amp;M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Loại tuyến</w:t>
            </w:r>
          </w:p>
        </w:tc>
        <w:tc>
          <w:tcPr>
            <w:tcW w:type="dxa" w:w="6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Hạng mục BIM</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Trunking</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Duct (nếu phần mềm không có loại trunking)</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Cable Tray</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Cable Tray</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Duct</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Duct</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Pipe</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Pipe</w:t>
            </w:r>
          </w:p>
        </w:tc>
      </w:tr>
    </w:tbl>
    <w:p>
      <w:pPr>
        <w:spacing w:after="60"/>
      </w:pPr>
      <w:r>
        <w:t xml:space="preserve"/>
      </w:r>
    </w:p>
    <w:p>
      <w:pPr>
        <w:spacing w:after="120" w:line="276"/>
        <w:jc w:val="both"/>
      </w:pPr>
      <w:r>
        <w:rPr>
          <w:i/>
          <w:iCs/>
        </w:rPr>
        <w:t xml:space="preserve">Đối với hạng mục BIM của thiết bị E&amp;M, bảng dưới chỉ nêu yêu cầu cho thiết bị tại Phụ lục G. Nhà thầu gán các thiết bị chưa liệt kê vào hạng mục phù hợp. KHÔNG được dùng “Generic Models” làm hạng mục BIM.</w:t>
      </w:r>
    </w:p>
    <w:p>
      <w:pPr>
        <w:spacing w:after="160" w:before="60"/>
        <w:jc w:val="center"/>
      </w:pPr>
      <w:r>
        <w:rPr>
          <w:i/>
          <w:iCs/>
          <w:color w:val="595959"/>
          <w:sz w:val="18"/>
          <w:szCs w:val="18"/>
        </w:rPr>
        <w:t xml:space="preserve">Bảng 4-8 Hạng mục BIM cho thiết bị E&amp;M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60"/>
        <w:gridCol w:w="2900"/>
        <w:gridCol w:w="2800"/>
      </w:tblGrid>
      <w:tr>
        <w:trPr>
          <w:tblHeader/>
        </w:trPr>
        <w:tc>
          <w:tcPr>
            <w:tcW w:type="dxa" w:w="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No.</w:t>
            </w:r>
          </w:p>
        </w:tc>
        <w:tc>
          <w:tcPr>
            <w:tcW w:type="dxa" w:w="28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Tên hệ thống</w:t>
            </w:r>
          </w:p>
        </w:tc>
        <w:tc>
          <w:tcPr>
            <w:tcW w:type="dxa" w:w="29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Loại thiết bị</w:t>
            </w:r>
          </w:p>
        </w:tc>
        <w:tc>
          <w:tcPr>
            <w:tcW w:type="dxa" w:w="2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Hạng mục BIM (công cụ tạo lập)</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01</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Thang máy &amp; Thang cuốn</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Specialty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02</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Tủ điện hạ thế</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Electrical Equipment</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03</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Máy phát điện dự phòng</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(Trừ loại dưới)</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Electrical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Bơm nhiên liệu</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Mechanical Equipment</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04</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HVAC</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(Trừ các loại dưới)</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Mechanical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Van chặn lửa / Van điều tiết / Bộ giảm âm</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Duct Accessories</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Cửa gió / louver</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Air Terminal</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Tủ điều khiển động cơ tại chỗ</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Electrical Equipment</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Lọc tự động / Van</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Pipe Accessories</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05</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Hệ thống lò hơi</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Mechanical Equipment</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06</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Trạm lọc nước</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(Trừ loại dưới)</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Mechanical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Tủ điều khiển động cơ tại chỗ</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Electrical Equipment</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Hệ đường ống</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Pipes, Pipe fittings &amp; Pipe Accessories</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07</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PCCC</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(Trừ các loại dưới)</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Fire Alarm Devices</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Bộ van điều khiển sprinkler</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Pipe Accessories</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Đầu phun sprinkler</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Sprinkler</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Chữa cháy khí / Bình khí</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Specialty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Họng nước / Cuộn vòi</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Plumbing Equipment</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Biển chỉ dẫn / Đèn khẩn cấp</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Lighting Fixtures</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Bơm</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Mechanical Equipment</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08</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UPS</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Electrical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09</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Báo trộm</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Security Devices</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10</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Radar &amp; dẫn đường</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Communication Devices</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11</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Liên kết viba</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Communication Devices</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12</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Đồng hồ &amp; hiển thị</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Communication Devices</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13</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Nghe nhìn (AV)</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Communication Devices</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14</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Âm thanh điện tử</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Communication Devices</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15</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Vô tuyến</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Communication Device</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16</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CCTV</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CCTV Security Device</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17</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Thu phát truyền hình</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Communication Device</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18</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Chiếu sáng</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(Trừ loại dưới)</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Lighting Fixtures</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Hệ điều khiển chiếu sáng</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Electrical Fixtures</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19</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Phân phối điện</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(Trừ các loại dưới)</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Electrical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Busbar / Cáp phân phối chính</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Ducts / Cable Trays</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Cầu dao cách ly</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Electrical Fixtures</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Cầu dao cầu chì</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Electrical Fixtures</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20</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Khí y tế</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(Trừ các loại dưới)</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Specialty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Máy thổi / Máy nén / Bơm</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Mechanical Equipment</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21</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Vận chuyển ống khí nén</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(Trừ các loại dưới)</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Specialty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Bộ thổi</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Mechanical Equipment</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Nguồn động lực</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Electrical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22</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IoT</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Data Devices</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23</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Nguồn cao thế</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Electrical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24</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Tổng đài PABX</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Telephone Devices</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25</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Thu gom rác tự động</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Specialty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A1</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Cấp nước</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(Trừ ống, phụ kiện &amp; tủ ĐK)</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Mechanical Equipment</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Tủ điều khiển bơm</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Electrical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A2</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Thoát nước</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(Trừ ống, phụ kiện &amp; tủ ĐK)</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Mechanical Equipment</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Tủ điều khiển bơm</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Electrical Equipment</w:t>
            </w:r>
          </w:p>
        </w:tc>
      </w:tr>
      <w:tr>
        <w:tc>
          <w:tcPr>
            <w:tcW w:type="dxa" w:w="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A3</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Phát hiện rò rỉ nước</w:t>
            </w:r>
          </w:p>
        </w:tc>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Specialty Equipment</w:t>
            </w:r>
          </w:p>
        </w:tc>
      </w:tr>
      <w:tr>
        <w:tc>
          <w:tcPr>
            <w:tcW w:type="dxa" w:w="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A4</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Nâng hạ &amp; xếp dỡ cơ khí</w:t>
            </w:r>
          </w:p>
        </w:tc>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(Tất cả)</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Specialty Equipment</w:t>
            </w:r>
          </w:p>
        </w:tc>
      </w:tr>
    </w:tbl>
    <w:p>
      <w:r>
        <w:br w:type="page"/>
      </w:r>
    </w:p>
    <w:p>
      <w:pPr>
        <w:pStyle w:val="Heading3"/>
      </w:pPr>
      <w:r>
        <w:t xml:space="preserve">4.2.4 Thực hành tốt nhất về thiết lập mô hình</w:t>
      </w:r>
    </w:p>
    <w:p>
      <w:pPr>
        <w:spacing w:after="120" w:line="276"/>
        <w:jc w:val="both"/>
      </w:pPr>
      <w:r>
        <w:t xml:space="preserve">Tham chiếu Phụ lục E để biết chi tiết thực hành tốt nhất về tạo lập đối tượng BIM, mô hình kiến trúc, mô hình E&amp;M và chi tiết thi công. Một số hạng mục then chốt:</w:t>
      </w:r>
    </w:p>
    <w:p>
      <w:pPr>
        <w:pStyle w:val="ListParagraph"/>
        <w:numPr>
          <w:ilvl w:val="0"/>
          <w:numId w:val="3"/>
        </w:numPr>
        <w:spacing w:after="80" w:line="264"/>
        <w:jc w:val="both"/>
      </w:pPr>
      <w:r>
        <w:t xml:space="preserve">Không ưu tiên đối tượng lồng nhau cho các đối tượng E&amp;M có yêu cầu thông tin tài sản khác nhau như nêu trong ADT (Phụ lục B);</w:t>
      </w:r>
    </w:p>
    <w:p>
      <w:pPr>
        <w:pStyle w:val="ListParagraph"/>
        <w:numPr>
          <w:ilvl w:val="0"/>
          <w:numId w:val="3"/>
        </w:numPr>
        <w:spacing w:after="80" w:line="264"/>
        <w:jc w:val="both"/>
      </w:pPr>
      <w:r>
        <w:t xml:space="preserve">Từ góc độ quản lý tài sản, không ưu tiên đối tượng lồng nhau cho cụm mô-đun; phải tạo đối tượng BIM riêng cho mỗi thiết bị E&amp;M chính nêu tại Phụ lục G;</w:t>
      </w:r>
    </w:p>
    <w:p>
      <w:pPr>
        <w:pStyle w:val="ListParagraph"/>
        <w:numPr>
          <w:ilvl w:val="0"/>
          <w:numId w:val="3"/>
        </w:numPr>
        <w:spacing w:after="80" w:line="264"/>
        <w:jc w:val="both"/>
      </w:pPr>
      <w:r>
        <w:t xml:space="preserve">Mô hình kiến trúc bao gồm thiết lập mô hình, tạo zone và mô hình hoá phòng, thêm tham số;</w:t>
      </w:r>
    </w:p>
    <w:p>
      <w:pPr>
        <w:pStyle w:val="ListParagraph"/>
        <w:numPr>
          <w:ilvl w:val="0"/>
          <w:numId w:val="3"/>
        </w:numPr>
        <w:spacing w:after="80" w:line="264"/>
        <w:jc w:val="both"/>
      </w:pPr>
      <w:r>
        <w:t xml:space="preserve">Tạo lập mô hình E&amp;M bao gồm tổ chức trình duyệt, thiết lập mô hình và phong cách trình bày cho hệ E&amp;M;</w:t>
      </w:r>
    </w:p>
    <w:p>
      <w:pPr>
        <w:pStyle w:val="ListParagraph"/>
        <w:numPr>
          <w:ilvl w:val="0"/>
          <w:numId w:val="3"/>
        </w:numPr>
        <w:spacing w:after="80" w:line="264"/>
        <w:jc w:val="both"/>
      </w:pPr>
      <w:r>
        <w:t xml:space="preserve">Chi tiết thi công sử dụng tập lưu trữ riêng (workset/layer/level) cho chi tiết thi công và chế tạo;</w:t>
      </w:r>
    </w:p>
    <w:p>
      <w:pPr>
        <w:pStyle w:val="ListParagraph"/>
        <w:numPr>
          <w:ilvl w:val="0"/>
          <w:numId w:val="3"/>
        </w:numPr>
        <w:spacing w:after="80" w:line="264"/>
        <w:jc w:val="both"/>
      </w:pPr>
      <w:r>
        <w:t xml:space="preserve">Nâng cấp phiên bản mô hình BIM.</w:t>
      </w:r>
    </w:p>
    <w:p>
      <w:pPr>
        <w:pStyle w:val="Heading2"/>
      </w:pPr>
      <w:r>
        <w:t xml:space="preserve">4.3 Bảng kê (Schedules)</w:t>
      </w:r>
    </w:p>
    <w:p>
      <w:pPr>
        <w:pStyle w:val="Heading3"/>
      </w:pPr>
      <w:r>
        <w:t xml:space="preserve">4.3.1 Bảng kê thiết bị</w:t>
      </w:r>
    </w:p>
    <w:p>
      <w:pPr>
        <w:spacing w:after="120" w:line="276"/>
        <w:jc w:val="both"/>
      </w:pPr>
      <w:r>
        <w:t xml:space="preserve">Phải tạo bảng kê thiết bị trong mô hình BIM cho tất cả thiết bị theo loại, hiển thị các thuộc tính bắt buộc. Định danh thiết bị trong bảng kê phải tuân theo các trường 4–7 của Mã tài sản nêu tại Mục 5.1, mang lại lợi ích từ giai đoạn thiết kế đến vận hành với hệ mã hoá đồng nhất.</w:t>
      </w:r>
    </w:p>
    <w:p>
      <w:pPr>
        <w:spacing w:after="120" w:line="276"/>
        <w:jc w:val="both"/>
      </w:pPr>
      <w:r>
        <w:rPr>
          <w:i/>
          <w:iCs/>
        </w:rPr>
        <w:t xml:space="preserve">Ví dụ định danh đề xuất cho AHU tại tầng trệt: GF-HVAC-AHU-01</w:t>
      </w:r>
    </w:p>
    <w:p>
      <w:pPr>
        <w:pStyle w:val="Heading2"/>
      </w:pPr>
      <w:r>
        <w:t xml:space="preserve">4.4 Phong cách trình bày</w:t>
      </w:r>
    </w:p>
    <w:p>
      <w:pPr>
        <w:spacing w:after="120" w:line="276"/>
        <w:jc w:val="both"/>
      </w:pPr>
      <w:r>
        <w:t xml:space="preserve">Mục này quy định thiết lập hiển thị phần tử mô hình BIM cho trình bày 2D và 3D. Đối với bản vẽ CAD 2D, phải tuân theo tiêu chuẩn CAD áp dụng cho dự án. Nếu bản vẽ 2D được tạo trực tiếp từ mô hình BIM thì không cần tuân theo tiêu chuẩn CAD nếu không khả thi về mặt kỹ thuật.</w:t>
      </w:r>
    </w:p>
    <w:p>
      <w:pPr>
        <w:pStyle w:val="Heading3"/>
      </w:pPr>
      <w:r>
        <w:t xml:space="preserve">4.4.1 Độ dày nét vẽ</w:t>
      </w:r>
    </w:p>
    <w:p>
      <w:pPr>
        <w:spacing w:after="160" w:before="60"/>
        <w:jc w:val="center"/>
      </w:pPr>
      <w:r>
        <w:rPr>
          <w:i/>
          <w:iCs/>
          <w:color w:val="595959"/>
          <w:sz w:val="18"/>
          <w:szCs w:val="18"/>
        </w:rPr>
        <w:t xml:space="preserve">Bảng 4-9 Độ dày nét vẽ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Trọng số nét</w:t>
            </w:r>
          </w:p>
        </w:tc>
        <w:tc>
          <w:tcPr>
            <w:tcW w:type="dxa" w:w="2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Độ dày</w:t>
            </w:r>
          </w:p>
        </w:tc>
        <w:tc>
          <w:tcPr>
            <w:tcW w:type="dxa" w:w="2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Trọng số nét</w:t>
            </w:r>
          </w:p>
        </w:tc>
        <w:tc>
          <w:tcPr>
            <w:tcW w:type="dxa" w:w="2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Độ dày</w:t>
            </w:r>
          </w:p>
        </w:tc>
      </w:tr>
      <w:tr>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Weight 0</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0.13mm</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Weight 4</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0.50mm</w:t>
            </w:r>
          </w:p>
        </w:tc>
      </w:tr>
      <w:tr>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Weight 1</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0.18mm</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Weight 5</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0.70mm</w:t>
            </w:r>
          </w:p>
        </w:tc>
      </w:tr>
      <w:tr>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Weight 2</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0.25mm</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Weight 6</w:t>
            </w:r>
          </w:p>
        </w:tc>
        <w:tc>
          <w:tcPr>
            <w:tcW w:type="dxa" w:w="2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1.00mm</w:t>
            </w:r>
          </w:p>
        </w:tc>
      </w:tr>
      <w:tr>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Weight 3</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0.35mm</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Weight 7</w:t>
            </w:r>
          </w:p>
        </w:tc>
        <w:tc>
          <w:tcPr>
            <w:tcW w:type="dxa" w:w="2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2.00mm</w:t>
            </w:r>
          </w:p>
        </w:tc>
      </w:tr>
    </w:tbl>
    <w:p>
      <w:pPr>
        <w:spacing w:after="60"/>
      </w:pPr>
      <w:r>
        <w:t xml:space="preserve"/>
      </w:r>
    </w:p>
    <w:p>
      <w:pPr>
        <w:pStyle w:val="Heading3"/>
      </w:pPr>
      <w:r>
        <w:t xml:space="preserve">4.4.2 Màu sắc đối tượng E&amp;M</w:t>
      </w:r>
    </w:p>
    <w:p>
      <w:pPr>
        <w:spacing w:after="120" w:line="276"/>
        <w:jc w:val="both"/>
      </w:pPr>
      <w:r>
        <w:t xml:space="preserve">Bề ngoài của đối tượng BIM phục vụ quản lý tài sản phải phản ánh vật liệu thực của sản phẩm; nếu không, màu bề mặt sản phẩm là chấp nhận được.</w:t>
      </w:r>
    </w:p>
    <w:p>
      <w:pPr>
        <w:pStyle w:val="Heading3"/>
      </w:pPr>
      <w:r>
        <w:t xml:space="preserve">4.4.3 Yêu cầu độ dày nét, kiểu nét &amp; mã màu cho hệ E&amp;M</w:t>
      </w:r>
    </w:p>
    <w:p>
      <w:pPr>
        <w:spacing w:after="120" w:line="276"/>
        <w:jc w:val="both"/>
      </w:pPr>
      <w:r>
        <w:t xml:space="preserve">Mã màu phải được gán cho các loại hệ thống dưới đây bằng cách cấu hình “Filters” trong “Visibility/Graphics Override”. Với loại hệ thống chưa liệt kê, Nhà thầu đề xuất mã màu mới kèm giải trình.</w:t>
      </w:r>
    </w:p>
    <w:p>
      <w:pPr>
        <w:spacing w:after="160" w:before="60"/>
        <w:jc w:val="center"/>
      </w:pPr>
      <w:r>
        <w:rPr>
          <w:i/>
          <w:iCs/>
          <w:color w:val="595959"/>
          <w:sz w:val="18"/>
          <w:szCs w:val="18"/>
        </w:rPr>
        <w:t xml:space="preserve">Bảng 4-10 Độ dày nét, kiểu nét &amp; mã màu (RGB) cho hệ E&amp;M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200"/>
        <w:gridCol w:w="3160"/>
        <w:gridCol w:w="1080"/>
        <w:gridCol w:w="1300"/>
        <w:gridCol w:w="1000"/>
      </w:tblGrid>
      <w:tr>
        <w:trPr>
          <w:tblHeader/>
        </w:trPr>
        <w:tc>
          <w:tcPr>
            <w:tcW w:type="dxa" w:w="6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No.</w:t>
            </w:r>
          </w:p>
        </w:tc>
        <w:tc>
          <w:tcPr>
            <w:tcW w:type="dxa" w:w="2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Hệ thống</w:t>
            </w:r>
          </w:p>
        </w:tc>
        <w:tc>
          <w:tcPr>
            <w:tcW w:type="dxa" w:w="31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Tuyến</w:t>
            </w:r>
          </w:p>
        </w:tc>
        <w:tc>
          <w:tcPr>
            <w:tcW w:type="dxa" w:w="108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Độ dày (mm)</w:t>
            </w:r>
          </w:p>
        </w:tc>
        <w:tc>
          <w:tcPr>
            <w:tcW w:type="dxa" w:w="1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Kiểu nét</w:t>
            </w:r>
          </w:p>
        </w:tc>
        <w:tc>
          <w:tcPr>
            <w:tcW w:type="dxa" w:w="10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RGB (3D)</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01</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Thang máy &amp; Thang cuốn</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Containment thang máy &amp; thang cuốn</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128,0,128</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Tủ điện hạ thế</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tủ điện hạ thế</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Divide2</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128,128,0</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Máy phát điện</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Containment máy phát điện</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255,0,64</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cấp/hồi dầu</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Dashdot2</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255,126,0</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gió thải / Ống khói</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0,255,0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04</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HVAC</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gió cấp sơ cấp</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0,255,255</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gió thải</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0,255,0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gió tươi</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0,0,255</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gió cấp</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255,0,0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gió hồi</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255,0,255</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hút khói</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128,128,0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cấp nước lạnh</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Dashdot2</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0,0,255</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hồi nước lạnh</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Dashdot2</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0,255,0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gas lạnh</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128,0,255</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05</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Lò hơi</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cấp nước nóng</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Dash dot</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255,0,0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lò hơi/hơi</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255,255,0</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06</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Trạm lọc nước</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trạm lọc</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0,128,0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cấp nước</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0,128,255</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07</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PCCC</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sprinkler / họng nước</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255,0,0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 báo cháy tự động</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Divide2</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255,0,0</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08</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UPS</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Containment UPS</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128,64,64</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09</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Báo trộm &amp; An ninh</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báo trộm &amp; an ninh</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128,255,255</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10</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Radar &amp; dẫn đường</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Containment radar &amp; dẫn đường</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0,153,0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11</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Liên kết viba</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liên kết viba</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0,64,64</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12</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Đồng hồ &amp; hiển thị</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Containment đồng hồ &amp; hiển thị</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128,128,128</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13</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Nghe nhìn (AV)</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nghe nhìn</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0,128,128</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14</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Âm thanh</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Containment âm thanh</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102,102,51</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15</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Vô tuyến</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vô tuyến</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204,153,255</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16</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CCTV</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Containment CCTV</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255,153,102</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17</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Thu phát truyền hình</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thu phát truyền hình</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128,255,255</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18</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Chiếu sáng</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Containment chiếu sáng &amp; điều khiển</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Center2</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0,255,0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19</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Phân phối điện</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hạ thế</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Divide2</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0,255,0</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Containment cao thế</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Divide2</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0,255,0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20</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Khí y tế</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Oxy</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255,153,0</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Hút chân không</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Long Dash Dash</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255,0,255</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21</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Vận chuyển ống khí nén</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Đường ống khí nén</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196,89,17</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22</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IoT</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Containment IoT</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Divide2</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0,255,0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23</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Nguồn cao thế</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cao thế</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Divide2</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0,255,0</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24</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Tổng đài PABX</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 PABX</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0,128,255</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25</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Thu gom rác tự động</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thu gom rác</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Divide2</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0,255,0</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A1</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Cấp nước</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nước sạch</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0,255,0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nước lạnh</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Long Dash Dash</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0,0,255</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A2</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Thoát nước</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thải &amp; phân</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Center2</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128,0,0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nước mưa</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Phantom2</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0,255,255</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A3</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Phát hiện rò rỉ nước</w:t>
            </w:r>
          </w:p>
        </w:tc>
        <w:tc>
          <w:tcPr>
            <w:tcW w:type="dxa" w:w="3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Cáp phát hiện rò rỉ</w:t>
            </w:r>
          </w:p>
        </w:tc>
        <w:tc>
          <w:tcPr>
            <w:tcW w:type="dxa" w:w="10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Continuous</w:t>
            </w:r>
          </w:p>
        </w:tc>
        <w:tc>
          <w:tcPr>
            <w:tcW w:type="dxa" w:w="1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122,48,160</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A4</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Nâng hạ &amp; xếp dỡ cơ khí</w:t>
            </w:r>
          </w:p>
        </w:tc>
        <w:tc>
          <w:tcPr>
            <w:tcW w:type="dxa" w:w="3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nâng hạ &amp; xếp dỡ</w:t>
            </w:r>
          </w:p>
        </w:tc>
        <w:tc>
          <w:tcPr>
            <w:tcW w:type="dxa" w:w="10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0.35</w:t>
            </w:r>
          </w:p>
        </w:tc>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Divide2</w:t>
            </w:r>
          </w:p>
        </w:tc>
        <w:tc>
          <w:tcPr>
            <w:tcW w:type="dxa" w:w="1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125,48,255</w:t>
            </w:r>
          </w:p>
        </w:tc>
      </w:tr>
    </w:tbl>
    <w:p>
      <w:r>
        <w:br w:type="page"/>
      </w:r>
    </w:p>
    <w:p>
      <w:pPr>
        <w:pStyle w:val="Heading2"/>
      </w:pPr>
      <w:r>
        <w:t xml:space="preserve">4.5 Công tác Cải tạo &amp; Bổ sung (A&amp;A)</w:t>
      </w:r>
    </w:p>
    <w:p>
      <w:pPr>
        <w:spacing w:after="120" w:line="276"/>
        <w:jc w:val="both"/>
      </w:pPr>
      <w:r>
        <w:t xml:space="preserve">Đối với công tác A&amp;A, thông tin hiện trạng hoặc thông tin hoàn công (bao gồm bản vẽ và mô hình) phải được lấy từ đội O&amp;M của CĐT. Khi dự án A&amp;A được khởi động, CĐT sẽ chia sẻ mô hình BIM, bản vẽ, đối tượng và dữ liệu tài sản mới nhất cho Tư vấn/Nhà thầu được chỉ định. Tư vấn/Nhà thầu phải phối hợp với đội O&amp;M để lấy mô hình đã cắt (trimmed model) theo đúng khu vực A&amp;A.</w:t>
      </w:r>
    </w:p>
    <w:p>
      <w:pPr>
        <w:spacing w:after="120" w:line="276"/>
        <w:jc w:val="both"/>
      </w:pPr>
      <w:r>
        <w:t xml:space="preserve">Khi hoàn thành công tác A&amp;A, Nhà thầu phải nộp mô hình BIM hoàn công, bản vẽ, đối tượng, tài liệu &amp; ảnh O&amp;M, tệp COBieLite, quan hệ tài sản và thuộc tính thiết bị như nêu trong Quy định BIM–AM và H/O Guide.</w:t>
      </w:r>
    </w:p>
    <w:p>
      <w:pPr>
        <w:spacing w:after="120" w:line="276"/>
        <w:jc w:val="both"/>
      </w:pPr>
      <w:r>
        <w:t xml:space="preserve">Khi toà nhà hiện hữu áp dụng phiên bản trước của Quy định BIM–AM, dữ liệu và mô hình hiện hữu nằm ngoài khu vực A&amp;A phải được giữ nguyên. Chỉ mô hình và dữ liệu của tài sản mới bổ sung trong A&amp;A cần tuân theo phiên bản mới nhất. Phần tử mô hình hiện hữu trực tiếp giao tiếp với công tác A&amp;A mới nên được chỉnh sửa/dựng lại để tuân thủ phiên bản mới nhất; tuy nhiên dữ liệu tài sản của phần tử hiện hữu phải được giữ nguyên.</w:t>
      </w:r>
    </w:p>
    <w:p>
      <w:r>
        <w:br w:type="page"/>
      </w:r>
    </w:p>
    <w:p>
      <w:pPr>
        <w:pStyle w:val="Heading1"/>
      </w:pPr>
      <w:r>
        <w:t xml:space="preserve">5. Hệ thống mã hoá &amp; đánh số tài sản</w:t>
      </w:r>
    </w:p>
    <w:p>
      <w:pPr>
        <w:spacing w:after="120" w:line="276"/>
        <w:jc w:val="both"/>
      </w:pPr>
      <w:r>
        <w:t xml:space="preserve">Quy ước thống nhất cho thiết bị E&amp;M là thiết yếu cho quản lý tài sản trong giai đoạn vận hành &amp; bảo trì. Quy ước đặt tên đưa ra nguyên tắc cho tất cả các trường (gồm khu vực, bộ môn và tài sản) để triển khai hệ thống BIM–AM của CĐT.</w:t>
      </w:r>
    </w:p>
    <w:p>
      <w:pPr>
        <w:pStyle w:val="Heading2"/>
      </w:pPr>
      <w:r>
        <w:t xml:space="preserve">5.1 Mã hoá tài sản E&amp;M</w:t>
      </w:r>
    </w:p>
    <w:p>
      <w:pPr>
        <w:spacing w:after="120" w:line="276"/>
        <w:jc w:val="both"/>
      </w:pPr>
      <w:r>
        <w:t xml:space="preserve">Số hiệu thiết bị (tức “Mã tài sản”) gồm 7 phần, có dạng dưới đây và phân tách bởi dấu “-” giữa các trường. Mã tài sản gồm đủ 7 phần với tối đa 37 ký tự (kể cả dấu gạch nối). Mã được dùng cho quản lý bảo trì tập trung của CĐT, giúp người dùng biết được khu vực, toà nhà, khối và tầng khi đọc mã. Mã tài sản phải được nhập vào tham số tên “DT.Common.Asset Code” trong nhóm thuộc tính chung.</w:t>
      </w:r>
    </w:p>
    <w:p>
      <w:pPr>
        <w:spacing w:after="160" w:before="60"/>
        <w:jc w:val="center"/>
      </w:pPr>
      <w:r>
        <w:rPr>
          <w:i/>
          <w:iCs/>
          <w:color w:val="595959"/>
          <w:sz w:val="18"/>
          <w:szCs w:val="18"/>
        </w:rPr>
        <w:t xml:space="preserve">Bảng 5-1 Quy ước mã tài sản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320"/>
        <w:gridCol w:w="1320"/>
        <w:gridCol w:w="1320"/>
        <w:gridCol w:w="1380"/>
        <w:gridCol w:w="1380"/>
        <w:gridCol w:w="1320"/>
      </w:tblGrid>
      <w:tr>
        <w:trPr>
          <w:tblHeader/>
        </w:trPr>
        <w:tc>
          <w:tcPr>
            <w:tcW w:type="dxa" w:w="13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1 Mã khu vực</w:t>
            </w:r>
          </w:p>
        </w:tc>
        <w:tc>
          <w:tcPr>
            <w:tcW w:type="dxa" w:w="13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2 Mã toà nhà</w:t>
            </w:r>
          </w:p>
        </w:tc>
        <w:tc>
          <w:tcPr>
            <w:tcW w:type="dxa" w:w="13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3 Mã khối</w:t>
            </w:r>
          </w:p>
        </w:tc>
        <w:tc>
          <w:tcPr>
            <w:tcW w:type="dxa" w:w="13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4 Tầng</w:t>
            </w:r>
          </w:p>
        </w:tc>
        <w:tc>
          <w:tcPr>
            <w:tcW w:type="dxa" w:w="138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5 Mã hệ thống/tuyến</w:t>
            </w:r>
          </w:p>
        </w:tc>
        <w:tc>
          <w:tcPr>
            <w:tcW w:type="dxa" w:w="138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6 Mã thiết bị</w:t>
            </w:r>
          </w:p>
        </w:tc>
        <w:tc>
          <w:tcPr>
            <w:tcW w:type="dxa" w:w="13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7 Số thứ tự</w:t>
            </w:r>
          </w:p>
        </w:tc>
      </w:tr>
      <w:tr>
        <w:tc>
          <w:tcPr>
            <w:tcW w:type="dxa" w:w="13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1–3 ký tự (Mục 5.2)</w:t>
            </w:r>
          </w:p>
        </w:tc>
        <w:tc>
          <w:tcPr>
            <w:tcW w:type="dxa" w:w="13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1–5 ký tự (Mục 5.3)</w:t>
            </w:r>
          </w:p>
        </w:tc>
        <w:tc>
          <w:tcPr>
            <w:tcW w:type="dxa" w:w="13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1–3 ký tự (Mục 5.4)</w:t>
            </w:r>
          </w:p>
        </w:tc>
        <w:tc>
          <w:tcPr>
            <w:tcW w:type="dxa" w:w="13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1–4 ký tự</w:t>
            </w:r>
          </w:p>
        </w:tc>
        <w:tc>
          <w:tcPr>
            <w:tcW w:type="dxa" w:w="13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2–5 ký tự (Mục 5.5)</w:t>
            </w:r>
          </w:p>
        </w:tc>
        <w:tc>
          <w:tcPr>
            <w:tcW w:type="dxa" w:w="13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2–5 ký tự (Phụ lục G)</w:t>
            </w:r>
          </w:p>
        </w:tc>
        <w:tc>
          <w:tcPr>
            <w:tcW w:type="dxa" w:w="13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2–6 chữ số</w:t>
            </w:r>
          </w:p>
        </w:tc>
      </w:tr>
      <w:tr>
        <w:tc>
          <w:tcPr>
            <w:tcW w:type="dxa" w:w="13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KT</w:t>
            </w:r>
          </w:p>
        </w:tc>
        <w:tc>
          <w:tcPr>
            <w:tcW w:type="dxa" w:w="13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DTHQ</w:t>
            </w:r>
          </w:p>
        </w:tc>
        <w:tc>
          <w:tcPr>
            <w:tcW w:type="dxa" w:w="13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NA</w:t>
            </w:r>
          </w:p>
        </w:tc>
        <w:tc>
          <w:tcPr>
            <w:tcW w:type="dxa" w:w="13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1F</w:t>
            </w:r>
          </w:p>
        </w:tc>
        <w:tc>
          <w:tcPr>
            <w:tcW w:type="dxa" w:w="13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HVAC</w:t>
            </w:r>
          </w:p>
        </w:tc>
        <w:tc>
          <w:tcPr>
            <w:tcW w:type="dxa" w:w="13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FCU</w:t>
            </w:r>
          </w:p>
        </w:tc>
        <w:tc>
          <w:tcPr>
            <w:tcW w:type="dxa" w:w="13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01</w:t>
            </w:r>
          </w:p>
        </w:tc>
      </w:tr>
    </w:tbl>
    <w:p>
      <w:pPr>
        <w:spacing w:after="60"/>
      </w:pPr>
      <w:r>
        <w:t xml:space="preserve"/>
      </w:r>
    </w:p>
    <w:p>
      <w:pPr>
        <w:spacing w:after="120" w:line="276"/>
        <w:jc w:val="both"/>
      </w:pPr>
      <w:r>
        <w:rPr>
          <w:b/>
          <w:bCs/>
        </w:rPr>
        <w:t xml:space="preserve">Ghi chú:</w:t>
      </w:r>
    </w:p>
    <w:p>
      <w:pPr>
        <w:pStyle w:val="ListParagraph"/>
        <w:numPr>
          <w:ilvl w:val="0"/>
          <w:numId w:val="3"/>
        </w:numPr>
        <w:spacing w:after="80" w:line="264"/>
        <w:jc w:val="both"/>
      </w:pPr>
      <w:r>
        <w:t xml:space="preserve">Dãy số thứ tự được khởi động lại cho mỗi loại thiết bị ở mỗi tầng khác nhau;</w:t>
      </w:r>
    </w:p>
    <w:p>
      <w:pPr>
        <w:pStyle w:val="ListParagraph"/>
        <w:numPr>
          <w:ilvl w:val="0"/>
          <w:numId w:val="3"/>
        </w:numPr>
        <w:spacing w:after="80" w:line="264"/>
        <w:jc w:val="both"/>
      </w:pPr>
      <w:r>
        <w:t xml:space="preserve">Cung cấp một số 0 đứng đầu cho số thiết bị một chữ số, ví dụ 01 đến 09;</w:t>
      </w:r>
    </w:p>
    <w:p>
      <w:pPr>
        <w:pStyle w:val="ListParagraph"/>
        <w:numPr>
          <w:ilvl w:val="0"/>
          <w:numId w:val="3"/>
        </w:numPr>
        <w:spacing w:after="80" w:line="264"/>
        <w:jc w:val="both"/>
      </w:pPr>
      <w:r>
        <w:t xml:space="preserve">Dùng mã hệ thống cho mã tài sản, trừ một số phân hệ thuộc “Báo trộm” và “Thu phát truyền hình” thì dùng mã tuyến.</w:t>
      </w:r>
    </w:p>
    <w:p>
      <w:pPr>
        <w:spacing w:after="120" w:line="276"/>
        <w:jc w:val="both"/>
      </w:pPr>
      <w:r>
        <w:rPr>
          <w:b/>
          <w:bCs/>
        </w:rPr>
        <w:t xml:space="preserve">Ví dụ:</w:t>
      </w:r>
    </w:p>
    <w:p>
      <w:pPr>
        <w:pStyle w:val="ListParagraph"/>
        <w:numPr>
          <w:ilvl w:val="0"/>
          <w:numId w:val="2"/>
        </w:numPr>
        <w:spacing w:after="80" w:line="264"/>
        <w:jc w:val="both"/>
      </w:pPr>
      <w:r>
        <w:t xml:space="preserve">Fan Coil Unit tại tầng 1 trụ sở CĐT → Mã tài sản: KT-DTHQ-NA-1F-HVAC-FCU-01;</w:t>
      </w:r>
    </w:p>
    <w:p>
      <w:pPr>
        <w:pStyle w:val="ListParagraph"/>
        <w:numPr>
          <w:ilvl w:val="0"/>
          <w:numId w:val="2"/>
        </w:numPr>
        <w:spacing w:after="80" w:line="264"/>
        <w:jc w:val="both"/>
      </w:pPr>
      <w:r>
        <w:t xml:space="preserve">Bơm chữa cháy tại tầng 2 → Mã tài sản: KT-DTHQ-NA-2F-FS-PMP-01;</w:t>
      </w:r>
    </w:p>
    <w:p>
      <w:pPr>
        <w:pStyle w:val="ListParagraph"/>
        <w:numPr>
          <w:ilvl w:val="0"/>
          <w:numId w:val="2"/>
        </w:numPr>
        <w:spacing w:after="80" w:line="264"/>
        <w:jc w:val="both"/>
      </w:pPr>
      <w:r>
        <w:t xml:space="preserve">AHU tại tầng 1 → Mã tài sản: KT-DTHQ-NA-1F-HVAC-AHU-701.</w:t>
      </w:r>
    </w:p>
    <w:p>
      <w:pPr>
        <w:pStyle w:val="Heading2"/>
      </w:pPr>
      <w:r>
        <w:t xml:space="preserve">5.2 Mã khu vực</w:t>
      </w:r>
    </w:p>
    <w:p>
      <w:pPr>
        <w:spacing w:after="120" w:line="276"/>
        <w:jc w:val="both"/>
      </w:pPr>
      <w:r>
        <w:t xml:space="preserve">Mã khu vực dựa theo vị trí địa lý hành chính. Bảng dưới minh hoạ cấu trúc mã khu vực (2–3 ký tự viết tắt theo tên quận/huyện/khu vực hành chính).</w:t>
      </w:r>
    </w:p>
    <w:p>
      <w:pPr>
        <w:spacing w:after="160" w:before="60"/>
        <w:jc w:val="center"/>
      </w:pPr>
      <w:r>
        <w:rPr>
          <w:i/>
          <w:iCs/>
          <w:color w:val="595959"/>
          <w:sz w:val="18"/>
          <w:szCs w:val="18"/>
        </w:rPr>
        <w:t xml:space="preserve">Bảng 5-2 Mã khu vực (minh hoạ)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0"/>
        <w:gridCol w:w="1340"/>
        <w:gridCol w:w="3340"/>
        <w:gridCol w:w="1340"/>
      </w:tblGrid>
      <w:tr>
        <w:trPr>
          <w:tblHeader/>
        </w:trPr>
        <w:tc>
          <w:tcPr>
            <w:tcW w:type="dxa" w:w="3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Khu vực</w:t>
            </w:r>
          </w:p>
        </w:tc>
        <w:tc>
          <w:tcPr>
            <w:tcW w:type="dxa" w:w="1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c>
          <w:tcPr>
            <w:tcW w:type="dxa" w:w="3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Khu vực</w:t>
            </w:r>
          </w:p>
        </w:tc>
        <w:tc>
          <w:tcPr>
            <w:tcW w:type="dxa" w:w="1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r>
      <w:tr>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Khu trung tâm</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TT</w:t>
            </w:r>
          </w:p>
        </w:tc>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Khu Đông</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Đ</w:t>
            </w:r>
          </w:p>
        </w:tc>
      </w:tr>
      <w:tr>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Khu Tây</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T</w:t>
            </w:r>
          </w:p>
        </w:tc>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Khu Nam</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N</w:t>
            </w:r>
          </w:p>
        </w:tc>
      </w:tr>
      <w:tr>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Khu Bắc</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B</w:t>
            </w:r>
          </w:p>
        </w:tc>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Khu ven đô</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VĐ</w:t>
            </w:r>
          </w:p>
        </w:tc>
      </w:tr>
      <w:tr>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Đảo / khu biệt lập</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ĐL</w:t>
            </w:r>
          </w:p>
        </w:tc>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Khu công nghiệp</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CN</w:t>
            </w:r>
          </w:p>
        </w:tc>
      </w:tr>
    </w:tbl>
    <w:p>
      <w:pPr>
        <w:spacing w:after="60"/>
      </w:pPr>
      <w:r>
        <w:t xml:space="preserve"/>
      </w:r>
    </w:p>
    <w:p>
      <w:pPr>
        <w:spacing w:after="120" w:line="276"/>
        <w:jc w:val="both"/>
      </w:pPr>
      <w:r>
        <w:t xml:space="preserve">Danh mục đầy đủ mã khu vực hành chính được liệt kê tại Phụ lục A — Mã toà nhà &amp; khu vực.</w:t>
      </w:r>
    </w:p>
    <w:p>
      <w:pPr>
        <w:pStyle w:val="Heading2"/>
      </w:pPr>
      <w:r>
        <w:t xml:space="preserve">5.3 Mã toà nhà</w:t>
      </w:r>
    </w:p>
    <w:p>
      <w:pPr>
        <w:spacing w:after="120" w:line="276"/>
        <w:jc w:val="both"/>
      </w:pPr>
      <w:r>
        <w:t xml:space="preserve">Danh mục toà nhà và mã toà nhà tham chiếu Phụ lục A. Lưu ý Phụ lục A ở định dạng Excel và chỉ minh hoạ mã cho các cơ sở hiện hữu do CĐT quản lý. Đối với công trình xây mới hoặc khi phát hiện sai khác mã, liên hệ CĐT để được cấp mã mới.</w:t>
      </w:r>
    </w:p>
    <w:p>
      <w:pPr>
        <w:pStyle w:val="Heading2"/>
      </w:pPr>
      <w:r>
        <w:t xml:space="preserve">5.4 Mã khối</w:t>
      </w:r>
    </w:p>
    <w:p>
      <w:pPr>
        <w:spacing w:after="120" w:line="276"/>
        <w:jc w:val="both"/>
      </w:pPr>
      <w:r>
        <w:t xml:space="preserve">Mã dưới đây đại diện cho khối/tháp của một dự án có nhiều toà nhà. Các mã khác sử dụng trong dự án phải được các bên thống nhất và ghi vào BEP.</w:t>
      </w:r>
    </w:p>
    <w:p>
      <w:pPr>
        <w:spacing w:after="160" w:before="60"/>
        <w:jc w:val="center"/>
      </w:pPr>
      <w:r>
        <w:rPr>
          <w:i/>
          <w:iCs/>
          <w:color w:val="595959"/>
          <w:sz w:val="18"/>
          <w:szCs w:val="18"/>
        </w:rPr>
        <w:t xml:space="preserve">Bảng 5-3 Mã khối cho mã tài sản (trích)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0"/>
        <w:gridCol w:w="1340"/>
        <w:gridCol w:w="3340"/>
        <w:gridCol w:w="1340"/>
      </w:tblGrid>
      <w:tr>
        <w:trPr>
          <w:tblHeader/>
        </w:trPr>
        <w:tc>
          <w:tcPr>
            <w:tcW w:type="dxa" w:w="3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Khối</w:t>
            </w:r>
          </w:p>
        </w:tc>
        <w:tc>
          <w:tcPr>
            <w:tcW w:type="dxa" w:w="1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c>
          <w:tcPr>
            <w:tcW w:type="dxa" w:w="3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Khối</w:t>
            </w:r>
          </w:p>
        </w:tc>
        <w:tc>
          <w:tcPr>
            <w:tcW w:type="dxa" w:w="1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r>
      <w:tr>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Toà hành chính</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AB</w:t>
            </w:r>
          </w:p>
        </w:tc>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Khối phụ trợ</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AC</w:t>
            </w:r>
          </w:p>
        </w:tc>
      </w:tr>
      <w:tr>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Nhà ở cán bộ</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DQ</w:t>
            </w:r>
          </w:p>
        </w:tc>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Văn phòng</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OF</w:t>
            </w:r>
          </w:p>
        </w:tc>
      </w:tr>
      <w:tr>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Bãi đỗ xe</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CAP</w:t>
            </w:r>
          </w:p>
        </w:tc>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Trạm dịch vụ</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SV</w:t>
            </w:r>
          </w:p>
        </w:tc>
      </w:tr>
      <w:tr>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Tháp 1 / Tháp 2</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T1 / T2</w:t>
            </w:r>
          </w:p>
        </w:tc>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Khối 1 / Khối 2</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B1 / B2</w:t>
            </w:r>
          </w:p>
        </w:tc>
      </w:tr>
      <w:tr>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Cánh Bắc / Nam</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N / S</w:t>
            </w:r>
          </w:p>
        </w:tc>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Cánh Đông / Tây</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E / W</w:t>
            </w:r>
          </w:p>
        </w:tc>
      </w:tr>
      <w:tr>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Tầng hầm</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B</w:t>
            </w:r>
          </w:p>
        </w:tc>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Một khối đơn trong dự án</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NA</w:t>
            </w:r>
          </w:p>
        </w:tc>
      </w:tr>
    </w:tbl>
    <w:p>
      <w:pPr>
        <w:spacing w:after="60"/>
      </w:pPr>
      <w:r>
        <w:t xml:space="preserve"/>
      </w:r>
    </w:p>
    <w:p>
      <w:pPr>
        <w:pStyle w:val="Heading2"/>
      </w:pPr>
      <w:r>
        <w:t xml:space="preserve">5.5 Tên &amp; mã hệ thống E&amp;M và tuyến tương ứng</w:t>
      </w:r>
    </w:p>
    <w:p>
      <w:pPr>
        <w:spacing w:after="160" w:before="60"/>
        <w:jc w:val="center"/>
      </w:pPr>
      <w:r>
        <w:rPr>
          <w:i/>
          <w:iCs/>
          <w:color w:val="595959"/>
          <w:sz w:val="18"/>
          <w:szCs w:val="18"/>
        </w:rPr>
        <w:t xml:space="preserve">Bảng 5-4 Tên &amp; mã hệ thống E&amp;M và tuyến tương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920"/>
        <w:gridCol w:w="3700"/>
        <w:gridCol w:w="1520"/>
      </w:tblGrid>
      <w:tr>
        <w:trPr>
          <w:tblHeader/>
        </w:trPr>
        <w:tc>
          <w:tcPr>
            <w:tcW w:type="dxa" w:w="6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No.</w:t>
            </w:r>
          </w:p>
        </w:tc>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Tên hệ thống</w:t>
            </w:r>
          </w:p>
        </w:tc>
        <w:tc>
          <w:tcPr>
            <w:tcW w:type="dxa" w:w="9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 HT</w:t>
            </w:r>
          </w:p>
        </w:tc>
        <w:tc>
          <w:tcPr>
            <w:tcW w:type="dxa" w:w="37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Tên tuyến</w:t>
            </w:r>
          </w:p>
        </w:tc>
        <w:tc>
          <w:tcPr>
            <w:tcW w:type="dxa" w:w="15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 tuyến</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01</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Thang máy &amp; Thang cuốn</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LIFT</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Trunking/máng cáp cho thang máy &amp; thang cuốn</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LIFT</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02</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Tủ điện hạ thế</w:t>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LVS</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Trunking/máng cáp tủ điện hạ thế</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LVS</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03</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Máy phát điện dự phòng</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EMG</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Trunking/máng cáp máy phát điện</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EMG</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khói máy phát điện</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CHM</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gió thải máy phát điện</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EEAD</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hồi dầu</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FRP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cấp dầu</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FSP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thông hơi bồn dầu</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VP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04</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Điều hoà &amp; Thông gió (HVAC)</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HVAC</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gió cấp sơ cấp</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PAD</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gió thải</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EAD</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gió tươi</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FAD</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gió cấp</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SAD</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gió hồi</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RAD</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gió chuyển tiếp</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TAD</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hút khói</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SED</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gió bù</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MAD</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tăng áp cầu thang</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SPD</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xả áp</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PRD</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nước ngưng</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CDP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hồi nước lạnh</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CHWR</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cấp nước lạnh</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CHWS</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cấp nước giải nhiệt</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CDWR</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hồi nước giải nhiệt</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CDWS</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định lượng hoá chất</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CHDP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nước bù</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MWP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cấp nước nóng sưởi</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HHSP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hồi nước nóng sưởi</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HHRP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gas lạnh</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RP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khói</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CHP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05</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Hệ thống lò hơi</w:t>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BLR</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lò hơi/hơi</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BLR</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cấp nước nóng</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HWSP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hồi nước nóng</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HWRP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thông hơi</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VP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xả lò hơi</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BEP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nước ngưng (lò hơi ngưng tụ)</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CDP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nhiên liệu</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FP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khói</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CHP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nước lạnh</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CWP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06</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Trạm lọc nước</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FP</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trạm lọc</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FP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hồi</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RP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tràn</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OP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cấp</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07</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Hệ thống PCCC</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FS</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sprinkler</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SPR</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cuộn vòi/họng nước</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FSP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 hệ báo cháy tự động</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AFA</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hệ chữa cháy bằng khí</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GSS</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sprinkler tác động trước</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SPR</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08</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Nguồn cấp liên tục (UPS)</w:t>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UPS</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Trunking/máng cáp UPS</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UPS</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09</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Báo trộm &amp; An ninh</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BA</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 kiểm soát ra vào</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ACS</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 báo trộm</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BAS</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 CCTV &amp; liên lạc nội bộ</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CCTVI</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 thẻ thông minh</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SCS</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 báo gọi</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CAS</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 điện thoại hình</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VPS</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 khoá phím</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KLS</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 barie cần gạt</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DAB</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10</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Hệ thống radar &amp; dẫn đường</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RNS</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Trunking/máng cáp radar &amp; dẫn đường</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RNS</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11</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Hệ thống liên kết viba</w:t>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MLS</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Trunking/máng cáp liên kết viba</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MLS</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12</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Hệ thống đồng hồ &amp; hiển thị</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TDS</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Trunking/máng cáp đồng hồ &amp; hiển thị</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TDS</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13</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Hệ thống nghe nhìn (AV)</w:t>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AV</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Trunking/máng cáp nghe nhìn</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AV</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14</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Hệ thống âm thanh điện tử</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AUS</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Trunking/máng cáp âm thanh</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AUS</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15</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Hệ thống vô tuyến</w:t>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RS</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Trunking/máng cáp vô tuyến</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RS</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16</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Hệ thống CCTV</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CCTV</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Trunking/máng cáp CCTV</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CCTV</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17</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Thu phát truyền hình</w:t>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BR</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 truyền hình UHF</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UTV</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 truyền hình vệ tinh</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STV</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18</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Chiếu sáng</w:t>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LTG</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 điều khiển chiếu sáng</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LTG</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19</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Phân phối điện</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EL</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Containment hạ thế</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LV</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trung/cao thế</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HV</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 nguồn thường</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TR-N</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Trunking nguồn khẩn cấp</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TR-E</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 ELV</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TR-ELV</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20</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Hệ thống khí y tế</w:t>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MG</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Oxy</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O2</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Hút chân không</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MV</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Khí gây mê N2O</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N2O</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Khí gây mê</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AGS</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Khí nén 4 Bar</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MA4</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Khí nén 7 Bar</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SA7</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Khí nén phi y tế</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NMA</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21</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Vận chuyển ống khí nén</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PTS</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Đường ống vận chuyển khí nén</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PTS</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22</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Lắp đặt IoT</w:t>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SEN</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thiết bị IoT</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SEN</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23</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Nguồn cao thế</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HV</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 ELV</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HV</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cấp điện cao thế</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HV</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24</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Tổng đài PABX</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PX</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Trunking hệ PABX</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PX</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25</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Thu gom rác tự động</w:t>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ARCS</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Containment thu gom rác tự động</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ARCS</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A1</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Cấp nước</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PL</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nước rửa</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CLWP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nước lạnh</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CWP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nước xả bồn cầu</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FLWP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nước sạch</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FWP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cấp nước nóng</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HWSP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hồi nước nóng</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HWRP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nước tưới</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IWP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nước xám</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GWP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A2</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Thoát nước</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DR</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nước thải</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WP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thải &amp; phân</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SWP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thông hơi</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VP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nước mưa</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RWP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bơm thải &amp; phân</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PSWP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Ống bơm nước thải</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PWP</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Ống bơm nước mưa</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PRWP</w:t>
            </w:r>
          </w:p>
        </w:tc>
      </w:tr>
      <w:tr>
        <w:tc>
          <w:tcPr>
            <w:tcW w:type="dxa" w:w="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A3</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Phát hiện rò rỉ nước</w:t>
            </w:r>
          </w:p>
        </w:tc>
        <w:tc>
          <w:tcPr>
            <w:tcW w:type="dxa" w:w="9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LDS</w:t>
            </w:r>
          </w:p>
        </w:tc>
        <w:tc>
          <w:tcPr>
            <w:tcW w:type="dxa" w:w="3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Cáp phát hiện rò rỉ nước</w:t>
            </w:r>
          </w:p>
        </w:tc>
        <w:tc>
          <w:tcPr>
            <w:tcW w:type="dxa" w:w="15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LDS</w:t>
            </w:r>
          </w:p>
        </w:tc>
      </w:tr>
      <w:tr>
        <w:tc>
          <w:tcPr>
            <w:tcW w:type="dxa" w:w="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A4</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Nâng hạ &amp; xếp dỡ cơ khí</w:t>
            </w:r>
          </w:p>
        </w:tc>
        <w:tc>
          <w:tcPr>
            <w:tcW w:type="dxa" w:w="9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MHL</w:t>
            </w:r>
          </w:p>
        </w:tc>
        <w:tc>
          <w:tcPr>
            <w:tcW w:type="dxa" w:w="3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Containment nâng hạ &amp; xếp dỡ cơ khí</w:t>
            </w:r>
          </w:p>
        </w:tc>
        <w:tc>
          <w:tcPr>
            <w:tcW w:type="dxa" w:w="15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MHL</w:t>
            </w:r>
          </w:p>
        </w:tc>
      </w:tr>
    </w:tbl>
    <w:p>
      <w:pPr>
        <w:spacing w:after="60"/>
      </w:pPr>
      <w:r>
        <w:t xml:space="preserve"/>
      </w:r>
    </w:p>
    <w:p>
      <w:pPr>
        <w:spacing w:after="120" w:line="276"/>
        <w:jc w:val="both"/>
      </w:pPr>
      <w:r>
        <w:rPr>
          <w:b/>
          <w:bCs/>
        </w:rPr>
        <w:t xml:space="preserve">Ghi chú:</w:t>
      </w:r>
    </w:p>
    <w:p>
      <w:pPr>
        <w:pStyle w:val="ListParagraph"/>
        <w:numPr>
          <w:ilvl w:val="0"/>
          <w:numId w:val="2"/>
        </w:numPr>
        <w:spacing w:after="80" w:line="264"/>
        <w:jc w:val="both"/>
      </w:pPr>
      <w:r>
        <w:t xml:space="preserve">Nhà thầu có thể tạo thêm loại hệ thống khác nếu hệ cụ thể chưa được liệt kê; nguyên tắc mã hoá phải đảm bảo dễ nhận diện và phục vụ sản xuất bản vẽ;</w:t>
      </w:r>
    </w:p>
    <w:p>
      <w:pPr>
        <w:pStyle w:val="ListParagraph"/>
        <w:numPr>
          <w:ilvl w:val="0"/>
          <w:numId w:val="2"/>
        </w:numPr>
        <w:spacing w:after="80" w:line="264"/>
        <w:jc w:val="both"/>
      </w:pPr>
      <w:r>
        <w:t xml:space="preserve">Tên và mã hệ thống dùng trong dự án phải được các bên thống nhất và ghi vào BEP.</w:t>
      </w:r>
    </w:p>
    <w:p>
      <w:pPr>
        <w:pStyle w:val="Heading2"/>
      </w:pPr>
      <w:r>
        <w:t xml:space="preserve">5.6 Danh mục mã thiết bị E&amp;M</w:t>
      </w:r>
    </w:p>
    <w:p>
      <w:pPr>
        <w:spacing w:after="120" w:line="276"/>
        <w:jc w:val="both"/>
      </w:pPr>
      <w:r>
        <w:t xml:space="preserve">Phụ lục G — “Danh mục thiết bị, mã thiết bị và yêu cầu tạm thời về thẻ RFID và mã QR” được xây dựng dựa trên các bảng mẫu tài sản của CĐT. Do đó Phụ lục G không bao quát đầy đủ mọi thiết bị E&amp;M. Nhà thầu có thể tạo thêm mã thiết bị nếu chưa được liệt kê; nguyên tắc mã hoá phải đảm bảo dễ nhận diện và phục vụ sản xuất bản vẽ. Thiết bị và mã dùng trong dự án phải được các bên thống nhất và ghi vào BEP.</w:t>
      </w:r>
    </w:p>
    <w:p>
      <w:r>
        <w:br w:type="page"/>
      </w:r>
    </w:p>
    <w:p>
      <w:pPr>
        <w:pStyle w:val="Heading1"/>
      </w:pPr>
      <w:r>
        <w:t xml:space="preserve">6. Yêu cầu thông tin tài sản</w:t>
      </w:r>
    </w:p>
    <w:p>
      <w:pPr>
        <w:spacing w:after="120" w:line="276"/>
        <w:jc w:val="both"/>
      </w:pPr>
      <w:r>
        <w:t xml:space="preserve">Mục này mô tả cách thức thiết kế khái niệm quản lý tài sản để CĐT có thể duy trì và quản lý tài sản. Nhà thầu cần chuẩn bị mô hình BIM để hỗ trợ quy trình chuẩn BIM–AM. Tham chiếu Yêu cầu Thông tin Tài sản (AIR) tại Phụ lục B, Nhà thầu phải nhập thông tin tài sản vào các tham số của CĐT trong mô hình BIM.</w:t>
      </w:r>
    </w:p>
    <w:p>
      <w:pPr>
        <w:pStyle w:val="Heading2"/>
      </w:pPr>
      <w:r>
        <w:t xml:space="preserve">6.1 Nền tảng quản lý thông tin tài sản (AIMP)</w:t>
      </w:r>
    </w:p>
    <w:p>
      <w:pPr>
        <w:spacing w:after="120" w:line="276"/>
        <w:jc w:val="both"/>
      </w:pPr>
      <w:r>
        <w:t xml:space="preserve">AIMP là hệ thống nền web do CĐT phát triển để quản lý thông tin tài sản, tạo quan hệ tài sản và đường dẫn tài liệu tương ứng cho hệ thống BIM–AM. AIMP sử dụng COBieLite để trao đổi thông tin với mô hình BIM và hệ thống Digital Twin. AIMP cũng đóng vai trò “bên kiểm tra thứ ba” về kiểm định dữ liệu, như phát hiện dữ liệu thiếu và sai định dạng. Hướng dẫn sử dụng AIMP tham chiếu Phụ lục C.</w:t>
      </w:r>
    </w:p>
    <w:p>
      <w:pPr>
        <w:spacing w:after="120" w:line="276"/>
        <w:jc w:val="both"/>
      </w:pPr>
      <w:r>
        <w:t xml:space="preserve">Nhà thầu nên liên hệ CĐT từ tháng thứ sáu (sớm nhất) kể từ khi bắt đầu thời hạn bảo hành (DLP) để được cấp tài khoản truy cập AIMP và chịu trách nhiệm các nhiệm vụ dưới đây trước khi bàn giao mô hình &amp; tài liệu BIM hoàn công.</w:t>
      </w:r>
    </w:p>
    <w:p>
      <w:pPr>
        <w:pStyle w:val="Heading3"/>
      </w:pPr>
      <w:r>
        <w:t xml:space="preserve">6.1.1 Tạo quan hệ tài sản (topology hệ thống) trong AIMP</w:t>
      </w:r>
    </w:p>
    <w:p>
      <w:pPr>
        <w:spacing w:after="120" w:line="276"/>
        <w:jc w:val="both"/>
      </w:pPr>
      <w:r>
        <w:t xml:space="preserve">Nhà thầu nộp topology để PT phê duyệt. Topology thể hiện cấp nguồn cho thiết bị E&amp;M chính giữa các hệ E&amp;M phải được bao gồm; chi tiết yêu cầu topology giữa các hệ phải phối hợp với đội O&amp;M để phù hợp nhu cầu vận hành. Topology có thể nhập đơn giản bằng template Excel (tải tại Phụ lục B) và AIMP sẽ tự động điền dữ liệu “DT.Common.Asset Relationship”.</w:t>
      </w:r>
    </w:p>
    <w:p>
      <w:pPr>
        <w:pStyle w:val="Heading3"/>
      </w:pPr>
      <w:r>
        <w:t xml:space="preserve">6.1.2 Tạo Hệ thống Cấp 1</w:t>
      </w:r>
    </w:p>
    <w:p>
      <w:pPr>
        <w:spacing w:after="120" w:line="276"/>
        <w:jc w:val="both"/>
      </w:pPr>
      <w:r>
        <w:t xml:space="preserve">AIMP tạo “Hệ thống Cấp 1” như nêu tại Phụ lục G mà không thể hiện được trong mô hình BIM, bằng cách tải template lên AIMP.</w:t>
      </w:r>
    </w:p>
    <w:p>
      <w:pPr>
        <w:pStyle w:val="Heading3"/>
      </w:pPr>
      <w:r>
        <w:t xml:space="preserve">6.1.3 Tạo ánh xạ tệp tới tài sản</w:t>
      </w:r>
    </w:p>
    <w:p>
      <w:pPr>
        <w:spacing w:after="120" w:line="276"/>
        <w:jc w:val="both"/>
      </w:pPr>
      <w:r>
        <w:t xml:space="preserve">Để hỗ trợ ánh xạ tài liệu tới hệ thống và tài sản trên AIMP, tất cả tài liệu phải được tải lên theo cấu trúc thư mục nêu tại Phụ lục I — Gói bàn giao &amp; Cấu trúc thư mục, bao gồm báo cáo thử nghiệm &amp; nghiệm thu, catalogue, bản vẽ, chứng chỉ và sổ tay O&amp;M…, dưới dạng tệp zip cho mỗi Hệ thống Cấp 1. AIMP tự động gán tài liệu theo thiết lập:</w:t>
      </w:r>
    </w:p>
    <w:p>
      <w:pPr>
        <w:pStyle w:val="ListParagraph"/>
        <w:numPr>
          <w:ilvl w:val="0"/>
          <w:numId w:val="3"/>
        </w:numPr>
        <w:spacing w:after="80" w:line="264"/>
        <w:jc w:val="both"/>
      </w:pPr>
      <w:r>
        <w:t xml:space="preserve">Thiết lập 1: tài liệu đặt trong thư mục “Cấp 1” được ánh xạ tự động tới TẤT CẢ thiết bị E&amp;M thuộc hệ thống đó;</w:t>
      </w:r>
    </w:p>
    <w:p>
      <w:pPr>
        <w:pStyle w:val="ListParagraph"/>
        <w:numPr>
          <w:ilvl w:val="0"/>
          <w:numId w:val="3"/>
        </w:numPr>
        <w:spacing w:after="80" w:line="264"/>
        <w:jc w:val="both"/>
      </w:pPr>
      <w:r>
        <w:t xml:space="preserve">Thiết lập 2: tài liệu đặt trong thư mục “Cấp 2” được ánh xạ tự động tới TẤT CẢ thiết bị E&amp;M của loại thiết bị chỉ định;</w:t>
      </w:r>
    </w:p>
    <w:p>
      <w:pPr>
        <w:pStyle w:val="ListParagraph"/>
        <w:numPr>
          <w:ilvl w:val="0"/>
          <w:numId w:val="3"/>
        </w:numPr>
        <w:spacing w:after="80" w:line="264"/>
        <w:jc w:val="both"/>
      </w:pPr>
      <w:r>
        <w:t xml:space="preserve">Thiết lập 3: tài liệu đặt trong thư mục mã tài sản cụ thể được ánh xạ tự động tới thiết bị chỉ định.</w:t>
      </w:r>
    </w:p>
    <w:p>
      <w:pPr>
        <w:spacing w:after="120" w:line="276"/>
        <w:jc w:val="both"/>
      </w:pPr>
      <w:r>
        <w:t xml:space="preserve">Khi gán tệp vào tài sản, AIMP tự động điền dữ liệu “DT.Common.Documentation” cho Thiết bị Cấp 1 hoặc Cấp 2 tương ứng.</w:t>
      </w:r>
    </w:p>
    <w:p>
      <w:pPr>
        <w:pStyle w:val="Heading3"/>
      </w:pPr>
      <w:r>
        <w:t xml:space="preserve">6.1.4 Kiểm định dữ liệu tài sản</w:t>
      </w:r>
    </w:p>
    <w:p>
      <w:pPr>
        <w:spacing w:after="120" w:line="276"/>
        <w:jc w:val="both"/>
      </w:pPr>
      <w:r>
        <w:t xml:space="preserve">AIMP có thể kiểm tra dữ liệu nhập vào cũng như định dạng dữ liệu. Mọi dữ liệu sai và thiếu sẽ được tô đỏ để dễ tham chiếu.</w:t>
      </w:r>
    </w:p>
    <w:p>
      <w:pPr>
        <w:pStyle w:val="Heading2"/>
      </w:pPr>
      <w:r>
        <w:t xml:space="preserve">6.2 Từ Mô hình Thông tin Dự án (PIM) đến Mô hình Thông tin Tài sản (AIM)</w:t>
      </w:r>
    </w:p>
    <w:p>
      <w:pPr>
        <w:spacing w:after="120" w:line="276"/>
        <w:jc w:val="both"/>
      </w:pPr>
      <w:r>
        <w:t xml:space="preserve">Trong giai đoạn thiết kế và thi công, BIM là công cụ trực quan hoá và phối hợp. Đồng thời, thông tin tài sản phải được bồi đắp dần để đến cuối giai đoạn thi công mô hình BIM trở thành AIM phục vụ bàn giao quản lý tài sản. Nhà thầu phải phối hợp chặt với PT để tải mô hình BIM hoàn công và tài liệu lên AIMP từ tháng thứ sáu (sớm nhất) kể từ khi bắt đầu DLP.</w:t>
      </w:r>
    </w:p>
    <w:p>
      <w:pPr>
        <w:spacing w:after="120" w:line="276"/>
        <w:jc w:val="both"/>
      </w:pPr>
      <w:r>
        <w:t xml:space="preserve">CĐT đã phát triển CDE cấp tổ chức cho mục đích BIM–AM trong giai đoạn vận hành. Thông tin tải lên AIMP sẽ được tự động lưu trong CDE để CĐT phê duyệt trước khi phục vụ vận hành và quản lý cơ sở vật chất. Nhà thầu lưu ý tính đầy đủ và chính xác của LOD-I là quan trọng và phải kiểm tra chất lượng để đảm bảo thông tin hoàn công chính xác trước khi nộp.</w:t>
      </w:r>
    </w:p>
    <w:p>
      <w:pPr>
        <w:pStyle w:val="Heading2"/>
      </w:pPr>
      <w:r>
        <w:t xml:space="preserve">6.3 BIM–AM Lite</w:t>
      </w:r>
    </w:p>
    <w:p>
      <w:pPr>
        <w:spacing w:after="120" w:line="276"/>
        <w:jc w:val="both"/>
      </w:pPr>
      <w:r>
        <w:t xml:space="preserve">BIM–AM Lite là phương án thay thế để dựng mô hình hoàn công sử dụng bố trí CAD 2D làm nền, đã áp dụng trong các dự án số hoá cho công trình hiện hữu. Với BIM–AM Lite, bố trí 2D được dùng làm lớp nền và tài sản yêu cầu được mô hình hoá bằng đối tượng BIM gốc nhằm hỗ trợ nhập dữ liệu tài sản. Đối tượng BIM phủ lên bản vẽ 2D có thể hiển thị trên nền tảng BIM–AM. Việc áp dụng BIM–AM Lite tuỳ thuộc xác nhận của PT.</w:t>
      </w:r>
    </w:p>
    <w:p>
      <w:pPr>
        <w:pStyle w:val="Heading2"/>
      </w:pPr>
      <w:r>
        <w:t xml:space="preserve">6.4 Yêu cầu riêng cho hệ thống Digital Twin</w:t>
      </w:r>
    </w:p>
    <w:p>
      <w:pPr>
        <w:spacing w:after="120" w:line="276"/>
        <w:jc w:val="both"/>
      </w:pPr>
      <w:r>
        <w:t xml:space="preserve">Để hợp lý hoá trao đổi dữ liệu giữa BIM và hệ thống quản lý tài sản, phải tuân thủ các yêu cầu sau:</w:t>
      </w:r>
    </w:p>
    <w:p>
      <w:pPr>
        <w:pStyle w:val="ListParagraph"/>
        <w:numPr>
          <w:ilvl w:val="0"/>
          <w:numId w:val="2"/>
        </w:numPr>
        <w:spacing w:after="80" w:line="264"/>
        <w:jc w:val="both"/>
      </w:pPr>
      <w:r>
        <w:t xml:space="preserve">Thuộc tính tài sản (tệp tham số dùng chung của CĐT — Phụ lục D) phải được tạo dưới dạng tham số đối tượng cho các tham số riêng theo thiết bị. Các tham số chung khác được tạo dưới dạng tham số dự án (project parameters);</w:t>
      </w:r>
    </w:p>
    <w:p>
      <w:pPr>
        <w:pStyle w:val="ListParagraph"/>
        <w:numPr>
          <w:ilvl w:val="0"/>
          <w:numId w:val="2"/>
        </w:numPr>
        <w:spacing w:after="80" w:line="264"/>
        <w:jc w:val="both"/>
      </w:pPr>
      <w:r>
        <w:t xml:space="preserve">Thuộc tính tài sản phải tuân theo AIR tại Phụ lục B. Tham số không liên quan phải được purge trước khi nộp (ví dụ tham số DT.AV không được hiển thị trong đối tượng HVAC);</w:t>
      </w:r>
    </w:p>
    <w:p>
      <w:pPr>
        <w:pStyle w:val="ListParagraph"/>
        <w:numPr>
          <w:ilvl w:val="0"/>
          <w:numId w:val="2"/>
        </w:numPr>
        <w:spacing w:after="80" w:line="264"/>
        <w:jc w:val="both"/>
      </w:pPr>
      <w:r>
        <w:t xml:space="preserve">Ngoài thông tin cơ bản/kỹ thuật của thiết bị, đường dẫn tham chiếu dạng .zip của tài liệu (bản vẽ, sổ tay O&amp;M, catalogue, hồ sơ T&amp;C, chứng chỉ…) của tất cả thiết bị cũng phải được nhập dưới Hệ thống Cấp 1; đường dẫn thư mục tài liệu trong tệp zip đó phải được nhập vào tham số “DT.Common.Documentation” cho mỗi Thiết bị Cấp 2.</w:t>
      </w:r>
    </w:p>
    <w:p>
      <w:pPr>
        <w:pStyle w:val="Heading2"/>
      </w:pPr>
      <w:r>
        <w:t xml:space="preserve">6.5 Tham số thông tin tài sản</w:t>
      </w:r>
    </w:p>
    <w:p>
      <w:pPr>
        <w:spacing w:after="120" w:line="276"/>
        <w:jc w:val="both"/>
      </w:pPr>
      <w:r>
        <w:t xml:space="preserve">Tệp tham số dùng chung BIM của CĐT mô tả dưới đây tham chiếu Phụ lục D. Với mỗi thiết bị liệt kê tại Phụ lục B, tham số yêu cầu gồm hai phần:</w:t>
      </w:r>
    </w:p>
    <w:p>
      <w:pPr>
        <w:pStyle w:val="Heading3"/>
      </w:pPr>
      <w:r>
        <w:t xml:space="preserve">6.5.1 Tham số chung</w:t>
      </w:r>
    </w:p>
    <w:p>
      <w:pPr>
        <w:spacing w:after="120" w:line="276"/>
        <w:jc w:val="both"/>
      </w:pPr>
      <w:r>
        <w:t xml:space="preserve">Các thuộc tính đặt tên “DT.Common” áp dụng cho mọi thiết bị E&amp;M. Tham số dự án dùng chung với hạng mục “Common” phải được áp dụng cho: Mechanical Equipment, Electrical Equipment, Electrical Fixtures, Pipe Accessories, Duct Accessories, Specialty Equipment, Fire Alarm Devices và Lighting Fixtures. Nhà thầu phải đưa thông tin vị trí và định danh thiết bị vào “DT.Common.Equipment Description” để dễ tìm và nhận diện nhanh, bên cạnh việc quét thẻ RFID.</w:t>
      </w:r>
    </w:p>
    <w:p>
      <w:pPr>
        <w:pStyle w:val="Heading3"/>
      </w:pPr>
      <w:r>
        <w:t xml:space="preserve">6.5.2 Tham số riêng theo thiết bị</w:t>
      </w:r>
    </w:p>
    <w:p>
      <w:pPr>
        <w:spacing w:after="120" w:line="276"/>
        <w:jc w:val="both"/>
      </w:pPr>
      <w:r>
        <w:t xml:space="preserve">Tham số riêng của mỗi thiết bị E&amp;M tham chiếu các thuộc tính đặt tên “DT.LV”, “DT.HVAC”, “DT.Boiler”… Chi tiết tham số riêng cho mỗi tài sản tham chiếu AIR tại Phụ lục B. Tham số riêng phải được tạo trong đối tượng dưới dạng tham số đối tượng; không có tham số riêng nào được đặt dưới tham số dự án.</w:t>
      </w:r>
    </w:p>
    <w:p>
      <w:pPr>
        <w:spacing w:after="120" w:line="276"/>
        <w:jc w:val="both"/>
      </w:pPr>
      <w:r>
        <w:rPr>
          <w:i/>
          <w:iCs/>
        </w:rPr>
        <w:t xml:space="preserve">Trước khi nộp mô hình, mọi tham số không liên quan (không được CĐT yêu cầu) của đối tượng phải bị xoá và các đối tượng BIM không dùng trong mô hình hoàn công phải được purge.</w:t>
      </w:r>
    </w:p>
    <w:p>
      <w:pPr>
        <w:spacing w:after="60"/>
      </w:pPr>
      <w:r>
        <w:t xml:space="preserve"/>
      </w:r>
    </w:p>
    <w:p>
      <w:pPr>
        <w:spacing w:after="160" w:before="60"/>
        <w:jc w:val="center"/>
      </w:pPr>
      <w:r>
        <w:rPr>
          <w:i/>
          <w:iCs/>
          <w:color w:val="595959"/>
          <w:sz w:val="18"/>
          <w:szCs w:val="18"/>
        </w:rPr>
        <w:t xml:space="preserve">Bảng 6-1 Ví dụ ADT cho Primary Air Handling Unit (PAU) — trích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760"/>
        <w:gridCol w:w="2000"/>
      </w:tblGrid>
      <w:tr>
        <w:trPr>
          <w:tblHeader/>
        </w:trPr>
        <w:tc>
          <w:tcPr>
            <w:tcW w:type="dxa" w:w="15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Loại thuộc tính</w:t>
            </w:r>
          </w:p>
        </w:tc>
        <w:tc>
          <w:tcPr>
            <w:tcW w:type="dxa" w:w="2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Thuộc tính</w:t>
            </w:r>
          </w:p>
        </w:tc>
        <w:tc>
          <w:tcPr>
            <w:tcW w:type="dxa" w:w="3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Tham số trong mô hình BIM</w:t>
            </w:r>
          </w:p>
        </w:tc>
        <w:tc>
          <w:tcPr>
            <w:tcW w:type="dxa" w:w="20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Ví dụ</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Chung</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Mã tài sản</w:t>
            </w:r>
          </w:p>
        </w:tc>
        <w:tc>
          <w:tcPr>
            <w:tcW w:type="dxa" w:w="3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DT.Common.Asset Code</w:t>
            </w:r>
          </w:p>
        </w:tc>
        <w:tc>
          <w:tcPr>
            <w:tcW w:type="dxa" w:w="2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KT-DTHQ-NA-1F-HVAC-PAU-701</w:t>
            </w:r>
          </w:p>
        </w:tc>
      </w:tr>
      <w:tr>
        <w:tc>
          <w:tcPr>
            <w:tcW w:type="dxa" w:w="1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Chung</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Vị trí chức năng</w:t>
            </w:r>
          </w:p>
        </w:tc>
        <w:tc>
          <w:tcPr>
            <w:tcW w:type="dxa" w:w="3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DT.Common.Functional Location</w:t>
            </w:r>
          </w:p>
        </w:tc>
        <w:tc>
          <w:tcPr>
            <w:tcW w:type="dxa" w:w="2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DTHQ-AC</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Chung</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Số thẻ tài sản</w:t>
            </w:r>
          </w:p>
        </w:tc>
        <w:tc>
          <w:tcPr>
            <w:tcW w:type="dxa" w:w="3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DT.Common.Asset Tag No.</w:t>
            </w:r>
          </w:p>
        </w:tc>
        <w:tc>
          <w:tcPr>
            <w:tcW w:type="dxa" w:w="2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DTHQ-0400000001</w:t>
            </w:r>
          </w:p>
        </w:tc>
      </w:tr>
      <w:tr>
        <w:tc>
          <w:tcPr>
            <w:tcW w:type="dxa" w:w="1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Chung</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Số thẻ vùng</w:t>
            </w:r>
          </w:p>
        </w:tc>
        <w:tc>
          <w:tcPr>
            <w:tcW w:type="dxa" w:w="3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DT.Common.Zone Tag No.</w:t>
            </w:r>
          </w:p>
        </w:tc>
        <w:tc>
          <w:tcPr>
            <w:tcW w:type="dxa" w:w="2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DTHQ-1F-000101</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Chung</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Nhà sản xuất</w:t>
            </w:r>
          </w:p>
        </w:tc>
        <w:tc>
          <w:tcPr>
            <w:tcW w:type="dxa" w:w="3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DT.Common.Manufacturer</w:t>
            </w:r>
          </w:p>
        </w:tc>
        <w:tc>
          <w:tcPr>
            <w:tcW w:type="dxa" w:w="2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Công ty ABC</w:t>
            </w:r>
          </w:p>
        </w:tc>
      </w:tr>
      <w:tr>
        <w:tc>
          <w:tcPr>
            <w:tcW w:type="dxa" w:w="1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Chung</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Số model</w:t>
            </w:r>
          </w:p>
        </w:tc>
        <w:tc>
          <w:tcPr>
            <w:tcW w:type="dxa" w:w="3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DT.Common.Model No.</w:t>
            </w:r>
          </w:p>
        </w:tc>
        <w:tc>
          <w:tcPr>
            <w:tcW w:type="dxa" w:w="2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A1234</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Riêng</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Vị trí thiết bị</w:t>
            </w:r>
          </w:p>
        </w:tc>
        <w:tc>
          <w:tcPr>
            <w:tcW w:type="dxa" w:w="3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DT.HVAC.Equipment Location</w:t>
            </w:r>
          </w:p>
        </w:tc>
        <w:tc>
          <w:tcPr>
            <w:tcW w:type="dxa" w:w="2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Phòng PAU 101</w:t>
            </w:r>
          </w:p>
        </w:tc>
      </w:tr>
      <w:tr>
        <w:tc>
          <w:tcPr>
            <w:tcW w:type="dxa" w:w="1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Riêng</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Loại thiết bị</w:t>
            </w:r>
          </w:p>
        </w:tc>
        <w:tc>
          <w:tcPr>
            <w:tcW w:type="dxa" w:w="3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DT.HVAC.Equipment Type</w:t>
            </w:r>
          </w:p>
        </w:tc>
        <w:tc>
          <w:tcPr>
            <w:tcW w:type="dxa" w:w="2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Primary Air Handling Unit</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Riêng</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Lưu lượng gió (l/s)</w:t>
            </w:r>
          </w:p>
        </w:tc>
        <w:tc>
          <w:tcPr>
            <w:tcW w:type="dxa" w:w="3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DT.HVAC.Air Flow</w:t>
            </w:r>
          </w:p>
        </w:tc>
        <w:tc>
          <w:tcPr>
            <w:tcW w:type="dxa" w:w="2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6100</w:t>
            </w:r>
          </w:p>
        </w:tc>
      </w:tr>
      <w:tr>
        <w:tc>
          <w:tcPr>
            <w:tcW w:type="dxa" w:w="1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Riêng</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Công suất lạnh (kW)</w:t>
            </w:r>
          </w:p>
        </w:tc>
        <w:tc>
          <w:tcPr>
            <w:tcW w:type="dxa" w:w="3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DT.HVAC.Cooling Capacity</w:t>
            </w:r>
          </w:p>
        </w:tc>
        <w:tc>
          <w:tcPr>
            <w:tcW w:type="dxa" w:w="2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214.6</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Riêng</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Công suất điện vào (kW)</w:t>
            </w:r>
          </w:p>
        </w:tc>
        <w:tc>
          <w:tcPr>
            <w:tcW w:type="dxa" w:w="3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DT.HVAC.Rated Power Input</w:t>
            </w:r>
          </w:p>
        </w:tc>
        <w:tc>
          <w:tcPr>
            <w:tcW w:type="dxa" w:w="2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30</w:t>
            </w:r>
          </w:p>
        </w:tc>
      </w:tr>
    </w:tbl>
    <w:p>
      <w:pPr>
        <w:spacing w:after="60"/>
      </w:pPr>
      <w:r>
        <w:t xml:space="preserve"/>
      </w:r>
    </w:p>
    <w:p>
      <w:pPr>
        <w:spacing w:after="160" w:before="60"/>
        <w:jc w:val="center"/>
      </w:pPr>
      <w:r>
        <w:rPr>
          <w:i/>
          <w:iCs/>
          <w:color w:val="595959"/>
          <w:sz w:val="18"/>
          <w:szCs w:val="18"/>
        </w:rPr>
        <w:t xml:space="preserve">Bảng 6-2 Yêu cầu thuộc tính cho thiết bị E&amp;M không nằm trong bảng mẫu tài sản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Thuộc tính yêu cầu</w:t>
            </w:r>
          </w:p>
        </w:tc>
        <w:tc>
          <w:tcPr>
            <w:tcW w:type="dxa" w:w="30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Bắt buộc (M)/Tuỳ chọn (O)</w:t>
            </w:r>
          </w:p>
        </w:tc>
      </w:tr>
      <w:tr>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DT.Common.Asset Code</w:t>
            </w:r>
          </w:p>
        </w:tc>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M</w:t>
            </w:r>
          </w:p>
        </w:tc>
      </w:tr>
      <w:tr>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DT.Common.Zone Tag No.</w:t>
            </w:r>
          </w:p>
        </w:tc>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M</w:t>
            </w:r>
          </w:p>
        </w:tc>
      </w:tr>
      <w:tr>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DT.Common.Manufacturer</w:t>
            </w:r>
          </w:p>
        </w:tc>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O</w:t>
            </w:r>
          </w:p>
        </w:tc>
      </w:tr>
      <w:tr>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DT.Common.Model No.</w:t>
            </w:r>
          </w:p>
        </w:tc>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O</w:t>
            </w:r>
          </w:p>
        </w:tc>
      </w:tr>
      <w:tr>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DT.Common.Equipment Description</w:t>
            </w:r>
          </w:p>
        </w:tc>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M</w:t>
            </w:r>
          </w:p>
        </w:tc>
      </w:tr>
      <w:tr>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DT.Common.Documentation</w:t>
            </w:r>
          </w:p>
        </w:tc>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M</w:t>
            </w:r>
          </w:p>
        </w:tc>
      </w:tr>
      <w:tr>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DT.Common.Asset Relationship</w:t>
            </w:r>
          </w:p>
        </w:tc>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O</w:t>
            </w:r>
          </w:p>
        </w:tc>
      </w:tr>
    </w:tbl>
    <w:p>
      <w:pPr>
        <w:spacing w:after="60"/>
      </w:pPr>
      <w:r>
        <w:t xml:space="preserve"/>
      </w:r>
    </w:p>
    <w:p>
      <w:pPr>
        <w:pStyle w:val="Heading2"/>
      </w:pPr>
      <w:r>
        <w:t xml:space="preserve">6.6 COBie</w:t>
      </w:r>
    </w:p>
    <w:p>
      <w:pPr>
        <w:pStyle w:val="Heading3"/>
      </w:pPr>
      <w:r>
        <w:t xml:space="preserve">6.6.1 Giới thiệu COBie</w:t>
      </w:r>
    </w:p>
    <w:p>
      <w:pPr>
        <w:spacing w:after="120" w:line="276"/>
        <w:jc w:val="both"/>
      </w:pPr>
      <w:r>
        <w:t xml:space="preserve">COBie (Construction Operations Building Information exchange) là đặc tả trao đổi thông tin để thu thập và bàn giao thông tin theo vòng đời mà nhà quản lý cơ sở vật chất cần. COBie định nghĩa cách cấu trúc và định dạng thông tin, thường ở dạng bảng tính Excel để bàn giao giữa các giai đoạn vòng đời.</w:t>
      </w:r>
    </w:p>
    <w:p>
      <w:pPr>
        <w:pStyle w:val="Heading3"/>
      </w:pPr>
      <w:r>
        <w:t xml:space="preserve">6.6.2 Định dạng tệp COBieLite</w:t>
      </w:r>
    </w:p>
    <w:p>
      <w:pPr>
        <w:spacing w:after="120" w:line="276"/>
        <w:jc w:val="both"/>
      </w:pPr>
      <w:r>
        <w:t xml:space="preserve">COBieLite — phiên bản XML nhẹ của COBie — phải được dùng để xuất dữ liệu từ mô hình BIM và nhập vào AIMP. Tệp .xml COBie chứa cả tham số COBie và tham số của CĐT, do đó phải áp dụng template tham số dạng JSON để loại bỏ tham số COBie không dùng trước khi xuất tệp COBieLite.</w:t>
      </w:r>
    </w:p>
    <w:p>
      <w:pPr>
        <w:pStyle w:val="Heading3"/>
      </w:pPr>
      <w:r>
        <w:t xml:space="preserve">6.6.3 Tệp COBieLite từ mô hình BIM tới AIMP</w:t>
      </w:r>
    </w:p>
    <w:p>
      <w:pPr>
        <w:spacing w:after="120" w:line="276"/>
        <w:jc w:val="both"/>
      </w:pPr>
      <w:r>
        <w:t xml:space="preserve">Nhà thầu liên hệ CĐT để cài đặt plugin COBieLite và dùng plugin của CĐT để xuất dữ liệu tài sản trong mô hình, tạo tệp COBieLite theo từng hệ thống. Tệp định nghĩa (definition files) phải được tải từ AIMP và nạp vào plugin khi dùng lần đầu. Tệp COBieLite được tải lên AIMP để tạo tài sản phục vụ giai đoạn nhập liệu tiếp theo (topology, đường dẫn tài liệu…).</w:t>
      </w:r>
    </w:p>
    <w:p>
      <w:pPr>
        <w:pStyle w:val="Heading3"/>
      </w:pPr>
      <w:r>
        <w:t xml:space="preserve">6.6.4 Tệp COBieLite từ AIMP cho vận hành BIM–AM</w:t>
      </w:r>
    </w:p>
    <w:p>
      <w:pPr>
        <w:spacing w:after="120" w:line="276"/>
        <w:jc w:val="both"/>
      </w:pPr>
      <w:r>
        <w:t xml:space="preserve">Sau khi hoàn tất nhập liệu trên AIMP theo Mục 6.1, tệp COBieLite hoàn chỉnh với dữ liệu tài sản đầy đủ phải được xuất từ AIMP để vận hành Digital Twin.</w:t>
      </w:r>
    </w:p>
    <w:p>
      <w:r>
        <w:br w:type="page"/>
      </w:r>
    </w:p>
    <w:p>
      <w:pPr>
        <w:pStyle w:val="Heading1"/>
      </w:pPr>
      <w:r>
        <w:t xml:space="preserve">7. Giao tiếp / tích hợp hệ thống Digital Twin với các hệ thống khác</w:t>
      </w:r>
    </w:p>
    <w:p>
      <w:pPr>
        <w:spacing w:after="120" w:line="276"/>
        <w:jc w:val="both"/>
      </w:pPr>
      <w:r>
        <w:rPr>
          <w:i/>
          <w:iCs/>
        </w:rPr>
        <w:t xml:space="preserve">Yêu cầu mục này chỉ áp dụng cho dự án nếu được quy định trong yêu cầu dự án.</w:t>
      </w:r>
    </w:p>
    <w:p>
      <w:pPr>
        <w:pStyle w:val="Heading2"/>
      </w:pPr>
      <w:r>
        <w:t xml:space="preserve">7.1 Giao tiếp với các hệ thống khác</w:t>
      </w:r>
    </w:p>
    <w:p>
      <w:pPr>
        <w:spacing w:after="120" w:line="276"/>
        <w:jc w:val="both"/>
      </w:pPr>
      <w:r>
        <w:t xml:space="preserve">Hệ thống Digital Twin của CĐT có khả năng giao tiếp với các hệ thống khác, gồm hệ giám sát &amp; điều khiển trung tâm (CCMS), hệ quản lý toà nhà tích hợp (iBMS), trung tâm điều khiển số khu vực (RDCC), hệ định vị thời gian thực (RTLS), thiết bị IoT và mạng diện rộng năng lượng thấp (LPWAN/LoRa).</w:t>
      </w:r>
    </w:p>
    <w:p>
      <w:pPr>
        <w:spacing w:after="120" w:line="276"/>
        <w:jc w:val="both"/>
      </w:pPr>
      <w:r>
        <w:t xml:space="preserve">Nói chung, hệ thống thượng nguồn cung cấp dữ liệu cho Digital Twin qua một trong ba phương thức: (1) API cho gọi dữ liệu theo lịch; (2) trang web có giao diện tổ chức với deep-linking; hoặc (3) trao đổi qua mạng IoT diện rộng. Nhà thầu phối hợp với PT về chi tiết yêu cầu giao tiếp (phương thức, chu kỳ gọi dữ liệu…) và chuẩn bị bảng ánh xạ điểm cảm biến với tài sản liên quan bằng template tại Phụ lục H.</w:t>
      </w:r>
    </w:p>
    <w:p>
      <w:pPr>
        <w:spacing w:after="160" w:before="60"/>
        <w:jc w:val="center"/>
      </w:pPr>
      <w:r>
        <w:rPr>
          <w:i/>
          <w:iCs/>
          <w:color w:val="595959"/>
          <w:sz w:val="18"/>
          <w:szCs w:val="18"/>
        </w:rPr>
        <w:t xml:space="preserve">Bảng 7-1 Yêu cầu mã hoá điểm BMS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620"/>
        <w:gridCol w:w="2100"/>
        <w:gridCol w:w="1860"/>
        <w:gridCol w:w="1800"/>
      </w:tblGrid>
      <w:tr>
        <w:trPr>
          <w:tblHeader/>
        </w:trPr>
        <w:tc>
          <w:tcPr>
            <w:tcW w:type="dxa" w:w="198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1</w:t>
            </w:r>
          </w:p>
        </w:tc>
        <w:tc>
          <w:tcPr>
            <w:tcW w:type="dxa" w:w="16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2</w:t>
            </w:r>
          </w:p>
        </w:tc>
        <w:tc>
          <w:tcPr>
            <w:tcW w:type="dxa" w:w="2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3</w:t>
            </w:r>
          </w:p>
        </w:tc>
        <w:tc>
          <w:tcPr>
            <w:tcW w:type="dxa" w:w="18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4</w:t>
            </w:r>
          </w:p>
        </w:tc>
        <w:tc>
          <w:tcPr>
            <w:tcW w:type="dxa" w:w="1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5</w:t>
            </w:r>
          </w:p>
        </w:tc>
      </w:tr>
      <w:tr>
        <w:tc>
          <w:tcPr>
            <w:tcW w:type="dxa" w:w="198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Mã toà nhà &amp; khối</w:t>
            </w:r>
          </w:p>
        </w:tc>
        <w:tc>
          <w:tcPr>
            <w:tcW w:type="dxa" w:w="1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Mã tầng</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Mã thiết bị/hệ/phòng</w:t>
            </w:r>
          </w:p>
        </w:tc>
        <w:tc>
          <w:tcPr>
            <w:tcW w:type="dxa" w:w="1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ID thiết bị/hệ/phòng</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Mã chức năng/trạng thái</w:t>
            </w:r>
          </w:p>
        </w:tc>
      </w:tr>
      <w:tr>
        <w:tc>
          <w:tcPr>
            <w:tcW w:type="dxa" w:w="198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 7 ký tự</w:t>
            </w:r>
          </w:p>
        </w:tc>
        <w:tc>
          <w:tcPr>
            <w:tcW w:type="dxa" w:w="1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 4 ký tự</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 6 ký tự</w:t>
            </w:r>
          </w:p>
        </w:tc>
        <w:tc>
          <w:tcPr>
            <w:tcW w:type="dxa" w:w="1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2–4 ký tự</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 6 ký tự</w:t>
            </w:r>
          </w:p>
        </w:tc>
      </w:tr>
    </w:tbl>
    <w:p>
      <w:pPr>
        <w:spacing w:after="60"/>
      </w:pPr>
      <w:r>
        <w:t xml:space="preserve"/>
      </w:r>
    </w:p>
    <w:p>
      <w:pPr>
        <w:spacing w:after="120" w:line="276"/>
        <w:jc w:val="both"/>
      </w:pPr>
      <w:r>
        <w:t xml:space="preserve">Ghi chú: Một mã điểm gồm 4–5 trường, phân tách bởi dấu “-”, tối đa 35 ký tự.</w:t>
      </w:r>
    </w:p>
    <w:p>
      <w:pPr>
        <w:pStyle w:val="Heading3"/>
      </w:pPr>
      <w:r>
        <w:t xml:space="preserve">7.1.1 Giao tiếp bằng phương thức API</w:t>
      </w:r>
    </w:p>
    <w:p>
      <w:pPr>
        <w:spacing w:after="120" w:line="276"/>
        <w:jc w:val="both"/>
      </w:pPr>
      <w:r>
        <w:t xml:space="preserve">Khi cần giám sát/điều khiển hệ thống thời gian thực trực tiếp từ Digital Twin, phải phát triển web service API (ví dụ RESTful) trao đổi dữ liệu định dạng XML/JSON tại hệ thống thời gian thực theo chuẩn iBMS/RDCC. Số đọc cảm biến BMS phải được ánh xạ tới mã tài sản tương ứng và dữ liệu được trực quan hoá trên mô hình của Digital Twin.</w:t>
      </w:r>
    </w:p>
    <w:p>
      <w:pPr>
        <w:pStyle w:val="Heading3"/>
      </w:pPr>
      <w:r>
        <w:t xml:space="preserve">7.1.2 Giao tiếp bằng phương thức deep-linking</w:t>
      </w:r>
    </w:p>
    <w:p>
      <w:pPr>
        <w:spacing w:after="120" w:line="276"/>
        <w:jc w:val="both"/>
      </w:pPr>
      <w:r>
        <w:t xml:space="preserve">Hệ quản lý toà nhà cung cấp giao diện web với URL chuyên dụng hiển thị trạng thái vận hành của tài sản/hệ thống. URL phải tương thích trình duyệt di động và máy tính (Edge, Firefox, Chrome, iOS, Android). Ưu tiên giao diện đơn giản không lưu dữ liệu lịch sử trong Digital Twin.</w:t>
      </w:r>
    </w:p>
    <w:p>
      <w:pPr>
        <w:pStyle w:val="Heading3"/>
      </w:pPr>
      <w:r>
        <w:t xml:space="preserve">7.1.3 Giao tiếp bằng phương thức mạng IoT</w:t>
      </w:r>
    </w:p>
    <w:p>
      <w:pPr>
        <w:spacing w:after="120" w:line="276"/>
        <w:jc w:val="both"/>
      </w:pPr>
      <w:r>
        <w:t xml:space="preserve">Cảm biến IoT được kết nối tới mạng diện rộng năng lượng thấp (LPWAN). Nhà thầu phối hợp với đội mạng IoT chuyên trách của CĐT về yêu cầu lắp đặt, giao tiếp và thử nghiệm trong giai đoạn dự án.</w:t>
      </w:r>
    </w:p>
    <w:p>
      <w:pPr>
        <w:pStyle w:val="Heading2"/>
      </w:pPr>
      <w:r>
        <w:t xml:space="preserve">7.2 Tích hợp Digital Twin di động với đầu đọc RFID</w:t>
      </w:r>
    </w:p>
    <w:p>
      <w:pPr>
        <w:pStyle w:val="Heading3"/>
      </w:pPr>
      <w:r>
        <w:t xml:space="preserve">7.2.1 Đầu đọc RFID</w:t>
      </w:r>
    </w:p>
    <w:p>
      <w:pPr>
        <w:spacing w:after="120" w:line="276"/>
        <w:jc w:val="both"/>
      </w:pPr>
      <w:r>
        <w:t xml:space="preserve">Chỉ một số model đầu đọc RFID UHF cầm tay có API cho iOS/Android được hệ thống Digital Twin di động hỗ trợ. Nhà thầu liên hệ CĐT để biết chính xác model được hỗ trợ và đề xuất đầu đọc phù hợp với các tầm phủ khác nhau.</w:t>
      </w:r>
    </w:p>
    <w:p>
      <w:pPr>
        <w:pStyle w:val="Heading3"/>
      </w:pPr>
      <w:r>
        <w:t xml:space="preserve">7.2.2 Cung cấp thẻ tài sản thụ động &amp; thẻ vùng</w:t>
      </w:r>
    </w:p>
    <w:p>
      <w:pPr>
        <w:spacing w:after="120" w:line="276"/>
        <w:jc w:val="both"/>
      </w:pPr>
      <w:r>
        <w:t xml:space="preserve">Đầu đọc RFID đọc được thẻ RFID UHF thụ động tương thích EPC Class 1 Gen2. Nhà thầu chịu trách nhiệm gắn chắc chắn thẻ RFID lên thiết bị chính do CĐT xác định. Thiết bị E&amp;M chính (như chiller, bơm…) theo Phụ lục G nên được gắn thẻ RFID. Mã QR thay cho thẻ RFID áp dụng cho thiết bị E&amp;M kích thước nhỏ và ở tầm mắt (như intercom, AV player…). Với tài sản số lượng lớn (đèn, camera, loa, ăng-ten…), dùng thẻ vùng bằng mã QR theo vị trí (zone/khu vực/phòng).</w:t>
      </w:r>
    </w:p>
    <w:p>
      <w:pPr>
        <w:pStyle w:val="Heading3"/>
      </w:pPr>
      <w:r>
        <w:t xml:space="preserve">7.2.3 Yêu cầu lắp đặt thẻ RFID &amp; mã QR</w:t>
      </w:r>
    </w:p>
    <w:p>
      <w:pPr>
        <w:spacing w:after="120" w:line="276"/>
        <w:jc w:val="both"/>
      </w:pPr>
      <w:r>
        <w:t xml:space="preserve">Khoảng cách giữa các thẻ RFID nên khoảng 4m, và khoảng cách giữa đầu đọc và thẻ trong vòng 4m khi vận hành. Thẻ RFID là tuỳ chọn cho thiết bị có đáy cao hơn 6m so với sàn hoàn thiện. Nhãn dán có mã RFID và mã QR liên kết phải được dán vào thẻ RFID; kích thước nhãn QR không nhỏ hơn 2,4cm × 2,4cm.</w:t>
      </w:r>
    </w:p>
    <w:p>
      <w:pPr>
        <w:spacing w:after="160" w:before="60"/>
        <w:jc w:val="center"/>
      </w:pPr>
      <w:r>
        <w:rPr>
          <w:i/>
          <w:iCs/>
          <w:color w:val="595959"/>
          <w:sz w:val="18"/>
          <w:szCs w:val="18"/>
        </w:rPr>
        <w:t xml:space="preserve">Bảng 7-2 Thông số kỹ thuật thẻ RFID kim loại thụ động (trích)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Hạng mục</w:t>
            </w:r>
          </w:p>
        </w:tc>
        <w:tc>
          <w:tcPr>
            <w:tcW w:type="dxa" w:w="6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Yêu cầu</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Giao thức</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EPC Class 1 Gen 2; ISO 18000-6C</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Tần số hoạt động</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860MHz – 960MHz</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Tầm đọc</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12m trên bề mặt kim loại; ≥ 8m trên bề mặt phi kim loại</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Bộ nhớ</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496 bit EPC; ≥ 128 bit người dùng; TID 48-bit</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Lưu dữ liệu</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10 năm</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Chu kỳ đọc/ghi</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 100.000</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Nhiệt độ hoạt động</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-20°C đến +85°C hoặc tốt hơn</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Cấp bảo vệ</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IP68</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Kích thước</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 135mm × 36mm × 9mm</w:t>
            </w:r>
          </w:p>
        </w:tc>
      </w:tr>
    </w:tbl>
    <w:p>
      <w:pPr>
        <w:spacing w:after="60"/>
      </w:pPr>
      <w:r>
        <w:t xml:space="preserve"/>
      </w:r>
    </w:p>
    <w:p>
      <w:pPr>
        <w:pStyle w:val="Heading3"/>
      </w:pPr>
      <w:r>
        <w:t xml:space="preserve">7.2.4 Yêu cầu mã hoá thẻ tài sản &amp; thẻ vùng</w:t>
      </w:r>
    </w:p>
    <w:p>
      <w:pPr>
        <w:spacing w:after="120" w:line="276"/>
        <w:jc w:val="both"/>
      </w:pPr>
      <w:r>
        <w:t xml:space="preserve">Mã thẻ tài sản gồm 5 phần, tối đa 16 ký tự, định dạng ASCII. Do thẻ RFID chỉ chứa số ký tự chẵn, độ dài Trường 5 phụ thuộc Trường 1 có số ký tự chẵn/lẻ sao cho tổng số ký tự là chẵn.</w:t>
      </w:r>
    </w:p>
    <w:p>
      <w:pPr>
        <w:spacing w:after="160" w:before="60"/>
        <w:jc w:val="center"/>
      </w:pPr>
      <w:r>
        <w:rPr>
          <w:i/>
          <w:iCs/>
          <w:color w:val="595959"/>
          <w:sz w:val="18"/>
          <w:szCs w:val="18"/>
        </w:rPr>
        <w:t xml:space="preserve">Bảng 7-4 Yêu cầu mã hoá thẻ tài sản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860"/>
        <w:gridCol w:w="1620"/>
        <w:gridCol w:w="2220"/>
        <w:gridCol w:w="1800"/>
      </w:tblGrid>
      <w:tr>
        <w:trPr>
          <w:tblHeader/>
        </w:trPr>
        <w:tc>
          <w:tcPr>
            <w:tcW w:type="dxa" w:w="18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1</w:t>
            </w:r>
          </w:p>
        </w:tc>
        <w:tc>
          <w:tcPr>
            <w:tcW w:type="dxa" w:w="18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2</w:t>
            </w:r>
          </w:p>
        </w:tc>
        <w:tc>
          <w:tcPr>
            <w:tcW w:type="dxa" w:w="16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3</w:t>
            </w:r>
          </w:p>
        </w:tc>
        <w:tc>
          <w:tcPr>
            <w:tcW w:type="dxa" w:w="222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4</w:t>
            </w:r>
          </w:p>
        </w:tc>
        <w:tc>
          <w:tcPr>
            <w:tcW w:type="dxa" w:w="1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5</w:t>
            </w:r>
          </w:p>
        </w:tc>
      </w:tr>
      <w:tr>
        <w:tc>
          <w:tcPr>
            <w:tcW w:type="dxa" w:w="1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Mã toà nhà</w:t>
            </w:r>
          </w:p>
        </w:tc>
        <w:tc>
          <w:tcPr>
            <w:tcW w:type="dxa" w:w="1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Dấu phân tách</w:t>
            </w:r>
          </w:p>
        </w:tc>
        <w:tc>
          <w:tcPr>
            <w:tcW w:type="dxa" w:w="16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Số hệ thống</w:t>
            </w:r>
          </w:p>
        </w:tc>
        <w:tc>
          <w:tcPr>
            <w:tcW w:type="dxa" w:w="222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Loại thẻ</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6"/>
                <w:szCs w:val="16"/>
              </w:rPr>
              <w:t xml:space="preserve">Số thứ tự</w:t>
            </w:r>
          </w:p>
        </w:tc>
      </w:tr>
      <w:tr>
        <w:tc>
          <w:tcPr>
            <w:tcW w:type="dxa" w:w="1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1–5 ký tự</w:t>
            </w:r>
          </w:p>
        </w:tc>
        <w:tc>
          <w:tcPr>
            <w:tcW w:type="dxa" w:w="1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1 ký tự</w:t>
            </w:r>
          </w:p>
        </w:tc>
        <w:tc>
          <w:tcPr>
            <w:tcW w:type="dxa" w:w="16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2 ký tự</w:t>
            </w:r>
          </w:p>
        </w:tc>
        <w:tc>
          <w:tcPr>
            <w:tcW w:type="dxa" w:w="222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1 ký tự (0=RFID, 1=QR)</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6"/>
                <w:szCs w:val="16"/>
              </w:rPr>
              <w:t xml:space="preserve">7–8 ký tự</w:t>
            </w:r>
          </w:p>
        </w:tc>
      </w:tr>
    </w:tbl>
    <w:p>
      <w:pPr>
        <w:spacing w:after="60"/>
      </w:pPr>
      <w:r>
        <w:t xml:space="preserve"/>
      </w:r>
    </w:p>
    <w:p>
      <w:pPr>
        <w:spacing w:after="120" w:line="276"/>
        <w:jc w:val="both"/>
      </w:pPr>
      <w:r>
        <w:rPr>
          <w:i/>
          <w:iCs/>
        </w:rPr>
        <w:t xml:space="preserve">Ví dụ: FCU tại trụ sở CĐT (mã toà nhà số ký tự lẻ) → Mã thẻ RFID: DTHQ-0400000001.</w:t>
      </w:r>
    </w:p>
    <w:p>
      <w:pPr>
        <w:pStyle w:val="Heading3"/>
      </w:pPr>
      <w:r>
        <w:t xml:space="preserve">7.2.5 Bản ghi thẻ vùng (mã QR)</w:t>
      </w:r>
    </w:p>
    <w:p>
      <w:pPr>
        <w:spacing w:after="120" w:line="276"/>
        <w:jc w:val="both"/>
      </w:pPr>
      <w:r>
        <w:t xml:space="preserve">Ranh giới thẻ vùng và “phòng”/“không gian” bao gồm khoảng trần và khoảng sàn nâng phải được tạo và thể hiện rõ trong mô hình kiến trúc hoàn công.</w:t>
      </w:r>
    </w:p>
    <w:p>
      <w:pPr>
        <w:pStyle w:val="Heading2"/>
      </w:pPr>
      <w:r>
        <w:t xml:space="preserve">7.3 Giao tiếp với hệ thống/camera CCTV</w:t>
      </w:r>
    </w:p>
    <w:p>
      <w:pPr>
        <w:spacing w:after="120" w:line="276"/>
        <w:jc w:val="both"/>
      </w:pPr>
      <w:r>
        <w:t xml:space="preserve">Giao tiếp giữa Digital Twin và hệ CCTV/camera được thực hiện bằng đường dẫn web của đầu ghi hình hoặc URL riêng của từng camera qua trình duyệt iOS/Android. Hệ CCTV giám sát từ xa phải được bố trí cho các phòng kỹ thuật trọng yếu, gồm phòng bơm nước lạnh, trạm chiller và phòng tủ điện hạ thế chính.</w:t>
      </w:r>
    </w:p>
    <w:p>
      <w:r>
        <w:br w:type="page"/>
      </w:r>
    </w:p>
    <w:p>
      <w:pPr>
        <w:pStyle w:val="Heading1"/>
      </w:pPr>
      <w:r>
        <w:t xml:space="preserve">8. Quy trình CDE cho công trình BIM</w:t>
      </w:r>
    </w:p>
    <w:p>
      <w:pPr>
        <w:pStyle w:val="Heading2"/>
      </w:pPr>
      <w:r>
        <w:t xml:space="preserve">8.1 Bối cảnh</w:t>
      </w:r>
    </w:p>
    <w:p>
      <w:pPr>
        <w:spacing w:after="120" w:line="276"/>
        <w:jc w:val="both"/>
      </w:pPr>
      <w:r>
        <w:t xml:space="preserve">CĐT đã phát triển một hub điện tử cấp tổ chức — tức CDE — tuân thủ đầy đủ ISO 19650, làm “nguồn chân lý duy nhất” để quản lý mô hình và tài liệu do Nhà thầu nộp. Khi hoàn thành dự án, CĐT cấp quyền truy cập CDE cho Nhà thầu để hỗ trợ nộp tài liệu hoàn công trước khi kết thúc DLP. AIMP là giao diện đầu cuối (front-end) của CDE để Nhà thầu tải sản phẩm BIM–AM lên cho CĐT cho ý kiến.</w:t>
      </w:r>
    </w:p>
    <w:p>
      <w:pPr>
        <w:pStyle w:val="Heading2"/>
      </w:pPr>
      <w:r>
        <w:t xml:space="preserve">8.2 Quy trình CDE</w:t>
      </w:r>
    </w:p>
    <w:p>
      <w:pPr>
        <w:spacing w:after="120" w:line="276"/>
        <w:jc w:val="both"/>
      </w:pPr>
      <w:r>
        <w:t xml:space="preserve">Quy trình CDE tuân theo bốn trạng thái của ISO 19650: Đang thực hiện (Work in Progress) → Chia sẻ (Shared) → Đã phát hành (Published) → Lưu trữ (Archived). Logic nộp và phê duyệt trải qua các trạng thái này trong giai đoạn thi công.</w:t>
      </w:r>
    </w:p>
    <w:p>
      <w:pPr>
        <w:spacing w:after="120" w:line="276"/>
        <w:jc w:val="both"/>
      </w:pPr>
      <w:r>
        <w:t xml:space="preserve">Khi mô hình BIM hoàn công và dữ liệu được CĐT chấp nhận, gói sản phẩm sẽ được Nhà thầu tải lên CDE của CĐT. Từ tháng thứ sáu sau khi bắt đầu DLP, Nhà thầu có thể tải mô hình BIM hoàn công hoàn chỉnh lên AIMP để đội O&amp;M cho ý kiến. Trong giai đoạn này, đội O&amp;M phối hợp với Nhà thầu hoàn thiện dữ liệu tài sản trên AIMP. Mô hình và dữ liệu được tự động đồng bộ sang CDE để phê duyệt.</w:t>
      </w:r>
    </w:p>
    <w:p>
      <w:pPr>
        <w:spacing w:after="120" w:line="276"/>
        <w:jc w:val="both"/>
      </w:pPr>
      <w:r>
        <w:t xml:space="preserve">Khi dự án A&amp;A khởi động, đội O&amp;M sao chép mô hình hiện hữu sang CDE và cắt mô hình theo phạm vi A&amp;A. Bộ mô hình bản ghi với khu vực đã cắt được lưu trong thư mục Published. Nhà thầu A&amp;A cập nhật mô hình theo hiện trạng A&amp;A; mô hình và dữ liệu được đội O&amp;M rà soát để phê duyệt sang giai đoạn tiếp theo. Khi mô hình hoàn công A&amp;A được chấp nhận, mô hình được hợp nhất vào AIM hiện hữu phục vụ O&amp;M.</w:t>
      </w:r>
    </w:p>
    <w:p>
      <w:r>
        <w:br w:type="page"/>
      </w:r>
    </w:p>
    <w:p>
      <w:pPr>
        <w:pStyle w:val="Heading1"/>
      </w:pPr>
      <w:r>
        <w:t xml:space="preserve">9. Bàn giao &amp; nghiệm thu</w:t>
      </w:r>
    </w:p>
    <w:p>
      <w:pPr>
        <w:spacing w:after="120" w:line="276"/>
        <w:jc w:val="both"/>
      </w:pPr>
      <w:r>
        <w:t xml:space="preserve">Mục này nêu khung bàn giao và nghiệm thu của CĐT, tham chiếu Hướng dẫn Bàn giao (H/O Guide).</w:t>
      </w:r>
    </w:p>
    <w:p>
      <w:pPr>
        <w:pStyle w:val="Heading2"/>
      </w:pPr>
      <w:r>
        <w:t xml:space="preserve">9.1 Vai trò &amp; trách nhiệm bàn giao</w:t>
      </w:r>
    </w:p>
    <w:p>
      <w:pPr>
        <w:spacing w:after="120" w:line="276"/>
        <w:jc w:val="both"/>
      </w:pPr>
      <w:r>
        <w:t xml:space="preserve">Nhà thầu tham chiếu Mục 1 của H/O Guide về vai trò và trách nhiệm của các nhân sự tham gia quá trình bàn giao.</w:t>
      </w:r>
    </w:p>
    <w:p>
      <w:pPr>
        <w:pStyle w:val="Heading2"/>
      </w:pPr>
      <w:r>
        <w:t xml:space="preserve">9.2 Trình tự bàn giao</w:t>
      </w:r>
    </w:p>
    <w:p>
      <w:pPr>
        <w:spacing w:after="120" w:line="276"/>
        <w:jc w:val="both"/>
      </w:pPr>
      <w:r>
        <w:t xml:space="preserve">Nhà thầu tham chiếu Mục 2 của H/O Guide về quy trình tổng thể và từng bước của ba giai đoạn bàn giao, và Mục 3 về quy trình riêng cho dự án A&amp;A.</w:t>
      </w:r>
    </w:p>
    <w:p>
      <w:pPr>
        <w:pStyle w:val="Heading2"/>
      </w:pPr>
      <w:r>
        <w:t xml:space="preserve">9.3 QA/QC cho bàn giao</w:t>
      </w:r>
    </w:p>
    <w:p>
      <w:pPr>
        <w:spacing w:after="120" w:line="276"/>
        <w:jc w:val="both"/>
      </w:pPr>
      <w:r>
        <w:t xml:space="preserve">Nhà thầu tham chiếu Mục 4 của H/O Guide về quy trình QA/QC chi tiết trong các giai đoạn bàn giao.</w:t>
      </w:r>
    </w:p>
    <w:p>
      <w:pPr>
        <w:pStyle w:val="Heading2"/>
      </w:pPr>
      <w:r>
        <w:t xml:space="preserve">9.4 Gói bàn giao</w:t>
      </w:r>
    </w:p>
    <w:p>
      <w:pPr>
        <w:spacing w:after="120" w:line="276"/>
        <w:jc w:val="both"/>
      </w:pPr>
      <w:r>
        <w:t xml:space="preserve">Nhà thầu phải tuân theo cấu trúc thư mục nêu tại Phụ lục I và tải toàn bộ gói bàn giao lên AIMP.</w:t>
      </w:r>
    </w:p>
    <w:p>
      <w:pPr>
        <w:pStyle w:val="Heading2"/>
      </w:pPr>
      <w:r>
        <w:t xml:space="preserve">9.5 Trình tự nghiệm thu</w:t>
      </w:r>
    </w:p>
    <w:p>
      <w:pPr>
        <w:spacing w:after="120" w:line="276"/>
        <w:jc w:val="both"/>
      </w:pPr>
      <w:r>
        <w:t xml:space="preserve">CĐT thực hiện quy trình nghiệm thu nội bộ khi nhận được sản phẩm cuối cùng từ Nhà thầu trong và vào cuối DLP. Hướng dẫn nội bộ của CĐT được áp dụng để kiểm tra và nghiệm thu sản phẩm.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tabs>
        <w:tab w:val="center" w:pos="4680"/>
        <w:tab w:val="right" w:pos="9360"/>
      </w:tabs>
    </w:pPr>
    <w:r>
      <w:rPr>
        <w:color w:val="808080"/>
        <w:sz w:val="16"/>
        <w:szCs w:val="16"/>
      </w:rPr>
      <w:t xml:space="preserve">© 2026 Chủ đầu tư (CĐT)</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808080"/>
        <w:sz w:val="16"/>
        <w:szCs w:val="16"/>
      </w:rPr>
      <w:t xml:space="preserve">BIM–AM / Digital Twin — Tiêu chuẩn &amp; Hướng dẫn</w:t>
    </w:r>
    <w:r>
      <w:rPr>
        <w:color w:val="808080"/>
        <w:sz w:val="16"/>
        <w:szCs w:val="16"/>
      </w:rPr>
      <w:t xml:space="preserve">	Phiên bản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BIM Pipeline Chuyển giao cho Digital Twin</dc:title>
  <dc:creator>Chủ đầu tư (CĐT)</dc:creator>
  <cp:lastModifiedBy>Un-named</cp:lastModifiedBy>
  <cp:revision>1</cp:revision>
  <dcterms:created xsi:type="dcterms:W3CDTF">2026-06-08T11:28:59.002Z</dcterms:created>
  <dcterms:modified xsi:type="dcterms:W3CDTF">2026-06-08T11:28:59.002Z</dcterms:modified>
</cp:coreProperties>
</file>

<file path=docProps/custom.xml><?xml version="1.0" encoding="utf-8"?>
<Properties xmlns="http://schemas.openxmlformats.org/officeDocument/2006/custom-properties" xmlns:vt="http://schemas.openxmlformats.org/officeDocument/2006/docPropsVTypes"/>
</file>