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jc w:val="center"/>
      </w:pPr>
      <w:r>
        <w:rPr>
          <w:b/>
          <w:bCs/>
          <w:color w:val="2E75B6"/>
          <w:sz w:val="26"/>
          <w:szCs w:val="26"/>
        </w:rPr>
        <w:t xml:space="preserve">BỘ HƯỚNG DẪN CHUYỂN ĐỔI BIM PIPELINE SANG DIGITAL TWIN</w:t>
      </w:r>
    </w:p>
    <w:p>
      <w:pPr>
        <w:spacing w:after="0" w:before="60"/>
        <w:jc w:val="center"/>
      </w:pPr>
      <w:r>
        <w:rPr>
          <w:i/>
          <w:iCs/>
          <w:color w:val="595959"/>
          <w:sz w:val="20"/>
          <w:szCs w:val="20"/>
        </w:rPr>
        <w:t xml:space="preserve">(Bộ tài liệu phụ trợ Quy định BIM–AM / Digital Twin của Chủ đầu tư)</w:t>
      </w:r>
    </w:p>
    <w:p>
      <w:pPr>
        <w:spacing w:after="0" w:before="560"/>
        <w:jc w:val="center"/>
      </w:pPr>
      <w:r>
        <w:rPr>
          <w:b/>
          <w:bCs/>
          <w:color w:val="404040"/>
          <w:sz w:val="34"/>
          <w:szCs w:val="34"/>
        </w:rPr>
        <w:t xml:space="preserve">HD-00</w:t>
      </w:r>
    </w:p>
    <w:p>
      <w:pPr>
        <w:spacing w:after="0" w:before="140"/>
        <w:jc w:val="center"/>
      </w:pPr>
      <w:r>
        <w:rPr>
          <w:b/>
          <w:bCs/>
          <w:color w:val="1F3864"/>
          <w:sz w:val="42"/>
          <w:szCs w:val="42"/>
        </w:rPr>
        <w:t xml:space="preserve">TỔNG QUAN &amp; QUY ƯỚC CHUNG</w:t>
      </w:r>
    </w:p>
    <w:p>
      <w:pPr>
        <w:spacing w:before="140"/>
        <w:jc w:val="center"/>
      </w:pPr>
      <w:r>
        <w:rPr>
          <w:color w:val="404040"/>
          <w:sz w:val="24"/>
          <w:szCs w:val="24"/>
        </w:rPr>
        <w:t xml:space="preserve">Khung tham chiếu dùng chung cho toàn bộ hướng dẫn</w:t>
      </w:r>
    </w:p>
    <w:p>
      <w:pPr>
        <w:pBdr>
          <w:top w:val="single" w:color="2E75B6" w:sz="8" w:space="8"/>
        </w:pBdr>
        <w:spacing w:before="1400"/>
        <w:jc w:val="center"/>
      </w:pPr>
      <w:r>
        <w:rPr>
          <w:b/>
          <w:bCs/>
          <w:color w:val="1F3864"/>
          <w:sz w:val="22"/>
          <w:szCs w:val="22"/>
        </w:rPr>
        <w:t xml:space="preserve">Mã tài liệu DT-HD-00  •  Phiên bản 1.0  •  2026</w:t>
      </w:r>
    </w:p>
    <w:p>
      <w:r>
        <w:br w:type="page"/>
      </w:r>
    </w:p>
    <w:p>
      <w:pPr>
        <w:pStyle w:val="Heading1"/>
      </w:pPr>
      <w:r>
        <w:t xml:space="preserve">Kiểm soát tài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Thông tin</w:t>
            </w:r>
          </w:p>
        </w:tc>
        <w:tc>
          <w:tcPr>
            <w:tcW w:type="dxa" w:w="67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Nội dung</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Mã tài liệu</w:t>
            </w:r>
          </w:p>
        </w:tc>
        <w:tc>
          <w:tcPr>
            <w:tcW w:type="dxa" w:w="6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DT-HD-00</w:t>
            </w:r>
          </w:p>
        </w:tc>
      </w:tr>
      <w:tr>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Tên tài liệu</w:t>
            </w:r>
          </w:p>
        </w:tc>
        <w:tc>
          <w:tcPr>
            <w:tcW w:type="dxa" w:w="6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Tổng quan &amp; Quy ước chung của Bộ hướng dẫn chuyển đổi BIM Pipeline sang Digital Twin</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Phiên bản</w:t>
            </w:r>
          </w:p>
        </w:tc>
        <w:tc>
          <w:tcPr>
            <w:tcW w:type="dxa" w:w="6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1.0</w:t>
            </w:r>
          </w:p>
        </w:tc>
      </w:tr>
      <w:tr>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Ngày phát hành</w:t>
            </w:r>
          </w:p>
        </w:tc>
        <w:tc>
          <w:tcPr>
            <w:tcW w:type="dxa" w:w="6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Tháng 6 năm 2026</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Trạng thái</w:t>
            </w:r>
          </w:p>
        </w:tc>
        <w:tc>
          <w:tcPr>
            <w:tcW w:type="dxa" w:w="6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Bản phát hành nội bộ</w:t>
            </w:r>
          </w:p>
        </w:tc>
      </w:tr>
      <w:tr>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Đơn vị áp dụng</w:t>
            </w:r>
          </w:p>
        </w:tc>
        <w:tc>
          <w:tcPr>
            <w:tcW w:type="dxa" w:w="6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Chủ đầu tư (CĐT) — Digital Twin Platform</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Quan hệ tài liệu</w:t>
            </w:r>
          </w:p>
        </w:tc>
        <w:tc>
          <w:tcPr>
            <w:tcW w:type="dxa" w:w="6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Phụ trợ Quy định BIM–AM / Digital Twin (tài liệu chính) và các Phụ lục A–I; dùng chung quy ước tại HD-00.</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4060"/>
        <w:gridCol w:w="2400"/>
      </w:tblGrid>
      <w:tr>
        <w:trPr>
          <w:tblHeader/>
        </w:trPr>
        <w:tc>
          <w:tcPr>
            <w:tcW w:type="dxa" w:w="15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Phiên bản</w:t>
            </w:r>
          </w:p>
        </w:tc>
        <w:tc>
          <w:tcPr>
            <w:tcW w:type="dxa" w:w="14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Ngày</w:t>
            </w:r>
          </w:p>
        </w:tc>
        <w:tc>
          <w:tcPr>
            <w:tcW w:type="dxa" w:w="40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Nội dung thay đổi</w:t>
            </w:r>
          </w:p>
        </w:tc>
        <w:tc>
          <w:tcPr>
            <w:tcW w:type="dxa" w:w="24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Đơn vị thực hiện</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1.0</w:t>
            </w:r>
          </w:p>
        </w:tc>
        <w:tc>
          <w:tcPr>
            <w:tcW w:type="dxa" w:w="1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06/2026</w:t>
            </w:r>
          </w:p>
        </w:tc>
        <w:tc>
          <w:tcPr>
            <w:tcW w:type="dxa" w:w="40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Phát hành lần đầu (đã rà soát, loại trùng lặp, chuẩn hoá toàn bộ).</w:t>
            </w:r>
          </w:p>
        </w:tc>
        <w:tc>
          <w:tcPr>
            <w:tcW w:type="dxa" w:w="2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CĐT — Digital Twin Platform</w:t>
            </w:r>
          </w:p>
        </w:tc>
      </w:tr>
    </w:tbl>
    <w:p>
      <w:pPr>
        <w:spacing w:after="60"/>
      </w:pPr>
      <w:r>
        <w:t xml:space="preserve"/>
      </w:r>
    </w:p>
    <w:p>
      <w:pPr>
        <w:spacing w:after="200"/>
      </w:pPr>
      <w:r>
        <w:rPr>
          <w:b/>
          <w:bCs/>
          <w:color w:val="1F3864"/>
          <w:sz w:val="28"/>
          <w:szCs w:val="28"/>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Cấu trúc bộ hướng dẫn</w:t>
      </w:r>
    </w:p>
    <w:p>
      <w:pPr>
        <w:spacing w:after="120" w:line="276"/>
        <w:jc w:val="both"/>
      </w:pPr>
      <w:r>
        <w:t xml:space="preserve">Bộ hướng dẫn gồm sáu tài liệu. Tài liệu HD-00 chứa các quy ước dùng chung (thuật ngữ, sơ đồ pipeline, chuỗi yêu cầu thông tin, mapping ID trung tâm, phân loại lỗi &amp; nghiệm thu, RACI, data dictionary). Các tài liệu HD-01 đến HD-05 tham chiếu HD-00 và không lặp lại các nội dung dùng chung đó.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260"/>
        <w:gridCol w:w="1800"/>
      </w:tblGrid>
      <w:tr>
        <w:trPr>
          <w:tblHeader/>
        </w:trPr>
        <w:tc>
          <w:tcPr>
            <w:tcW w:type="dxa" w:w="13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Mã</w:t>
            </w:r>
          </w:p>
        </w:tc>
        <w:tc>
          <w:tcPr>
            <w:tcW w:type="dxa" w:w="62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Nội dung</w:t>
            </w:r>
          </w:p>
        </w:tc>
        <w:tc>
          <w:tcPr>
            <w:tcW w:type="dxa" w:w="18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
            </w:r>
          </w:p>
        </w:tc>
      </w:tr>
      <w:tr>
        <w:tc>
          <w:tcPr>
            <w:tcW w:type="dxa" w:w="1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HD-00</w:t>
            </w:r>
          </w:p>
        </w:tc>
        <w:tc>
          <w:tcPr>
            <w:tcW w:type="dxa" w:w="62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Tổng quan &amp; Quy ước chung</w:t>
            </w:r>
          </w:p>
        </w:tc>
        <w:tc>
          <w:tcPr>
            <w:tcW w:type="dxa" w:w="1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  (tài liệu này)</w:t>
            </w:r>
          </w:p>
        </w:tc>
      </w:tr>
      <w:tr>
        <w:tc>
          <w:tcPr>
            <w:tcW w:type="dxa" w:w="1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HD-01</w:t>
            </w:r>
          </w:p>
        </w:tc>
        <w:tc>
          <w:tcPr>
            <w:tcW w:type="dxa" w:w="62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File IFC</w:t>
            </w:r>
          </w:p>
        </w:tc>
        <w:tc>
          <w:tcPr>
            <w:tcW w:type="dxa" w:w="1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
            </w:r>
          </w:p>
        </w:tc>
      </w:tr>
      <w:tr>
        <w:tc>
          <w:tcPr>
            <w:tcW w:type="dxa" w:w="1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HD-02</w:t>
            </w:r>
          </w:p>
        </w:tc>
        <w:tc>
          <w:tcPr>
            <w:tcW w:type="dxa" w:w="62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COBie</w:t>
            </w:r>
          </w:p>
        </w:tc>
        <w:tc>
          <w:tcPr>
            <w:tcW w:type="dxa" w:w="1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
            </w:r>
          </w:p>
        </w:tc>
      </w:tr>
      <w:tr>
        <w:tc>
          <w:tcPr>
            <w:tcW w:type="dxa" w:w="1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HD-03</w:t>
            </w:r>
          </w:p>
        </w:tc>
        <w:tc>
          <w:tcPr>
            <w:tcW w:type="dxa" w:w="62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Tích hợp BMS·VMS·IOC·CMMS</w:t>
            </w:r>
          </w:p>
        </w:tc>
        <w:tc>
          <w:tcPr>
            <w:tcW w:type="dxa" w:w="1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
            </w:r>
          </w:p>
        </w:tc>
      </w:tr>
      <w:tr>
        <w:tc>
          <w:tcPr>
            <w:tcW w:type="dxa" w:w="1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HD-04</w:t>
            </w:r>
          </w:p>
        </w:tc>
        <w:tc>
          <w:tcPr>
            <w:tcW w:type="dxa" w:w="62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Metadata &amp; Mapping thông tin</w:t>
            </w:r>
          </w:p>
        </w:tc>
        <w:tc>
          <w:tcPr>
            <w:tcW w:type="dxa" w:w="1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
            </w:r>
          </w:p>
        </w:tc>
      </w:tr>
      <w:tr>
        <w:tc>
          <w:tcPr>
            <w:tcW w:type="dxa" w:w="1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HD-05</w:t>
            </w:r>
          </w:p>
        </w:tc>
        <w:tc>
          <w:tcPr>
            <w:tcW w:type="dxa" w:w="62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Tiêu chuẩn đối chiếu</w:t>
            </w:r>
          </w:p>
        </w:tc>
        <w:tc>
          <w:tcPr>
            <w:tcW w:type="dxa" w:w="1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
            </w:r>
          </w:p>
        </w:tc>
      </w:tr>
    </w:tbl>
    <w:p>
      <w:pPr>
        <w:spacing w:after="60"/>
      </w:pPr>
      <w:r>
        <w:t xml:space="preserve"/>
      </w:r>
    </w:p>
    <w:p>
      <w:pPr>
        <w:pStyle w:val="Heading1"/>
      </w:pPr>
      <w:r>
        <w:t xml:space="preserve">1. Mục đích &amp; phạm vi bộ hướng dẫn</w:t>
      </w:r>
    </w:p>
    <w:p>
      <w:pPr>
        <w:spacing w:after="120" w:line="276"/>
        <w:jc w:val="both"/>
      </w:pPr>
      <w:r>
        <w:t xml:space="preserve">Bộ hướng dẫn chuyển đổi BIM Pipeline sang Digital Twin là tài liệu phụ trợ cho Quy định BIM–AM / Digital Twin của Chủ đầu tư (CĐT). Bộ hướng dẫn cụ thể hoá cách biến mô hình BIM hoàn công thành mô hình thông tin tài sản vận hành được trên nền tảng Digital Twin: từ tiếp nhận file IFC, chuẩn hoá metadata, bàn giao dữ liệu qua COBie, đến tích hợp dữ liệu vận hành thời gian thực (BMS/VMS/IOC/CMMS) và đối chiếu các tiêu chuẩn áp dụng.</w:t>
      </w:r>
    </w:p>
    <w:p>
      <w:pPr>
        <w:spacing w:after="120" w:line="276"/>
        <w:jc w:val="both"/>
      </w:pPr>
      <w:r>
        <w:rPr>
          <w:b/>
          <w:bCs/>
        </w:rPr>
        <w:t xml:space="preserve">Nguyên tắc trọng tâm: Digital Twin không chỉ cần mô hình đẹp để hiển thị, mà cần mô hình thông tin tài sản có thể vận hành, tích hợp và phân tích dữ liệu. Nếu chỉ có mô hình 3D nhưng thiếu các khoá định danh (IFC GUID, Mã tài sản DT, Device ID, Space/System), nền tảng chỉ là một viewer.</w:t>
      </w:r>
    </w:p>
    <w:p>
      <w:pPr>
        <w:spacing w:after="120" w:line="276"/>
        <w:jc w:val="both"/>
      </w:pPr>
      <w:r>
        <w:t xml:space="preserve">Tài liệu HD-00 này thiết lập các quy ước dùng chung cho cả bộ. Khi một tài liệu HD-01…05 cần đến thuật ngữ, sơ đồ pipeline, chuỗi yêu cầu thông tin, mapping ID, phân loại lỗi hay ma trận trách nhiệm, tài liệu đó tham chiếu về HD-00 thay vì lặp lại.</w:t>
      </w:r>
    </w:p>
    <w:p>
      <w:pPr>
        <w:pStyle w:val="Heading1"/>
      </w:pPr>
      <w:r>
        <w:t xml:space="preserve">2. Thuật ngữ &amp; từ viết tắt dùng chung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Thuật ngữ</w:t>
            </w:r>
          </w:p>
        </w:tc>
        <w:tc>
          <w:tcPr>
            <w:tcW w:type="dxa" w:w="69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Định nghĩa</w:t>
            </w:r>
          </w:p>
        </w:tc>
      </w:tr>
      <w:tr>
        <w:tc>
          <w:tcPr>
            <w:tcW w:type="dxa" w:w="2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BIM</w:t>
            </w:r>
          </w:p>
        </w:tc>
        <w:tc>
          <w:tcPr>
            <w:tcW w:type="dxa" w:w="69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Mô hình thông tin công trình — hình học, thuộc tính, quan hệ, dữ liệu theo vòng đời.</w:t>
            </w:r>
          </w:p>
        </w:tc>
      </w:tr>
      <w:tr>
        <w:tc>
          <w:tcPr>
            <w:tcW w:type="dxa" w:w="2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IFC</w:t>
            </w:r>
          </w:p>
        </w:tc>
        <w:tc>
          <w:tcPr>
            <w:tcW w:type="dxa" w:w="69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Industry Foundation Classes — định dạng mở trao đổi BIM (yêu cầu IFC4; IFC4.3 cho hạ tầng).</w:t>
            </w:r>
          </w:p>
        </w:tc>
      </w:tr>
      <w:tr>
        <w:tc>
          <w:tcPr>
            <w:tcW w:type="dxa" w:w="2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IDS</w:t>
            </w:r>
          </w:p>
        </w:tc>
        <w:tc>
          <w:tcPr>
            <w:tcW w:type="dxa" w:w="69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Information Delivery Specification — định nghĩa yêu cầu thông tin ở dạng kiểm tra tự động được.</w:t>
            </w:r>
          </w:p>
        </w:tc>
      </w:tr>
      <w:tr>
        <w:tc>
          <w:tcPr>
            <w:tcW w:type="dxa" w:w="2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BCF</w:t>
            </w:r>
          </w:p>
        </w:tc>
        <w:tc>
          <w:tcPr>
            <w:tcW w:type="dxa" w:w="69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BIM Collaboration Format — trao đổi issue/lỗi mô hình gắn viewpoint &amp; đối tượng.</w:t>
            </w:r>
          </w:p>
        </w:tc>
      </w:tr>
      <w:tr>
        <w:tc>
          <w:tcPr>
            <w:tcW w:type="dxa" w:w="2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bSDD</w:t>
            </w:r>
          </w:p>
        </w:tc>
        <w:tc>
          <w:tcPr>
            <w:tcW w:type="dxa" w:w="69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buildingSMART Data Dictionary — từ điển dữ liệu chuẩn hoá thuật ngữ, property, classification.</w:t>
            </w:r>
          </w:p>
        </w:tc>
      </w:tr>
      <w:tr>
        <w:tc>
          <w:tcPr>
            <w:tcW w:type="dxa" w:w="2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COBie / COBieLite</w:t>
            </w:r>
          </w:p>
        </w:tc>
        <w:tc>
          <w:tcPr>
            <w:tcW w:type="dxa" w:w="69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Chuẩn trao đổi thông tin bàn giao; COBieLite là bản XML nhẹ để import nền tảng.</w:t>
            </w:r>
          </w:p>
        </w:tc>
      </w:tr>
      <w:tr>
        <w:tc>
          <w:tcPr>
            <w:tcW w:type="dxa" w:w="2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Pset / Qto</w:t>
            </w:r>
          </w:p>
        </w:tc>
        <w:tc>
          <w:tcPr>
            <w:tcW w:type="dxa" w:w="69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Property Set / Quantity Set — tập thuộc tính / khối lượng trong IFC.</w:t>
            </w:r>
          </w:p>
        </w:tc>
      </w:tr>
      <w:tr>
        <w:tc>
          <w:tcPr>
            <w:tcW w:type="dxa" w:w="2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EAV</w:t>
            </w:r>
          </w:p>
        </w:tc>
        <w:tc>
          <w:tcPr>
            <w:tcW w:type="dxa" w:w="69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Entity–Attribute–Value — lưu metadata linh hoạt dạng khoá–giá trị.</w:t>
            </w:r>
          </w:p>
        </w:tc>
      </w:tr>
      <w:tr>
        <w:tc>
          <w:tcPr>
            <w:tcW w:type="dxa" w:w="2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Metadata</w:t>
            </w:r>
          </w:p>
        </w:tc>
        <w:tc>
          <w:tcPr>
            <w:tcW w:type="dxa" w:w="69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Thông tin mô tả đối tượng: ID, tên, loại, vị trí, hệ kỹ thuật, thông số, mã tài sản.</w:t>
            </w:r>
          </w:p>
        </w:tc>
      </w:tr>
      <w:tr>
        <w:tc>
          <w:tcPr>
            <w:tcW w:type="dxa" w:w="2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LOI / LOIN</w:t>
            </w:r>
          </w:p>
        </w:tc>
        <w:tc>
          <w:tcPr>
            <w:tcW w:type="dxa" w:w="69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Mức độ thông tin (Level of Information) / mức độ thông tin cần thiết.</w:t>
            </w:r>
          </w:p>
        </w:tc>
      </w:tr>
      <w:tr>
        <w:tc>
          <w:tcPr>
            <w:tcW w:type="dxa" w:w="2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PIM → AIM</w:t>
            </w:r>
          </w:p>
        </w:tc>
        <w:tc>
          <w:tcPr>
            <w:tcW w:type="dxa" w:w="69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Mô hình thông tin dự án → mô hình thông tin tài sản (sau bàn giao).</w:t>
            </w:r>
          </w:p>
        </w:tc>
      </w:tr>
      <w:tr>
        <w:tc>
          <w:tcPr>
            <w:tcW w:type="dxa" w:w="2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CDE</w:t>
            </w:r>
          </w:p>
        </w:tc>
        <w:tc>
          <w:tcPr>
            <w:tcW w:type="dxa" w:w="69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Common Data Environment — môi trường dữ liệu chung theo ISO 19650 / TCVN 14177.</w:t>
            </w:r>
          </w:p>
        </w:tc>
      </w:tr>
      <w:tr>
        <w:tc>
          <w:tcPr>
            <w:tcW w:type="dxa" w:w="2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AIMP</w:t>
            </w:r>
          </w:p>
        </w:tc>
        <w:tc>
          <w:tcPr>
            <w:tcW w:type="dxa" w:w="69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Nền tảng quản lý thông tin tài sản của CĐT (front-end của CDE).</w:t>
            </w:r>
          </w:p>
        </w:tc>
      </w:tr>
      <w:tr>
        <w:tc>
          <w:tcPr>
            <w:tcW w:type="dxa" w:w="2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ADT</w:t>
            </w:r>
          </w:p>
        </w:tc>
        <w:tc>
          <w:tcPr>
            <w:tcW w:type="dxa" w:w="69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Asset Data Template — bảng mẫu dữ liệu tài sản (Phụ lục B của tài liệu chính).</w:t>
            </w:r>
          </w:p>
        </w:tc>
      </w:tr>
      <w:tr>
        <w:tc>
          <w:tcPr>
            <w:tcW w:type="dxa" w:w="2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Mã tài sản (DT)</w:t>
            </w:r>
          </w:p>
        </w:tc>
        <w:tc>
          <w:tcPr>
            <w:tcW w:type="dxa" w:w="69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Mã tài sản 7 trường của CĐT (Mục 5.1 tài liệu chính) — khoá định danh chính.</w:t>
            </w:r>
          </w:p>
        </w:tc>
      </w:tr>
      <w:tr>
        <w:tc>
          <w:tcPr>
            <w:tcW w:type="dxa" w:w="2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BIM Object</w:t>
            </w:r>
          </w:p>
        </w:tc>
        <w:tc>
          <w:tcPr>
            <w:tcW w:type="dxa" w:w="69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Đối tượng gốc từ BIM/IFC đưa vào Digital Twin.</w:t>
            </w:r>
          </w:p>
        </w:tc>
      </w:tr>
      <w:tr>
        <w:tc>
          <w:tcPr>
            <w:tcW w:type="dxa" w:w="2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Asset</w:t>
            </w:r>
          </w:p>
        </w:tc>
        <w:tc>
          <w:tcPr>
            <w:tcW w:type="dxa" w:w="69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Tài sản vận hành cần quản lý vòng đời, bảo trì, trạng thái, chi phí.</w:t>
            </w:r>
          </w:p>
        </w:tc>
      </w:tr>
      <w:tr>
        <w:tc>
          <w:tcPr>
            <w:tcW w:type="dxa" w:w="2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Device</w:t>
            </w:r>
          </w:p>
        </w:tc>
        <w:tc>
          <w:tcPr>
            <w:tcW w:type="dxa" w:w="69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Thiết bị IoT/BMS/VMS/DMP gửi dữ liệu hoặc nhận lệnh.</w:t>
            </w:r>
          </w:p>
        </w:tc>
      </w:tr>
      <w:tr>
        <w:tc>
          <w:tcPr>
            <w:tcW w:type="dxa" w:w="2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Point</w:t>
            </w:r>
          </w:p>
        </w:tc>
        <w:tc>
          <w:tcPr>
            <w:tcW w:type="dxa" w:w="69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Điểm dữ liệu: telemetry/status/alarm/command.</w:t>
            </w:r>
          </w:p>
        </w:tc>
      </w:tr>
      <w:tr>
        <w:tc>
          <w:tcPr>
            <w:tcW w:type="dxa" w:w="2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Telemetry</w:t>
            </w:r>
          </w:p>
        </w:tc>
        <w:tc>
          <w:tcPr>
            <w:tcW w:type="dxa" w:w="69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Dữ liệu thời gian thực/gần thời gian thực từ thiết bị.</w:t>
            </w:r>
          </w:p>
        </w:tc>
      </w:tr>
      <w:tr>
        <w:tc>
          <w:tcPr>
            <w:tcW w:type="dxa" w:w="2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Zone</w:t>
            </w:r>
          </w:p>
        </w:tc>
        <w:tc>
          <w:tcPr>
            <w:tcW w:type="dxa" w:w="69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Vùng vận hành logic (có thể khác Room/Space BIM) cho cảnh báo, dashboard, phân quyền.</w:t>
            </w:r>
          </w:p>
        </w:tc>
      </w:tr>
      <w:tr>
        <w:tc>
          <w:tcPr>
            <w:tcW w:type="dxa" w:w="2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BMS / VMS / IOC / CMMS</w:t>
            </w:r>
          </w:p>
        </w:tc>
        <w:tc>
          <w:tcPr>
            <w:tcW w:type="dxa" w:w="69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Hệ quản lý toà nhà / quản lý camera / trung tâm điều hành tích hợp / quản lý bảo trì.</w:t>
            </w:r>
          </w:p>
        </w:tc>
      </w:tr>
      <w:tr>
        <w:tc>
          <w:tcPr>
            <w:tcW w:type="dxa" w:w="2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DMP</w:t>
            </w:r>
          </w:p>
        </w:tc>
        <w:tc>
          <w:tcPr>
            <w:tcW w:type="dxa" w:w="69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Device Management Platform — nền tảng quản lý thiết bị, telemetry, kết nối.</w:t>
            </w:r>
          </w:p>
        </w:tc>
      </w:tr>
    </w:tbl>
    <w:p>
      <w:r>
        <w:br w:type="page"/>
      </w:r>
    </w:p>
    <w:p>
      <w:pPr>
        <w:pStyle w:val="Heading1"/>
      </w:pPr>
      <w:r>
        <w:t xml:space="preserve">3. Kiến trúc &amp; sơ đồ BIM Pipeline</w:t>
      </w:r>
    </w:p>
    <w:p>
      <w:pPr>
        <w:spacing w:after="120" w:line="276"/>
        <w:jc w:val="both"/>
      </w:pPr>
      <w:r>
        <w:t xml:space="preserve">BIM Pipeline là chuỗi xử lý từ tiếp nhận BIM/IFC đến kiểm tra, trích xuất, làm sạch, mapping, bổ sung dữ liệu vận hành, sinh COBieLite/JSON và publish lên Digital Twin có kiểm soát phiên bản. Sơ đồ luồng tổng thể (mỗi bước được chi tiết hoá tại các tài liệu HD tương ứng):</w:t>
      </w:r>
    </w:p>
    <w:p>
      <w:pPr>
        <w:spacing w:after="160" w:before="60"/>
        <w:jc w:val="center"/>
      </w:pPr>
      <w:r>
        <w:rPr>
          <w:i/>
          <w:iCs/>
          <w:color w:val="595959"/>
          <w:sz w:val="18"/>
          <w:szCs w:val="18"/>
        </w:rPr>
        <w:t xml:space="preserve">Bảng 0-1 Sơ đồ pipeline &amp; tài liệu chi tiết hoá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100"/>
        <w:gridCol w:w="2560"/>
        <w:gridCol w:w="2100"/>
      </w:tblGrid>
      <w:tr>
        <w:trPr>
          <w:tblHeader/>
        </w:trPr>
        <w:tc>
          <w:tcPr>
            <w:tcW w:type="dxa" w:w="6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Bước</w:t>
            </w:r>
          </w:p>
        </w:tc>
        <w:tc>
          <w:tcPr>
            <w:tcW w:type="dxa" w:w="41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Hoạt động</w:t>
            </w:r>
          </w:p>
        </w:tc>
        <w:tc>
          <w:tcPr>
            <w:tcW w:type="dxa" w:w="25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Đầu ra</w:t>
            </w:r>
          </w:p>
        </w:tc>
        <w:tc>
          <w:tcPr>
            <w:tcW w:type="dxa" w:w="21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Chi tiết tại</w:t>
            </w:r>
          </w:p>
        </w:tc>
      </w:tr>
      <w:tr>
        <w:tc>
          <w:tcPr>
            <w:tcW w:type="dxa" w:w="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1</w:t>
            </w:r>
          </w:p>
        </w:tc>
        <w:tc>
          <w:tcPr>
            <w:tcW w:type="dxa" w:w="4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Tiếp nhận &amp; đăng ký nguồn (IFC/Revit, COBie, asset/BMS point list, O&amp;M; version, checksum)</w:t>
            </w:r>
          </w:p>
        </w:tc>
        <w:tc>
          <w:tcPr>
            <w:tcW w:type="dxa" w:w="25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Nguồn có trạng thái review</w:t>
            </w:r>
          </w:p>
        </w:tc>
        <w:tc>
          <w:tcPr>
            <w:tcW w:type="dxa" w:w="2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HD-01</w:t>
            </w:r>
          </w:p>
        </w:tc>
      </w:tr>
      <w:tr>
        <w:tc>
          <w:tcPr>
            <w:tcW w:type="dxa" w:w="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2</w:t>
            </w:r>
          </w:p>
        </w:tc>
        <w:tc>
          <w:tcPr>
            <w:tcW w:type="dxa" w:w="41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Parse IFC: object, GUID, entity, Pset, không gian, hệ thống, type</w:t>
            </w:r>
          </w:p>
        </w:tc>
        <w:tc>
          <w:tcPr>
            <w:tcW w:type="dxa" w:w="25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Danh sách object + metadata EAV</w:t>
            </w:r>
          </w:p>
        </w:tc>
        <w:tc>
          <w:tcPr>
            <w:tcW w:type="dxa" w:w="21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HD-01, HD-04</w:t>
            </w:r>
          </w:p>
        </w:tc>
      </w:tr>
      <w:tr>
        <w:tc>
          <w:tcPr>
            <w:tcW w:type="dxa" w:w="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3</w:t>
            </w:r>
          </w:p>
        </w:tc>
        <w:tc>
          <w:tcPr>
            <w:tcW w:type="dxa" w:w="4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Làm sạch &amp; chuẩn hoá metadata (EAV/schema, đơn vị, PickList)</w:t>
            </w:r>
          </w:p>
        </w:tc>
        <w:tc>
          <w:tcPr>
            <w:tcW w:type="dxa" w:w="25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Metadata đủ cho LOI</w:t>
            </w:r>
          </w:p>
        </w:tc>
        <w:tc>
          <w:tcPr>
            <w:tcW w:type="dxa" w:w="2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HD-04</w:t>
            </w:r>
          </w:p>
        </w:tc>
      </w:tr>
      <w:tr>
        <w:tc>
          <w:tcPr>
            <w:tcW w:type="dxa" w:w="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4</w:t>
            </w:r>
          </w:p>
        </w:tc>
        <w:tc>
          <w:tcPr>
            <w:tcW w:type="dxa" w:w="41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Bổ sung dữ liệu vận hành (Asset/Device/Point/BMS/CMMS/O&amp;M)</w:t>
            </w:r>
          </w:p>
        </w:tc>
        <w:tc>
          <w:tcPr>
            <w:tcW w:type="dxa" w:w="25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Dữ liệu enrichment đầy đủ</w:t>
            </w:r>
          </w:p>
        </w:tc>
        <w:tc>
          <w:tcPr>
            <w:tcW w:type="dxa" w:w="21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HD-02, HD-03</w:t>
            </w:r>
          </w:p>
        </w:tc>
      </w:tr>
      <w:tr>
        <w:tc>
          <w:tcPr>
            <w:tcW w:type="dxa" w:w="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5</w:t>
            </w:r>
          </w:p>
        </w:tc>
        <w:tc>
          <w:tcPr>
            <w:tcW w:type="dxa" w:w="4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Mapping đối tượng &amp; định danh về Mã tài sản (DT)</w:t>
            </w:r>
          </w:p>
        </w:tc>
        <w:tc>
          <w:tcPr>
            <w:tcW w:type="dxa" w:w="25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Bảng mapping ID trung tâm</w:t>
            </w:r>
          </w:p>
        </w:tc>
        <w:tc>
          <w:tcPr>
            <w:tcW w:type="dxa" w:w="2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HD-03 (§Mapping ID), HD-04</w:t>
            </w:r>
          </w:p>
        </w:tc>
      </w:tr>
      <w:tr>
        <w:tc>
          <w:tcPr>
            <w:tcW w:type="dxa" w:w="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6</w:t>
            </w:r>
          </w:p>
        </w:tc>
        <w:tc>
          <w:tcPr>
            <w:tcW w:type="dxa" w:w="41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Sinh COBie/COBieLite + JSON + style hiển thị</w:t>
            </w:r>
          </w:p>
        </w:tc>
        <w:tc>
          <w:tcPr>
            <w:tcW w:type="dxa" w:w="25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Gói bàn giao &amp; import</w:t>
            </w:r>
          </w:p>
        </w:tc>
        <w:tc>
          <w:tcPr>
            <w:tcW w:type="dxa" w:w="21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HD-02, HD-04</w:t>
            </w:r>
          </w:p>
        </w:tc>
      </w:tr>
      <w:tr>
        <w:tc>
          <w:tcPr>
            <w:tcW w:type="dxa" w:w="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7</w:t>
            </w:r>
          </w:p>
        </w:tc>
        <w:tc>
          <w:tcPr>
            <w:tcW w:type="dxa" w:w="4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QA, review, approve, publish có versioning</w:t>
            </w:r>
          </w:p>
        </w:tc>
        <w:tc>
          <w:tcPr>
            <w:tcW w:type="dxa" w:w="25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Dữ liệu publish + audit log</w:t>
            </w:r>
          </w:p>
        </w:tc>
        <w:tc>
          <w:tcPr>
            <w:tcW w:type="dxa" w:w="2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HD-05 (nghiệm thu), HD-00 (lỗi)</w:t>
            </w:r>
          </w:p>
        </w:tc>
      </w:tr>
      <w:tr>
        <w:tc>
          <w:tcPr>
            <w:tcW w:type="dxa" w:w="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8</w:t>
            </w:r>
          </w:p>
        </w:tc>
        <w:tc>
          <w:tcPr>
            <w:tcW w:type="dxa" w:w="41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Nghiệm thu trên DTP: click asset → highlight IFC, vị trí, telemetry, tài liệu</w:t>
            </w:r>
          </w:p>
        </w:tc>
        <w:tc>
          <w:tcPr>
            <w:tcW w:type="dxa" w:w="25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Biên bản nghiệm thu</w:t>
            </w:r>
          </w:p>
        </w:tc>
        <w:tc>
          <w:tcPr>
            <w:tcW w:type="dxa" w:w="21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Tất cả</w:t>
            </w:r>
          </w:p>
        </w:tc>
      </w:tr>
    </w:tbl>
    <w:p>
      <w:pPr>
        <w:spacing w:after="60"/>
      </w:pPr>
      <w:r>
        <w:t xml:space="preserve"/>
      </w:r>
    </w:p>
    <w:p>
      <w:pPr>
        <w:spacing w:after="120" w:line="276"/>
        <w:jc w:val="both"/>
      </w:pPr>
      <w:r>
        <w:rPr>
          <w:i/>
          <w:iCs/>
        </w:rPr>
        <w:t xml:space="preserve">Vai trò đúng của từng định dạng: IFC là nguồn mô hình mở (geometry, GUID, Pset, không gian, hệ thống); Excel Master/ADT là nơi con người bổ sung và kiểm soát dữ liệu vận hành; COBie/COBieLite là lớp bàn giao có cấu trúc; JSON là lớp máy đọc để import và tích hợp API. Không coi IFC là dữ liệu vận hành hoàn chỉnh, không nhập liệu hai lần ở nhiều file, không dùng JSON thay cho quy trình kiểm soát của con người.</w:t>
      </w:r>
    </w:p>
    <w:p>
      <w:pPr>
        <w:pStyle w:val="Heading1"/>
      </w:pPr>
      <w:r>
        <w:t xml:space="preserve">4. Chuỗi yêu cầu thông tin (OIR → AIM → Digital Twin)</w:t>
      </w:r>
    </w:p>
    <w:p>
      <w:pPr>
        <w:spacing w:after="120" w:line="276"/>
        <w:jc w:val="both"/>
      </w:pPr>
      <w:r>
        <w:t xml:space="preserve">Theo ISO 19650 / TCVN 14177, yêu cầu thông tin phải được xác định trước khi bàn giao — không chấp nhận “có gì bàn giao nấy”. Mỗi yêu cầu phải có tiêu chí kiểm tra tương ứng để nghiệm thu.</w:t>
      </w:r>
    </w:p>
    <w:p>
      <w:pPr>
        <w:spacing w:after="120" w:line="276"/>
        <w:jc w:val="center"/>
      </w:pPr>
      <w:r>
        <w:rPr>
          <w:b/>
          <w:bCs/>
        </w:rPr>
        <w:t xml:space="preserve">OIR → AIR → PIR → EIR → BEP → PIM → AIM → Digital Twin</w:t>
      </w:r>
    </w:p>
    <w:p>
      <w:pPr>
        <w:spacing w:after="160" w:before="60"/>
        <w:jc w:val="center"/>
      </w:pPr>
      <w:r>
        <w:rPr>
          <w:i/>
          <w:iCs/>
          <w:color w:val="595959"/>
          <w:sz w:val="18"/>
          <w:szCs w:val="18"/>
        </w:rPr>
        <w:t xml:space="preserve">Bảng 0-2 Chuỗi yêu cầu thông tin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760"/>
        <w:gridCol w:w="3300"/>
      </w:tblGrid>
      <w:tr>
        <w:trPr>
          <w:tblHeader/>
        </w:trPr>
        <w:tc>
          <w:tcPr>
            <w:tcW w:type="dxa" w:w="13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Thành phần</w:t>
            </w:r>
          </w:p>
        </w:tc>
        <w:tc>
          <w:tcPr>
            <w:tcW w:type="dxa" w:w="47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Nội dung ban hành</w:t>
            </w:r>
          </w:p>
        </w:tc>
        <w:tc>
          <w:tcPr>
            <w:tcW w:type="dxa" w:w="33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Liên hệ trong khung CĐT</w:t>
            </w:r>
          </w:p>
        </w:tc>
      </w:tr>
      <w:tr>
        <w:tc>
          <w:tcPr>
            <w:tcW w:type="dxa" w:w="1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OIR</w:t>
            </w:r>
          </w:p>
        </w:tc>
        <w:tc>
          <w:tcPr>
            <w:tcW w:type="dxa" w:w="4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Mục tiêu quản lý tài sản, báo cáo, KPI, chiến lược vận hành</w:t>
            </w:r>
          </w:p>
        </w:tc>
        <w:tc>
          <w:tcPr>
            <w:tcW w:type="dxa" w:w="3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Digital Twin trả lời câu hỏi gì cho tổ chức</w:t>
            </w:r>
          </w:p>
        </w:tc>
      </w:tr>
      <w:tr>
        <w:tc>
          <w:tcPr>
            <w:tcW w:type="dxa" w:w="1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AIR</w:t>
            </w:r>
          </w:p>
        </w:tc>
        <w:tc>
          <w:tcPr>
            <w:tcW w:type="dxa" w:w="4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Danh mục asset, metadata bắt buộc, tài liệu, vòng đời tài sản</w:t>
            </w:r>
          </w:p>
        </w:tc>
        <w:tc>
          <w:tcPr>
            <w:tcW w:type="dxa" w:w="3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 Phụ lục B (ADT) &amp; Phụ lục D (tham số DT.*)</w:t>
            </w:r>
          </w:p>
        </w:tc>
      </w:tr>
      <w:tr>
        <w:tc>
          <w:tcPr>
            <w:tcW w:type="dxa" w:w="1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PIR</w:t>
            </w:r>
          </w:p>
        </w:tc>
        <w:tc>
          <w:tcPr>
            <w:tcW w:type="dxa" w:w="4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Yêu cầu thông tin theo từng mốc dự án</w:t>
            </w:r>
          </w:p>
        </w:tc>
        <w:tc>
          <w:tcPr>
            <w:tcW w:type="dxa" w:w="3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Kiểm soát dữ liệu từ thiết kế đến hoàn công</w:t>
            </w:r>
          </w:p>
        </w:tc>
      </w:tr>
      <w:tr>
        <w:tc>
          <w:tcPr>
            <w:tcW w:type="dxa" w:w="1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EIR</w:t>
            </w:r>
          </w:p>
        </w:tc>
        <w:tc>
          <w:tcPr>
            <w:tcW w:type="dxa" w:w="4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Định dạng, cấu trúc, đặt tên, phân loại, mốc bàn giao, tiêu chí kiểm tra</w:t>
            </w:r>
          </w:p>
        </w:tc>
        <w:tc>
          <w:tcPr>
            <w:tcW w:type="dxa" w:w="3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Đầu vào cho bộ rule kiểm tra (IDS)</w:t>
            </w:r>
          </w:p>
        </w:tc>
      </w:tr>
      <w:tr>
        <w:tc>
          <w:tcPr>
            <w:tcW w:type="dxa" w:w="1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BEP</w:t>
            </w:r>
          </w:p>
        </w:tc>
        <w:tc>
          <w:tcPr>
            <w:tcW w:type="dxa" w:w="4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Kế hoạch thực hiện BIM của nhà thầu đáp ứng EIR</w:t>
            </w:r>
          </w:p>
        </w:tc>
        <w:tc>
          <w:tcPr>
            <w:tcW w:type="dxa" w:w="3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 Mẫu BEP của tài liệu chính</w:t>
            </w:r>
          </w:p>
        </w:tc>
      </w:tr>
      <w:tr>
        <w:tc>
          <w:tcPr>
            <w:tcW w:type="dxa" w:w="1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PIM → AIM</w:t>
            </w:r>
          </w:p>
        </w:tc>
        <w:tc>
          <w:tcPr>
            <w:tcW w:type="dxa" w:w="4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Mô hình thông tin dự án → tài sản sau bàn giao</w:t>
            </w:r>
          </w:p>
        </w:tc>
        <w:tc>
          <w:tcPr>
            <w:tcW w:type="dxa" w:w="3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Lớp dữ liệu nền của Digital Twin</w:t>
            </w:r>
          </w:p>
        </w:tc>
      </w:tr>
    </w:tbl>
    <w:p>
      <w:r>
        <w:br w:type="page"/>
      </w:r>
    </w:p>
    <w:p>
      <w:pPr>
        <w:pStyle w:val="Heading1"/>
      </w:pPr>
      <w:r>
        <w:t xml:space="preserve">5. Mô hình dữ liệu Digital Twin theo lớp</w:t>
      </w:r>
    </w:p>
    <w:p>
      <w:pPr>
        <w:spacing w:after="120" w:line="276"/>
        <w:jc w:val="both"/>
      </w:pPr>
      <w:r>
        <w:t xml:space="preserve">Digital Twin tổ chức dữ liệu thành các lớp rõ ràng, tránh trộn lẫn hình học, tài sản, vận hành và sự kiện. Đây là khung dữ liệu chung mà mọi tài liệu HD đều tuân theo.</w:t>
      </w:r>
    </w:p>
    <w:p>
      <w:pPr>
        <w:spacing w:after="160" w:before="60"/>
        <w:jc w:val="center"/>
      </w:pPr>
      <w:r>
        <w:rPr>
          <w:i/>
          <w:iCs/>
          <w:color w:val="595959"/>
          <w:sz w:val="18"/>
          <w:szCs w:val="18"/>
        </w:rPr>
        <w:t xml:space="preserve">Bảng 0-3 Các lớp dữ liệu Digital Twin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Lớp</w:t>
            </w:r>
          </w:p>
        </w:tc>
        <w:tc>
          <w:tcPr>
            <w:tcW w:type="dxa" w:w="71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Nội dung quản lý</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Facility</w:t>
            </w:r>
          </w:p>
        </w:tc>
        <w:tc>
          <w:tcPr>
            <w:tcW w:type="dxa" w:w="71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Dự án, khu đô thị, công trình, toà nhà.</w:t>
            </w:r>
          </w:p>
        </w:tc>
      </w:tr>
      <w:tr>
        <w:tc>
          <w:tcPr>
            <w:tcW w:type="dxa" w:w="2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Spatial</w:t>
            </w:r>
          </w:p>
        </w:tc>
        <w:tc>
          <w:tcPr>
            <w:tcW w:type="dxa" w:w="71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Site, Building, Floor, Zone, Room, Space, toạ độ BIM/GIS.</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Asset</w:t>
            </w:r>
          </w:p>
        </w:tc>
        <w:tc>
          <w:tcPr>
            <w:tcW w:type="dxa" w:w="71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Thiết bị, tài sản, cấu kiện, vật tư, phụ tùng.</w:t>
            </w:r>
          </w:p>
        </w:tc>
      </w:tr>
      <w:tr>
        <w:tc>
          <w:tcPr>
            <w:tcW w:type="dxa" w:w="2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System</w:t>
            </w:r>
          </w:p>
        </w:tc>
        <w:tc>
          <w:tcPr>
            <w:tcW w:type="dxa" w:w="71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HVAC, Electrical, Plumbing, Fire, Security, CCTV, Lighting, Elevator…</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Device</w:t>
            </w:r>
          </w:p>
        </w:tc>
        <w:tc>
          <w:tcPr>
            <w:tcW w:type="dxa" w:w="71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Sensor, Gateway, Controller, Camera, Meter, IoT Device.</w:t>
            </w:r>
          </w:p>
        </w:tc>
      </w:tr>
      <w:tr>
        <w:tc>
          <w:tcPr>
            <w:tcW w:type="dxa" w:w="2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Telemetry</w:t>
            </w:r>
          </w:p>
        </w:tc>
        <w:tc>
          <w:tcPr>
            <w:tcW w:type="dxa" w:w="71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Dữ liệu thời gian thực, lịch sử, đơn vị đo, chất lượng dữ liệu.</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Event</w:t>
            </w:r>
          </w:p>
        </w:tc>
        <w:tc>
          <w:tcPr>
            <w:tcW w:type="dxa" w:w="71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Alarm, event, incident, AI event, trạng thái xử lý.</w:t>
            </w:r>
          </w:p>
        </w:tc>
      </w:tr>
      <w:tr>
        <w:tc>
          <w:tcPr>
            <w:tcW w:type="dxa" w:w="2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Maintenance</w:t>
            </w:r>
          </w:p>
        </w:tc>
        <w:tc>
          <w:tcPr>
            <w:tcW w:type="dxa" w:w="71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Kế hoạch bảo trì, work order, lịch sử sửa chữa, warranty, spare part.</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Document</w:t>
            </w:r>
          </w:p>
        </w:tc>
        <w:tc>
          <w:tcPr>
            <w:tcW w:type="dxa" w:w="71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O&amp;M manual, catalogue, bản vẽ hoàn công, CO/CQ, biên bản test.</w:t>
            </w:r>
          </w:p>
        </w:tc>
      </w:tr>
      <w:tr>
        <w:tc>
          <w:tcPr>
            <w:tcW w:type="dxa" w:w="2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Governance</w:t>
            </w:r>
          </w:p>
        </w:tc>
        <w:tc>
          <w:tcPr>
            <w:tcW w:type="dxa" w:w="71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Phân quyền, audit log, version, data quality, mapping history.</w:t>
            </w:r>
          </w:p>
        </w:tc>
      </w:tr>
    </w:tbl>
    <w:p>
      <w:pPr>
        <w:spacing w:after="60"/>
      </w:pPr>
      <w:r>
        <w:t xml:space="preserve"/>
      </w:r>
    </w:p>
    <w:p>
      <w:pPr>
        <w:pStyle w:val="Heading1"/>
      </w:pPr>
      <w:r>
        <w:t xml:space="preserve">6. Định danh &amp; mapping ID trung tâm (chuẩn dùng chung)</w:t>
      </w:r>
    </w:p>
    <w:p>
      <w:pPr>
        <w:spacing w:after="120" w:line="276"/>
        <w:jc w:val="both"/>
      </w:pPr>
      <w:r>
        <w:t xml:space="preserve">Đây là quy ước định danh gốc cho cả bộ hướng dẫn. Mọi tài liệu HD tham chiếu mục này; các quy ước đặt tên chi tiết theo loại ID nằm tại HD-03.</w:t>
      </w:r>
    </w:p>
    <w:p>
      <w:pPr>
        <w:pStyle w:val="Heading2"/>
      </w:pPr>
      <w:r>
        <w:t xml:space="preserve">6.1 Nguyên tắc bắt buộc</w:t>
      </w:r>
    </w:p>
    <w:p>
      <w:pPr>
        <w:pStyle w:val="ListParagraph"/>
        <w:numPr>
          <w:ilvl w:val="0"/>
          <w:numId w:val="2"/>
        </w:numPr>
        <w:spacing w:after="80" w:line="264"/>
        <w:jc w:val="both"/>
      </w:pPr>
      <w:r>
        <w:t xml:space="preserve">Mỗi tài sản vận hành chỉ có một Mã tài sản (DT) chính (7 trường — Mục 5.1 tài liệu chính);</w:t>
      </w:r>
    </w:p>
    <w:p>
      <w:pPr>
        <w:pStyle w:val="ListParagraph"/>
        <w:numPr>
          <w:ilvl w:val="0"/>
          <w:numId w:val="2"/>
        </w:numPr>
        <w:spacing w:after="80" w:line="264"/>
        <w:jc w:val="both"/>
      </w:pPr>
      <w:r>
        <w:t xml:space="preserve">IFC GUID, COBie Component Name, BMS Tag, CMMS Asset ID, Camera ID, Device ID là ID tham chiếu, phải mapping về Mã tài sản (DT) chính;</w:t>
      </w:r>
    </w:p>
    <w:p>
      <w:pPr>
        <w:pStyle w:val="ListParagraph"/>
        <w:numPr>
          <w:ilvl w:val="0"/>
          <w:numId w:val="2"/>
        </w:numPr>
        <w:spacing w:after="80" w:line="264"/>
        <w:jc w:val="both"/>
      </w:pPr>
      <w:r>
        <w:t xml:space="preserve">Giữ nguyên IFC GUID gốc, không tự sinh lại; quản lý thêm “Stable Object Key” dựa trên mã dự án/toà/tầng/phòng/hệ/Mã tài sản;</w:t>
      </w:r>
    </w:p>
    <w:p>
      <w:pPr>
        <w:pStyle w:val="ListParagraph"/>
        <w:numPr>
          <w:ilvl w:val="0"/>
          <w:numId w:val="2"/>
        </w:numPr>
        <w:spacing w:after="80" w:line="264"/>
        <w:jc w:val="both"/>
      </w:pPr>
      <w:r>
        <w:t xml:space="preserve">ID kỹ thuật chỉ dùng A–Z, 0–9, “-”, “_”; không dấu tiếng Việt, không khoảng trắng, không ký tự đặc biệt; tên hiển thị có thể dùng tiếng Việt có dấu;</w:t>
      </w:r>
    </w:p>
    <w:p>
      <w:pPr>
        <w:pStyle w:val="ListParagraph"/>
        <w:numPr>
          <w:ilvl w:val="0"/>
          <w:numId w:val="2"/>
        </w:numPr>
        <w:spacing w:after="80" w:line="264"/>
        <w:jc w:val="both"/>
      </w:pPr>
      <w:r>
        <w:t xml:space="preserve">ID ổn định xuyên vòng đời; khi thay thiết bị vật lý phải lưu lịch sử serial/model/vendor;</w:t>
      </w:r>
    </w:p>
    <w:p>
      <w:pPr>
        <w:pStyle w:val="ListParagraph"/>
        <w:numPr>
          <w:ilvl w:val="0"/>
          <w:numId w:val="2"/>
        </w:numPr>
        <w:spacing w:after="80" w:line="264"/>
        <w:jc w:val="both"/>
      </w:pPr>
      <w:r>
        <w:t xml:space="preserve">Mọi thay đổi mapping ID phải có audit log: người thay đổi, thời điểm, lý do.</w:t>
      </w:r>
    </w:p>
    <w:p>
      <w:pPr>
        <w:pStyle w:val="Heading2"/>
      </w:pPr>
      <w:r>
        <w:t xml:space="preserve">6.2 Bảng mapping ID trung tâm</w:t>
      </w:r>
    </w:p>
    <w:p>
      <w:pPr>
        <w:spacing w:after="120" w:line="276"/>
        <w:jc w:val="both"/>
      </w:pPr>
      <w:r>
        <w:t xml:space="preserve">Bảng mapping ID trung tâm là “xương sống” liên kết toàn hệ thống — mỗi asset một dòng, gom mọi ID tham chiếu:</w:t>
      </w:r>
    </w:p>
    <w:p>
      <w:pPr>
        <w:spacing w:after="160" w:before="60"/>
        <w:jc w:val="center"/>
      </w:pPr>
      <w:r>
        <w:rPr>
          <w:i/>
          <w:iCs/>
          <w:color w:val="595959"/>
          <w:sz w:val="18"/>
          <w:szCs w:val="18"/>
        </w:rPr>
        <w:t xml:space="preserve">Bảng 0-4 Ví dụ bản ghi mapping ID trung tâm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Trường</w:t>
            </w:r>
          </w:p>
        </w:tc>
        <w:tc>
          <w:tcPr>
            <w:tcW w:type="dxa" w:w="61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Ví dụ</w:t>
            </w:r>
          </w:p>
        </w:tc>
      </w:tr>
      <w:tr>
        <w:tc>
          <w:tcPr>
            <w:tcW w:type="dxa" w:w="3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Mã tài sản (DT)</w:t>
            </w:r>
          </w:p>
        </w:tc>
        <w:tc>
          <w:tcPr>
            <w:tcW w:type="dxa" w:w="61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KT-DTHQ-NA-1F-HVAC-AHU-01</w:t>
            </w:r>
          </w:p>
        </w:tc>
      </w:tr>
      <w:tr>
        <w:tc>
          <w:tcPr>
            <w:tcW w:type="dxa" w:w="3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Tên tài sản</w:t>
            </w:r>
          </w:p>
        </w:tc>
        <w:tc>
          <w:tcPr>
            <w:tcW w:type="dxa" w:w="61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AHU tầng 1 khu A</w:t>
            </w:r>
          </w:p>
        </w:tc>
      </w:tr>
      <w:tr>
        <w:tc>
          <w:tcPr>
            <w:tcW w:type="dxa" w:w="3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IFC GUID</w:t>
            </w:r>
          </w:p>
        </w:tc>
        <w:tc>
          <w:tcPr>
            <w:tcW w:type="dxa" w:w="61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2hJk82LkH3pQx9PZ</w:t>
            </w:r>
          </w:p>
        </w:tc>
      </w:tr>
      <w:tr>
        <w:tc>
          <w:tcPr>
            <w:tcW w:type="dxa" w:w="3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COBie Component / Type Name</w:t>
            </w:r>
          </w:p>
        </w:tc>
        <w:tc>
          <w:tcPr>
            <w:tcW w:type="dxa" w:w="61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AHU-1F-001 / AHU-Type-5000CMH</w:t>
            </w:r>
          </w:p>
        </w:tc>
      </w:tr>
      <w:tr>
        <w:tc>
          <w:tcPr>
            <w:tcW w:type="dxa" w:w="3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BMS Equipment ID / Point Prefix</w:t>
            </w:r>
          </w:p>
        </w:tc>
        <w:tc>
          <w:tcPr>
            <w:tcW w:type="dxa" w:w="61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BMS_AHU_1F_01 / BMS.HVAC.AHU.1F.001</w:t>
            </w:r>
          </w:p>
        </w:tc>
      </w:tr>
      <w:tr>
        <w:tc>
          <w:tcPr>
            <w:tcW w:type="dxa" w:w="3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CMMS Asset ID</w:t>
            </w:r>
          </w:p>
        </w:tc>
        <w:tc>
          <w:tcPr>
            <w:tcW w:type="dxa" w:w="61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CMMS-AST-000123</w:t>
            </w:r>
          </w:p>
        </w:tc>
      </w:tr>
      <w:tr>
        <w:tc>
          <w:tcPr>
            <w:tcW w:type="dxa" w:w="3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Device ID</w:t>
            </w:r>
          </w:p>
        </w:tc>
        <w:tc>
          <w:tcPr>
            <w:tcW w:type="dxa" w:w="61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DEV-DTHQ-HVAC-CTRL-1F-001</w:t>
            </w:r>
          </w:p>
        </w:tc>
      </w:tr>
      <w:tr>
        <w:tc>
          <w:tcPr>
            <w:tcW w:type="dxa" w:w="3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Space ID / Zone ID</w:t>
            </w:r>
          </w:p>
        </w:tc>
        <w:tc>
          <w:tcPr>
            <w:tcW w:type="dxa" w:w="61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SPC-DTHQ-1F-MECH-001 / ZN-DTHQ-1F-HVAC-A</w:t>
            </w:r>
          </w:p>
        </w:tc>
      </w:tr>
    </w:tbl>
    <w:p>
      <w:pPr>
        <w:spacing w:after="60"/>
      </w:pPr>
      <w:r>
        <w:t xml:space="preserve"/>
      </w:r>
    </w:p>
    <w:p>
      <w:pPr>
        <w:spacing w:after="120" w:line="276"/>
        <w:jc w:val="both"/>
      </w:pPr>
      <w:r>
        <w:rPr>
          <w:b/>
          <w:bCs/>
        </w:rPr>
        <w:t xml:space="preserve">Chuỗi liên kết tối thiểu cho mỗi đối tượng vận hành quan trọng:</w:t>
      </w:r>
    </w:p>
    <w:p>
      <w:pPr>
        <w:spacing w:after="120" w:line="276"/>
        <w:jc w:val="center"/>
      </w:pPr>
      <w:r>
        <w:rPr>
          <w:b/>
          <w:bCs/>
        </w:rPr>
        <w:t xml:space="preserve">IFC Object → IFC GUID → Mã tài sản (DT) → Device ID / BMS Point ID → DTP Object ID → CMMS ID / Work Order ID</w:t>
      </w:r>
    </w:p>
    <w:p>
      <w:r>
        <w:br w:type="page"/>
      </w:r>
    </w:p>
    <w:p>
      <w:pPr>
        <w:pStyle w:val="Heading1"/>
      </w:pPr>
      <w:r>
        <w:t xml:space="preserve">7. Phân loại lỗi &amp; nguyên tắc nghiệm thu (chuẩn dùng chung)</w:t>
      </w:r>
    </w:p>
    <w:p>
      <w:pPr>
        <w:spacing w:after="120" w:line="276"/>
        <w:jc w:val="both"/>
      </w:pPr>
      <w:r>
        <w:t xml:space="preserve">Mọi tài liệu HD dùng chung thang phân loại lỗi sau khi QA dữ liệu. Tài liệu HD-05 quy định chi tiết tiêu chí nghiệm thu theo tiêu chuẩn; các tài liệu khác chỉ nêu checklist riêng của chủ đề.</w:t>
      </w:r>
    </w:p>
    <w:p>
      <w:pPr>
        <w:spacing w:after="160" w:before="60"/>
        <w:jc w:val="center"/>
      </w:pPr>
      <w:r>
        <w:rPr>
          <w:i/>
          <w:iCs/>
          <w:color w:val="595959"/>
          <w:sz w:val="18"/>
          <w:szCs w:val="18"/>
        </w:rPr>
        <w:t xml:space="preserve">Bảng 0-5 Thang phân loại lỗi dữ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360"/>
        <w:gridCol w:w="2300"/>
      </w:tblGrid>
      <w:tr>
        <w:trPr>
          <w:tblHeader/>
        </w:trPr>
        <w:tc>
          <w:tcPr>
            <w:tcW w:type="dxa" w:w="17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Mức lỗi</w:t>
            </w:r>
          </w:p>
        </w:tc>
        <w:tc>
          <w:tcPr>
            <w:tcW w:type="dxa" w:w="53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Định nghĩa</w:t>
            </w:r>
          </w:p>
        </w:tc>
        <w:tc>
          <w:tcPr>
            <w:tcW w:type="dxa" w:w="23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Hành động</w:t>
            </w:r>
          </w:p>
        </w:tc>
      </w:tr>
      <w:tr>
        <w:tc>
          <w:tcPr>
            <w:tcW w:type="dxa" w:w="1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Blocker / Critical</w:t>
            </w:r>
          </w:p>
        </w:tc>
        <w:tc>
          <w:tcPr>
            <w:tcW w:type="dxa" w:w="5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Không import được hoặc sai cấu trúc dữ liệu chính (thiếu Mã tài sản, thiếu GUID, trùng mã)</w:t>
            </w:r>
          </w:p>
        </w:tc>
        <w:tc>
          <w:tcPr>
            <w:tcW w:type="dxa" w:w="2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Từ chối bàn giao; trả lại owner xử lý</w:t>
            </w:r>
          </w:p>
        </w:tc>
      </w:tr>
      <w:tr>
        <w:tc>
          <w:tcPr>
            <w:tcW w:type="dxa" w:w="1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High</w:t>
            </w:r>
          </w:p>
        </w:tc>
        <w:tc>
          <w:tcPr>
            <w:tcW w:type="dxa" w:w="5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Import được nhưng DTP không vận hành đúng (thiếu Device/Point, sai Space/System)</w:t>
            </w:r>
          </w:p>
        </w:tc>
        <w:tc>
          <w:tcPr>
            <w:tcW w:type="dxa" w:w="2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Xử lý trước go-live / trước publish</w:t>
            </w:r>
          </w:p>
        </w:tc>
      </w:tr>
      <w:tr>
        <w:tc>
          <w:tcPr>
            <w:tcW w:type="dxa" w:w="1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Medium</w:t>
            </w:r>
          </w:p>
        </w:tc>
        <w:tc>
          <w:tcPr>
            <w:tcW w:type="dxa" w:w="5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Ảnh hưởng chất lượng vận hành nhưng có thể bổ sung sau pilot</w:t>
            </w:r>
          </w:p>
        </w:tc>
        <w:tc>
          <w:tcPr>
            <w:tcW w:type="dxa" w:w="2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Import có điều kiện; tạo issue có owner &amp; deadline</w:t>
            </w:r>
          </w:p>
        </w:tc>
      </w:tr>
      <w:tr>
        <w:tc>
          <w:tcPr>
            <w:tcW w:type="dxa" w:w="1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Low</w:t>
            </w:r>
          </w:p>
        </w:tc>
        <w:tc>
          <w:tcPr>
            <w:tcW w:type="dxa" w:w="5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Lỗi trình bày, tên gọi, ghi chú; không ảnh hưởng import/vận hành chính</w:t>
            </w:r>
          </w:p>
        </w:tc>
        <w:tc>
          <w:tcPr>
            <w:tcW w:type="dxa" w:w="2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Ghi nhận, gộp xử lý đợt làm sạch dữ liệu</w:t>
            </w:r>
          </w:p>
        </w:tc>
      </w:tr>
      <w:tr>
        <w:tc>
          <w:tcPr>
            <w:tcW w:type="dxa" w:w="1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Exception</w:t>
            </w:r>
          </w:p>
        </w:tc>
        <w:tc>
          <w:tcPr>
            <w:tcW w:type="dxa" w:w="5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Trường hợp đặc biệt đã được phê duyệt</w:t>
            </w:r>
          </w:p>
        </w:tc>
        <w:tc>
          <w:tcPr>
            <w:tcW w:type="dxa" w:w="2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Ngoại lệ có kiểm soát, có lý do &amp; người duyệt</w:t>
            </w:r>
          </w:p>
        </w:tc>
      </w:tr>
    </w:tbl>
    <w:p>
      <w:pPr>
        <w:spacing w:after="60"/>
      </w:pPr>
      <w:r>
        <w:t xml:space="preserve"/>
      </w:r>
    </w:p>
    <w:p>
      <w:pPr>
        <w:pStyle w:val="Heading1"/>
      </w:pPr>
      <w:r>
        <w:t xml:space="preserve">8. Ma trận trách nhiệm (RACI)</w:t>
      </w:r>
    </w:p>
    <w:p>
      <w:pPr>
        <w:spacing w:after="120" w:line="276"/>
        <w:jc w:val="both"/>
      </w:pPr>
      <w:r>
        <w:t xml:space="preserve">Ma trận phân định vai trò trong toàn pipeline. R = thực hiện, A = chịu trách nhiệm cuối, C = tham vấn, I = được thông báo.</w:t>
      </w:r>
    </w:p>
    <w:p>
      <w:pPr>
        <w:spacing w:after="160" w:before="60"/>
        <w:jc w:val="center"/>
      </w:pPr>
      <w:r>
        <w:rPr>
          <w:i/>
          <w:iCs/>
          <w:color w:val="595959"/>
          <w:sz w:val="18"/>
          <w:szCs w:val="18"/>
        </w:rPr>
        <w:t xml:space="preserve">Bảng 0-6 Ma trận RACI theo nhóm hoạt động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100"/>
        <w:gridCol w:w="1100"/>
        <w:gridCol w:w="1100"/>
        <w:gridCol w:w="1100"/>
        <w:gridCol w:w="1100"/>
        <w:gridCol w:w="1100"/>
      </w:tblGrid>
      <w:tr>
        <w:trPr>
          <w:tblHeader/>
        </w:trPr>
        <w:tc>
          <w:tcPr>
            <w:tcW w:type="dxa" w:w="27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Hoạt động</w:t>
            </w:r>
          </w:p>
        </w:tc>
        <w:tc>
          <w:tcPr>
            <w:tcW w:type="dxa" w:w="11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CĐT/PT</w:t>
            </w:r>
          </w:p>
        </w:tc>
        <w:tc>
          <w:tcPr>
            <w:tcW w:type="dxa" w:w="11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Nhà thầu BIM</w:t>
            </w:r>
          </w:p>
        </w:tc>
        <w:tc>
          <w:tcPr>
            <w:tcW w:type="dxa" w:w="11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Nhà thầu MEP</w:t>
            </w:r>
          </w:p>
        </w:tc>
        <w:tc>
          <w:tcPr>
            <w:tcW w:type="dxa" w:w="11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Vendor BMS/DMP</w:t>
            </w:r>
          </w:p>
        </w:tc>
        <w:tc>
          <w:tcPr>
            <w:tcW w:type="dxa" w:w="11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Đội O&amp;M</w:t>
            </w:r>
          </w:p>
        </w:tc>
        <w:tc>
          <w:tcPr>
            <w:tcW w:type="dxa" w:w="11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Đội DTP</w:t>
            </w:r>
          </w:p>
        </w:tc>
      </w:tr>
      <w:tr>
        <w:tc>
          <w:tcPr>
            <w:tcW w:type="dxa" w:w="2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4"/>
                <w:szCs w:val="14"/>
              </w:rPr>
              <w:t xml:space="preserve">Ban hành yêu cầu thông tin (AIR/EIR)</w:t>
            </w:r>
          </w:p>
        </w:tc>
        <w:tc>
          <w:tcPr>
            <w:tcW w:type="dxa" w:w="1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4"/>
                <w:szCs w:val="14"/>
              </w:rPr>
              <w:t xml:space="preserve">A</w:t>
            </w:r>
          </w:p>
        </w:tc>
        <w:tc>
          <w:tcPr>
            <w:tcW w:type="dxa" w:w="1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4"/>
                <w:szCs w:val="14"/>
              </w:rPr>
              <w:t xml:space="preserve">C</w:t>
            </w:r>
          </w:p>
        </w:tc>
        <w:tc>
          <w:tcPr>
            <w:tcW w:type="dxa" w:w="1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4"/>
                <w:szCs w:val="14"/>
              </w:rPr>
              <w:t xml:space="preserve">C</w:t>
            </w:r>
          </w:p>
        </w:tc>
        <w:tc>
          <w:tcPr>
            <w:tcW w:type="dxa" w:w="1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4"/>
                <w:szCs w:val="14"/>
              </w:rPr>
              <w:t xml:space="preserve">C</w:t>
            </w:r>
          </w:p>
        </w:tc>
        <w:tc>
          <w:tcPr>
            <w:tcW w:type="dxa" w:w="1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4"/>
                <w:szCs w:val="14"/>
              </w:rPr>
              <w:t xml:space="preserve">C</w:t>
            </w:r>
          </w:p>
        </w:tc>
        <w:tc>
          <w:tcPr>
            <w:tcW w:type="dxa" w:w="1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4"/>
                <w:szCs w:val="14"/>
              </w:rPr>
              <w:t xml:space="preserve">R</w:t>
            </w:r>
          </w:p>
        </w:tc>
      </w:tr>
      <w:tr>
        <w:tc>
          <w:tcPr>
            <w:tcW w:type="dxa" w:w="2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4"/>
                <w:szCs w:val="14"/>
              </w:rPr>
              <w:t xml:space="preserve">Bàn giao IFC/BIM hoàn công</w:t>
            </w:r>
          </w:p>
        </w:tc>
        <w:tc>
          <w:tcPr>
            <w:tcW w:type="dxa" w:w="11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4"/>
                <w:szCs w:val="14"/>
              </w:rPr>
              <w:t xml:space="preserve">A</w:t>
            </w:r>
          </w:p>
        </w:tc>
        <w:tc>
          <w:tcPr>
            <w:tcW w:type="dxa" w:w="11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4"/>
                <w:szCs w:val="14"/>
              </w:rPr>
              <w:t xml:space="preserve">R</w:t>
            </w:r>
          </w:p>
        </w:tc>
        <w:tc>
          <w:tcPr>
            <w:tcW w:type="dxa" w:w="11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4"/>
                <w:szCs w:val="14"/>
              </w:rPr>
              <w:t xml:space="preserve">C</w:t>
            </w:r>
          </w:p>
        </w:tc>
        <w:tc>
          <w:tcPr>
            <w:tcW w:type="dxa" w:w="11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4"/>
                <w:szCs w:val="14"/>
              </w:rPr>
              <w:t xml:space="preserve">I</w:t>
            </w:r>
          </w:p>
        </w:tc>
        <w:tc>
          <w:tcPr>
            <w:tcW w:type="dxa" w:w="11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4"/>
                <w:szCs w:val="14"/>
              </w:rPr>
              <w:t xml:space="preserve">I</w:t>
            </w:r>
          </w:p>
        </w:tc>
        <w:tc>
          <w:tcPr>
            <w:tcW w:type="dxa" w:w="11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4"/>
                <w:szCs w:val="14"/>
              </w:rPr>
              <w:t xml:space="preserve">C</w:t>
            </w:r>
          </w:p>
        </w:tc>
      </w:tr>
      <w:tr>
        <w:tc>
          <w:tcPr>
            <w:tcW w:type="dxa" w:w="2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4"/>
                <w:szCs w:val="14"/>
              </w:rPr>
              <w:t xml:space="preserve">Cung cấp danh mục thiết bị, serial, model</w:t>
            </w:r>
          </w:p>
        </w:tc>
        <w:tc>
          <w:tcPr>
            <w:tcW w:type="dxa" w:w="1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4"/>
                <w:szCs w:val="14"/>
              </w:rPr>
              <w:t xml:space="preserve">I</w:t>
            </w:r>
          </w:p>
        </w:tc>
        <w:tc>
          <w:tcPr>
            <w:tcW w:type="dxa" w:w="1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4"/>
                <w:szCs w:val="14"/>
              </w:rPr>
              <w:t xml:space="preserve">C</w:t>
            </w:r>
          </w:p>
        </w:tc>
        <w:tc>
          <w:tcPr>
            <w:tcW w:type="dxa" w:w="1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4"/>
                <w:szCs w:val="14"/>
              </w:rPr>
              <w:t xml:space="preserve">R</w:t>
            </w:r>
          </w:p>
        </w:tc>
        <w:tc>
          <w:tcPr>
            <w:tcW w:type="dxa" w:w="1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4"/>
                <w:szCs w:val="14"/>
              </w:rPr>
              <w:t xml:space="preserve">C</w:t>
            </w:r>
          </w:p>
        </w:tc>
        <w:tc>
          <w:tcPr>
            <w:tcW w:type="dxa" w:w="1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4"/>
                <w:szCs w:val="14"/>
              </w:rPr>
              <w:t xml:space="preserve">C</w:t>
            </w:r>
          </w:p>
        </w:tc>
        <w:tc>
          <w:tcPr>
            <w:tcW w:type="dxa" w:w="1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4"/>
                <w:szCs w:val="14"/>
              </w:rPr>
              <w:t xml:space="preserve">I</w:t>
            </w:r>
          </w:p>
        </w:tc>
      </w:tr>
      <w:tr>
        <w:tc>
          <w:tcPr>
            <w:tcW w:type="dxa" w:w="2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4"/>
                <w:szCs w:val="14"/>
              </w:rPr>
              <w:t xml:space="preserve">Mapping Device/Point/telemetry</w:t>
            </w:r>
          </w:p>
        </w:tc>
        <w:tc>
          <w:tcPr>
            <w:tcW w:type="dxa" w:w="11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4"/>
                <w:szCs w:val="14"/>
              </w:rPr>
              <w:t xml:space="preserve">I</w:t>
            </w:r>
          </w:p>
        </w:tc>
        <w:tc>
          <w:tcPr>
            <w:tcW w:type="dxa" w:w="11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4"/>
                <w:szCs w:val="14"/>
              </w:rPr>
              <w:t xml:space="preserve">I</w:t>
            </w:r>
          </w:p>
        </w:tc>
        <w:tc>
          <w:tcPr>
            <w:tcW w:type="dxa" w:w="11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4"/>
                <w:szCs w:val="14"/>
              </w:rPr>
              <w:t xml:space="preserve">C</w:t>
            </w:r>
          </w:p>
        </w:tc>
        <w:tc>
          <w:tcPr>
            <w:tcW w:type="dxa" w:w="11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4"/>
                <w:szCs w:val="14"/>
              </w:rPr>
              <w:t xml:space="preserve">R</w:t>
            </w:r>
          </w:p>
        </w:tc>
        <w:tc>
          <w:tcPr>
            <w:tcW w:type="dxa" w:w="11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4"/>
                <w:szCs w:val="14"/>
              </w:rPr>
              <w:t xml:space="preserve">C</w:t>
            </w:r>
          </w:p>
        </w:tc>
        <w:tc>
          <w:tcPr>
            <w:tcW w:type="dxa" w:w="11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4"/>
                <w:szCs w:val="14"/>
              </w:rPr>
              <w:t xml:space="preserve">C</w:t>
            </w:r>
          </w:p>
        </w:tc>
      </w:tr>
      <w:tr>
        <w:tc>
          <w:tcPr>
            <w:tcW w:type="dxa" w:w="2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4"/>
                <w:szCs w:val="14"/>
              </w:rPr>
              <w:t xml:space="preserve">Xác nhận asset &amp; chiến lược bảo trì</w:t>
            </w:r>
          </w:p>
        </w:tc>
        <w:tc>
          <w:tcPr>
            <w:tcW w:type="dxa" w:w="1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4"/>
                <w:szCs w:val="14"/>
              </w:rPr>
              <w:t xml:space="preserve">C</w:t>
            </w:r>
          </w:p>
        </w:tc>
        <w:tc>
          <w:tcPr>
            <w:tcW w:type="dxa" w:w="1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4"/>
                <w:szCs w:val="14"/>
              </w:rPr>
              <w:t xml:space="preserve">I</w:t>
            </w:r>
          </w:p>
        </w:tc>
        <w:tc>
          <w:tcPr>
            <w:tcW w:type="dxa" w:w="1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4"/>
                <w:szCs w:val="14"/>
              </w:rPr>
              <w:t xml:space="preserve">C</w:t>
            </w:r>
          </w:p>
        </w:tc>
        <w:tc>
          <w:tcPr>
            <w:tcW w:type="dxa" w:w="1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4"/>
                <w:szCs w:val="14"/>
              </w:rPr>
              <w:t xml:space="preserve">I</w:t>
            </w:r>
          </w:p>
        </w:tc>
        <w:tc>
          <w:tcPr>
            <w:tcW w:type="dxa" w:w="1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4"/>
                <w:szCs w:val="14"/>
              </w:rPr>
              <w:t xml:space="preserve">R</w:t>
            </w:r>
          </w:p>
        </w:tc>
        <w:tc>
          <w:tcPr>
            <w:tcW w:type="dxa" w:w="1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4"/>
                <w:szCs w:val="14"/>
              </w:rPr>
              <w:t xml:space="preserve">C</w:t>
            </w:r>
          </w:p>
        </w:tc>
      </w:tr>
      <w:tr>
        <w:tc>
          <w:tcPr>
            <w:tcW w:type="dxa" w:w="2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4"/>
                <w:szCs w:val="14"/>
              </w:rPr>
              <w:t xml:space="preserve">Parse IFC, mapping, sinh COBieLite/JSON</w:t>
            </w:r>
          </w:p>
        </w:tc>
        <w:tc>
          <w:tcPr>
            <w:tcW w:type="dxa" w:w="11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4"/>
                <w:szCs w:val="14"/>
              </w:rPr>
              <w:t xml:space="preserve">I</w:t>
            </w:r>
          </w:p>
        </w:tc>
        <w:tc>
          <w:tcPr>
            <w:tcW w:type="dxa" w:w="11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4"/>
                <w:szCs w:val="14"/>
              </w:rPr>
              <w:t xml:space="preserve">C</w:t>
            </w:r>
          </w:p>
        </w:tc>
        <w:tc>
          <w:tcPr>
            <w:tcW w:type="dxa" w:w="11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4"/>
                <w:szCs w:val="14"/>
              </w:rPr>
              <w:t xml:space="preserve">I</w:t>
            </w:r>
          </w:p>
        </w:tc>
        <w:tc>
          <w:tcPr>
            <w:tcW w:type="dxa" w:w="11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4"/>
                <w:szCs w:val="14"/>
              </w:rPr>
              <w:t xml:space="preserve">C</w:t>
            </w:r>
          </w:p>
        </w:tc>
        <w:tc>
          <w:tcPr>
            <w:tcW w:type="dxa" w:w="11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4"/>
                <w:szCs w:val="14"/>
              </w:rPr>
              <w:t xml:space="preserve">I</w:t>
            </w:r>
          </w:p>
        </w:tc>
        <w:tc>
          <w:tcPr>
            <w:tcW w:type="dxa" w:w="11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4"/>
                <w:szCs w:val="14"/>
              </w:rPr>
              <w:t xml:space="preserve">R</w:t>
            </w:r>
          </w:p>
        </w:tc>
      </w:tr>
      <w:tr>
        <w:tc>
          <w:tcPr>
            <w:tcW w:type="dxa" w:w="2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4"/>
                <w:szCs w:val="14"/>
              </w:rPr>
              <w:t xml:space="preserve">QA &amp; nghiệm thu trên DTP</w:t>
            </w:r>
          </w:p>
        </w:tc>
        <w:tc>
          <w:tcPr>
            <w:tcW w:type="dxa" w:w="1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4"/>
                <w:szCs w:val="14"/>
              </w:rPr>
              <w:t xml:space="preserve">A</w:t>
            </w:r>
          </w:p>
        </w:tc>
        <w:tc>
          <w:tcPr>
            <w:tcW w:type="dxa" w:w="1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4"/>
                <w:szCs w:val="14"/>
              </w:rPr>
              <w:t xml:space="preserve">C</w:t>
            </w:r>
          </w:p>
        </w:tc>
        <w:tc>
          <w:tcPr>
            <w:tcW w:type="dxa" w:w="1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4"/>
                <w:szCs w:val="14"/>
              </w:rPr>
              <w:t xml:space="preserve">C</w:t>
            </w:r>
          </w:p>
        </w:tc>
        <w:tc>
          <w:tcPr>
            <w:tcW w:type="dxa" w:w="1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4"/>
                <w:szCs w:val="14"/>
              </w:rPr>
              <w:t xml:space="preserve">C</w:t>
            </w:r>
          </w:p>
        </w:tc>
        <w:tc>
          <w:tcPr>
            <w:tcW w:type="dxa" w:w="1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4"/>
                <w:szCs w:val="14"/>
              </w:rPr>
              <w:t xml:space="preserve">C</w:t>
            </w:r>
          </w:p>
        </w:tc>
        <w:tc>
          <w:tcPr>
            <w:tcW w:type="dxa" w:w="1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4"/>
                <w:szCs w:val="14"/>
              </w:rPr>
              <w:t xml:space="preserve">R</w:t>
            </w:r>
          </w:p>
        </w:tc>
      </w:tr>
    </w:tbl>
    <w:p>
      <w:r>
        <w:br w:type="page"/>
      </w:r>
    </w:p>
    <w:p>
      <w:pPr>
        <w:pStyle w:val="Heading1"/>
      </w:pPr>
      <w:r>
        <w:t xml:space="preserve">Phụ lục 0-A. Data Dictionary &amp; cấu trúc dữ liệu mẫu</w:t>
      </w:r>
    </w:p>
    <w:p>
      <w:pPr>
        <w:spacing w:after="120" w:line="276"/>
        <w:jc w:val="both"/>
      </w:pPr>
      <w:r>
        <w:t xml:space="preserve">Phụ lục này tổng hợp cấu trúc nguồn dữ liệu mẫu dùng trong pipeline (Excel Master và COBie linked). Đây là tham chiếu chung cho HD-02 (COBie) và HD-04 (Metadata). Số dòng mang tính minh hoạ quy mô và để kiểm tra luồng dữ liệu.</w:t>
      </w:r>
    </w:p>
    <w:p>
      <w:pPr>
        <w:pStyle w:val="Heading2"/>
      </w:pPr>
      <w:r>
        <w:t xml:space="preserve">A.1 Cấu trúc Excel Master (nguồn nhập liệu chính)</w:t>
      </w:r>
    </w:p>
    <w:p>
      <w:pPr>
        <w:spacing w:after="160" w:before="60"/>
        <w:jc w:val="center"/>
      </w:pPr>
      <w:r>
        <w:rPr>
          <w:i/>
          <w:iCs/>
          <w:color w:val="595959"/>
          <w:sz w:val="18"/>
          <w:szCs w:val="18"/>
        </w:rPr>
        <w:t xml:space="preserve">Bảng 0-A1 Các sheet của Excel 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Sheet</w:t>
            </w:r>
          </w:p>
        </w:tc>
        <w:tc>
          <w:tcPr>
            <w:tcW w:type="dxa" w:w="64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Vai trò</w:t>
            </w:r>
          </w:p>
        </w:tc>
      </w:tr>
      <w:tr>
        <w:tc>
          <w:tcPr>
            <w:tcW w:type="dxa" w:w="2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00_README</w:t>
            </w:r>
          </w:p>
        </w:tc>
        <w:tc>
          <w:tcPr>
            <w:tcW w:type="dxa" w:w="64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Hướng dẫn &amp; metadata file.</w:t>
            </w:r>
          </w:p>
        </w:tc>
      </w:tr>
      <w:tr>
        <w:tc>
          <w:tcPr>
            <w:tcW w:type="dxa" w:w="2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01_Project_Facility</w:t>
            </w:r>
          </w:p>
        </w:tc>
        <w:tc>
          <w:tcPr>
            <w:tcW w:type="dxa" w:w="64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Thông tin dự án/công trình, schema, ngôn ngữ, mục đích.</w:t>
            </w:r>
          </w:p>
        </w:tc>
      </w:tr>
      <w:tr>
        <w:tc>
          <w:tcPr>
            <w:tcW w:type="dxa" w:w="2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02_SourceModels</w:t>
            </w:r>
          </w:p>
        </w:tc>
        <w:tc>
          <w:tcPr>
            <w:tcW w:type="dxa" w:w="64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Danh mục mô hình nguồn: discipline, file, phiên bản IFC/COBie.</w:t>
            </w:r>
          </w:p>
        </w:tc>
      </w:tr>
      <w:tr>
        <w:tc>
          <w:tcPr>
            <w:tcW w:type="dxa" w:w="2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03_Floors / 04_Spaces / 05_Zones</w:t>
            </w:r>
          </w:p>
        </w:tc>
        <w:tc>
          <w:tcPr>
            <w:tcW w:type="dxa" w:w="64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Không gian: tầng, phòng, vùng vận hành (gắn IfcGuid).</w:t>
            </w:r>
          </w:p>
        </w:tc>
      </w:tr>
      <w:tr>
        <w:tc>
          <w:tcPr>
            <w:tcW w:type="dxa" w:w="2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06_IFC_Objects</w:t>
            </w:r>
          </w:p>
        </w:tc>
        <w:tc>
          <w:tcPr>
            <w:tcW w:type="dxa" w:w="64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Danh sách object IFC quan trọng: guid, entity, name, type, vị trí, nguồn.</w:t>
            </w:r>
          </w:p>
        </w:tc>
      </w:tr>
      <w:tr>
        <w:tc>
          <w:tcPr>
            <w:tcW w:type="dxa" w:w="2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07_IFC_Metadata_EAV</w:t>
            </w:r>
          </w:p>
        </w:tc>
        <w:tc>
          <w:tcPr>
            <w:tcW w:type="dxa" w:w="64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Metadata linh hoạt key–value, có loi_required &amp; mapped_to_json_path.</w:t>
            </w:r>
          </w:p>
        </w:tc>
      </w:tr>
      <w:tr>
        <w:tc>
          <w:tcPr>
            <w:tcW w:type="dxa" w:w="2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08_Asset_IFC_Mapping</w:t>
            </w:r>
          </w:p>
        </w:tc>
        <w:tc>
          <w:tcPr>
            <w:tcW w:type="dxa" w:w="64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Mapping asset vận hành ↔ object IFC: confidence, status, verified_by.</w:t>
            </w:r>
          </w:p>
        </w:tc>
      </w:tr>
      <w:tr>
        <w:tc>
          <w:tcPr>
            <w:tcW w:type="dxa" w:w="2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09_Assets</w:t>
            </w:r>
          </w:p>
        </w:tc>
        <w:tc>
          <w:tcPr>
            <w:tcW w:type="dxa" w:w="64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Asset Registry: hệ, loại, phân loại, vị trí, criticality, manufacturer/model.</w:t>
            </w:r>
          </w:p>
        </w:tc>
      </w:tr>
      <w:tr>
        <w:tc>
          <w:tcPr>
            <w:tcW w:type="dxa" w:w="2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10_Devices / 11_Points / 12_Gateways</w:t>
            </w:r>
          </w:p>
        </w:tc>
        <w:tc>
          <w:tcPr>
            <w:tcW w:type="dxa" w:w="64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Device, điểm dữ liệu, gateway cho telemetry.</w:t>
            </w:r>
          </w:p>
        </w:tc>
      </w:tr>
      <w:tr>
        <w:tc>
          <w:tcPr>
            <w:tcW w:type="dxa" w:w="2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13_BMS_Mapping</w:t>
            </w:r>
          </w:p>
        </w:tc>
        <w:tc>
          <w:tcPr>
            <w:tcW w:type="dxa" w:w="64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Mapping asset–device–point–source address cho BMS/IoT.</w:t>
            </w:r>
          </w:p>
        </w:tc>
      </w:tr>
      <w:tr>
        <w:tc>
          <w:tcPr>
            <w:tcW w:type="dxa" w:w="2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14_CMMS_O&amp;M</w:t>
            </w:r>
          </w:p>
        </w:tc>
        <w:tc>
          <w:tcPr>
            <w:tcW w:type="dxa" w:w="64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Vận hành, bảo trì, criticality, job plan, spare.</w:t>
            </w:r>
          </w:p>
        </w:tc>
      </w:tr>
      <w:tr>
        <w:tc>
          <w:tcPr>
            <w:tcW w:type="dxa" w:w="2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15_Documents</w:t>
            </w:r>
          </w:p>
        </w:tc>
        <w:tc>
          <w:tcPr>
            <w:tcW w:type="dxa" w:w="64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Tài liệu O&amp;M, bản vẽ, manual, warranty, test report.</w:t>
            </w:r>
          </w:p>
        </w:tc>
      </w:tr>
      <w:tr>
        <w:tc>
          <w:tcPr>
            <w:tcW w:type="dxa" w:w="2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16_FieldDictionary / 17_NamingRules</w:t>
            </w:r>
          </w:p>
        </w:tc>
        <w:tc>
          <w:tcPr>
            <w:tcW w:type="dxa" w:w="64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Từ điển trường &amp; quy tắc đặt tên.</w:t>
            </w:r>
          </w:p>
        </w:tc>
      </w:tr>
      <w:tr>
        <w:tc>
          <w:tcPr>
            <w:tcW w:type="dxa" w:w="2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18_Standards_Assessment / 19_Checklist</w:t>
            </w:r>
          </w:p>
        </w:tc>
        <w:tc>
          <w:tcPr>
            <w:tcW w:type="dxa" w:w="64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Đối chiếu tiêu chuẩn &amp; checklist nghiệm thu.</w:t>
            </w:r>
          </w:p>
        </w:tc>
      </w:tr>
    </w:tbl>
    <w:p>
      <w:pPr>
        <w:spacing w:after="60"/>
      </w:pPr>
      <w:r>
        <w:t xml:space="preserve"/>
      </w:r>
    </w:p>
    <w:p>
      <w:pPr>
        <w:pStyle w:val="Heading2"/>
      </w:pPr>
      <w:r>
        <w:t xml:space="preserve">A.2 COBie &amp; COBie extension (lớp bàn giao)</w:t>
      </w:r>
    </w:p>
    <w:p>
      <w:pPr>
        <w:spacing w:after="160" w:before="60"/>
        <w:jc w:val="center"/>
      </w:pPr>
      <w:r>
        <w:rPr>
          <w:i/>
          <w:iCs/>
          <w:color w:val="595959"/>
          <w:sz w:val="18"/>
          <w:szCs w:val="18"/>
        </w:rPr>
        <w:t xml:space="preserve">Bảng 0-A2 Sheet COBie chuẩn &amp; extension DTP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Nhóm</w:t>
            </w:r>
          </w:p>
        </w:tc>
        <w:tc>
          <w:tcPr>
            <w:tcW w:type="dxa" w:w="71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Sheet</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COBie chuẩn</w:t>
            </w:r>
          </w:p>
        </w:tc>
        <w:tc>
          <w:tcPr>
            <w:tcW w:type="dxa" w:w="71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Contact, Facility, Floor, Space, Zone, Type, Component, System, Attribute, Coordinate, Connection, Document, Job, Spare, Resource, Issue.</w:t>
            </w:r>
          </w:p>
        </w:tc>
      </w:tr>
      <w:tr>
        <w:tc>
          <w:tcPr>
            <w:tcW w:type="dxa" w:w="2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Extension DTP</w:t>
            </w:r>
          </w:p>
        </w:tc>
        <w:tc>
          <w:tcPr>
            <w:tcW w:type="dxa" w:w="71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Ext_IFC_Object, Ext_IFC_Metadata, Ext_Asset_IFC_Mapping, Ext_Device, Ext_Point, Ext_Gateway, Assessment, NamingRules.</w:t>
            </w:r>
          </w:p>
        </w:tc>
      </w:tr>
    </w:tbl>
    <w:p>
      <w:pPr>
        <w:spacing w:after="60"/>
      </w:pPr>
      <w:r>
        <w:t xml:space="preserve"/>
      </w:r>
    </w:p>
    <w:p>
      <w:pPr>
        <w:spacing w:after="120" w:line="276"/>
        <w:jc w:val="both"/>
      </w:pPr>
      <w:r>
        <w:rPr>
          <w:i/>
          <w:iCs/>
        </w:rPr>
        <w:t xml:space="preserve">Nguyên tắc liên kết: sheet COBie phải có khoá nguồn (DT_Source_Sheet / DT_Source_Key) để truy vết về Excel Master; không chỉnh sửa trực tiếp COBie export nếu dữ liệu nguồn đã có trong Master. Chi tiết quy định COBie tại HD-02; chi tiết metadata EAV tại HD-04.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3"/>
      </w:pBdr>
      <w:tabs>
        <w:tab w:val="center" w:pos="4680"/>
        <w:tab w:val="right" w:pos="9360"/>
      </w:tabs>
    </w:pPr>
    <w:r>
      <w:rPr>
        <w:color w:val="808080"/>
        <w:sz w:val="16"/>
        <w:szCs w:val="16"/>
      </w:rPr>
      <w:t xml:space="preserve">© 2026 Chủ đầu tư (CĐT)</w:t>
    </w:r>
    <w:r>
      <w:rPr>
        <w:color w:val="808080"/>
        <w:sz w:val="16"/>
        <w:szCs w:val="16"/>
      </w:rPr>
      <w:t xml:space="preserve">	Trang </w:t>
    </w:r>
    <w:r>
      <w:rPr>
        <w:color w:val="808080"/>
        <w:sz w:val="16"/>
        <w:szCs w:val="16"/>
      </w:rPr>
      <w:fldChar w:fldCharType="begin"/>
      <w:instrText xml:space="preserve">PAGE</w:instrText>
      <w:fldChar w:fldCharType="separate"/>
      <w:fldChar w:fldCharType="end"/>
    </w:r>
    <w:r>
      <w:rPr>
        <w:color w:val="808080"/>
        <w:sz w:val="16"/>
        <w:szCs w:val="16"/>
      </w:rPr>
      <w:t xml:space="preserve">	Tài liệu nội bộ</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3"/>
      </w:pBdr>
      <w:tabs>
        <w:tab w:val="right" w:pos="9360"/>
      </w:tabs>
    </w:pPr>
    <w:r>
      <w:rPr>
        <w:color w:val="808080"/>
        <w:sz w:val="16"/>
        <w:szCs w:val="16"/>
      </w:rPr>
      <w:t xml:space="preserve">HD-00 — Tổng quan &amp; Quy ước chung</w:t>
    </w:r>
    <w:r>
      <w:rPr>
        <w:color w:val="808080"/>
        <w:sz w:val="16"/>
        <w:szCs w:val="16"/>
      </w:rPr>
      <w:t xml:space="preserve">	Bộ hướng dẫn BIM Pipeline → Digital Twin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4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1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70" w:before="14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HD-00 — Tổng quan &amp; Quy ước chung</dc:title>
  <dc:creator>Chủ đầu tư (CĐT)</dc:creator>
  <cp:lastModifiedBy>Un-named</cp:lastModifiedBy>
  <cp:revision>1</cp:revision>
  <dcterms:created xsi:type="dcterms:W3CDTF">2026-06-10T05:33:58.216Z</dcterms:created>
  <dcterms:modified xsi:type="dcterms:W3CDTF">2026-06-10T05:33:58.216Z</dcterms:modified>
</cp:coreProperties>
</file>

<file path=docProps/custom.xml><?xml version="1.0" encoding="utf-8"?>
<Properties xmlns="http://schemas.openxmlformats.org/officeDocument/2006/custom-properties" xmlns:vt="http://schemas.openxmlformats.org/officeDocument/2006/docPropsVTypes"/>
</file>