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2E75B6"/>
          <w:sz w:val="26"/>
          <w:szCs w:val="26"/>
        </w:rPr>
        <w:t xml:space="preserve">BỘ HƯỚNG DẪN CHUYỂN ĐỔI BIM PIPELINE SANG DIGITAL TWIN</w:t>
      </w:r>
    </w:p>
    <w:p>
      <w:pPr>
        <w:spacing w:after="0" w:before="60"/>
        <w:jc w:val="center"/>
      </w:pPr>
      <w:r>
        <w:rPr>
          <w:i/>
          <w:iCs/>
          <w:color w:val="595959"/>
          <w:sz w:val="20"/>
          <w:szCs w:val="20"/>
        </w:rPr>
        <w:t xml:space="preserve">(Bộ tài liệu phụ trợ Quy định BIM–AM / Digital Twin của Chủ đầu tư)</w:t>
      </w:r>
    </w:p>
    <w:p>
      <w:pPr>
        <w:spacing w:after="0" w:before="560"/>
        <w:jc w:val="center"/>
      </w:pPr>
      <w:r>
        <w:rPr>
          <w:b/>
          <w:bCs/>
          <w:color w:val="404040"/>
          <w:sz w:val="34"/>
          <w:szCs w:val="34"/>
        </w:rPr>
        <w:t xml:space="preserve">HD-01</w:t>
      </w:r>
    </w:p>
    <w:p>
      <w:pPr>
        <w:spacing w:after="0" w:before="140"/>
        <w:jc w:val="center"/>
      </w:pPr>
      <w:r>
        <w:rPr>
          <w:b/>
          <w:bCs/>
          <w:color w:val="1F3864"/>
          <w:sz w:val="42"/>
          <w:szCs w:val="42"/>
        </w:rPr>
        <w:t xml:space="preserve">FILE IFC</w:t>
      </w:r>
    </w:p>
    <w:p>
      <w:pPr>
        <w:spacing w:before="140"/>
        <w:jc w:val="center"/>
      </w:pPr>
      <w:r>
        <w:rPr>
          <w:color w:val="404040"/>
          <w:sz w:val="24"/>
          <w:szCs w:val="24"/>
        </w:rPr>
        <w:t xml:space="preserve">Tiếp nhận, kiểm tra, phân loại &amp; chuyển đổi IFC sang Digital Twin</w:t>
      </w:r>
    </w:p>
    <w:p>
      <w:pPr>
        <w:pBdr>
          <w:top w:val="single" w:color="2E75B6" w:sz="8" w:space="8"/>
        </w:pBdr>
        <w:spacing w:before="1400"/>
        <w:jc w:val="center"/>
      </w:pPr>
      <w:r>
        <w:rPr>
          <w:b/>
          <w:bCs/>
          <w:color w:val="1F3864"/>
          <w:sz w:val="22"/>
          <w:szCs w:val="22"/>
        </w:rPr>
        <w:t xml:space="preserve">Mã tài liệu DT-HD-01  •  Phiên bản 1.0  •  2026</w:t>
      </w:r>
    </w:p>
    <w:p>
      <w:r>
        <w:br w:type="page"/>
      </w:r>
    </w:p>
    <w:p>
      <w:pPr>
        <w:pStyle w:val="Heading1"/>
      </w:pPr>
      <w:r>
        <w:t xml:space="preserve">Kiểm soát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Thông tin</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DT-HD-01</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Tên tài liệu</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Hướng dẫn về File IFC trong BIM Pipeline phục vụ Digital Twin</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Phiên bản</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Ngày phát hành</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Tháng 6 năm 2026</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Trạng thái</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phát hành nội bộ</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Đơn vị áp dụng</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Chủ đầu tư (CĐT) — Digital Twin Platform</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Quan hệ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Phụ trợ Quy định BIM–AM / Digital Twin (tài liệu chính) và các Phụ lục A–I; dùng chung quy ước tại HD-00.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60"/>
        <w:gridCol w:w="24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Phiên bản</w:t>
            </w:r>
          </w:p>
        </w:tc>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Ngày</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thay đổi</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 thực hiện</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06/2026</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Phát hành lần đầu (đã rà soát, loại trùng lặp, chuẩn hoá toàn bộ).</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CĐT — Digital Twin Platform</w:t>
            </w:r>
          </w:p>
        </w:tc>
      </w:tr>
    </w:tbl>
    <w:p>
      <w:pPr>
        <w:spacing w:after="60"/>
      </w:pPr>
      <w:r>
        <w:t xml:space="preserve"/>
      </w:r>
    </w:p>
    <w:p>
      <w:pPr>
        <w:spacing w:after="200"/>
      </w:pPr>
      <w:r>
        <w:rPr>
          <w:b/>
          <w:bCs/>
          <w:color w:val="1F386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Cấu trúc bộ hướng dẫn</w:t>
      </w:r>
    </w:p>
    <w:p>
      <w:pPr>
        <w:spacing w:after="120" w:line="276"/>
        <w:jc w:val="both"/>
      </w:pPr>
      <w:r>
        <w:t xml:space="preserve">Bộ hướng dẫn gồm sáu tài liệu. Tài liệu HD-00 chứa các quy ước dùng chung (thuật ngữ, sơ đồ pipeline, chuỗi yêu cầu thông tin, mapping ID trung tâm, phân loại lỗi &amp; nghiệm thu, RACI, data dictionary). Các tài liệu HD-01 đến HD-05 tham chiếu HD-00 và không lặp lại các nội dung dùng chung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260"/>
        <w:gridCol w:w="180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6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HD-00</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Tổng quan &amp; Quy ước chung</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HD-01</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File IFC</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(tài liệu này)</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HD-02</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COBie</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HD-03</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Tích hợp BMS·VMS·IOC·CMMS</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HD-04</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Metadata &amp; Mapping thông tin</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HD-05</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Tiêu chuẩn đối chiếu</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bl>
    <w:p>
      <w:pPr>
        <w:spacing w:after="60"/>
      </w:pPr>
      <w:r>
        <w:t xml:space="preserve"/>
      </w:r>
    </w:p>
    <w:p>
      <w:pPr>
        <w:pStyle w:val="Heading1"/>
      </w:pPr>
      <w:r>
        <w:t xml:space="preserve">1. Mục đích &amp; phạm vi</w:t>
      </w:r>
    </w:p>
    <w:p>
      <w:pPr>
        <w:spacing w:after="120" w:line="276"/>
        <w:jc w:val="both"/>
      </w:pPr>
      <w:r>
        <w:t xml:space="preserve">Tài liệu quy định cách tiếp nhận, kiểm tra, chuẩn hoá, phân loại, trích xuất metadata và chuyển đổi file IFC từ mô hình BIM hoàn công sang dữ liệu vận hành cho Digital Twin của CĐT. Trong pipeline, IFC là nguồn dữ liệu trung gian (không chỉ mô hình 3D): trích xuất định danh, vị trí, phân loại, hệ thống, metadata và tạo cơ sở mapping về Mã tài sản (DT).</w:t>
      </w:r>
    </w:p>
    <w:p>
      <w:pPr>
        <w:spacing w:after="120" w:line="276"/>
        <w:jc w:val="both"/>
      </w:pPr>
      <w:r>
        <w:t xml:space="preserve">Các quy ước dùng chung (thuật ngữ, sơ đồ pipeline, mapping ID, phân loại lỗi, RACI) xem HD-00. Tài liệu này chỉ tập trung phần riêng của IFC. Yêu cầu nền tảng: định dạng mở IFC4 (Mục 2.1 tài liệu chính); hệ mã tài sản 7 trường (Mục 5.1); tham số DT.* (Phụ lục B/D).</w:t>
      </w:r>
    </w:p>
    <w:p>
      <w:pPr>
        <w:pStyle w:val="Heading1"/>
      </w:pPr>
      <w:r>
        <w:t xml:space="preserve">2. Vai trò của file IFC trong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5740"/>
      </w:tblGrid>
      <w:tr>
        <w:trPr>
          <w:tblHeader/>
        </w:trPr>
        <w:tc>
          <w:tcPr>
            <w:tcW w:type="dxa" w:w="6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Vai trò</w:t>
            </w:r>
          </w:p>
        </w:tc>
        <w:tc>
          <w:tcPr>
            <w:tcW w:type="dxa" w:w="57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Mô tả</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Nguồn mô hình BIM mở</w:t>
            </w:r>
          </w:p>
        </w:tc>
        <w:tc>
          <w:tcPr>
            <w:tcW w:type="dxa" w:w="5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Định dạng trung lập, hạn chế phụ thuộc phần mềm gốc.</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2</w:t>
            </w:r>
          </w:p>
        </w:tc>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Nguồn hình học 3D</w:t>
            </w:r>
          </w:p>
        </w:tc>
        <w:tc>
          <w:tcPr>
            <w:tcW w:type="dxa" w:w="5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Geometry kiến trúc, kết cấu, MEP, không gian, thiết bị.</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3</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Nguồn metadata</w:t>
            </w:r>
          </w:p>
        </w:tc>
        <w:tc>
          <w:tcPr>
            <w:tcW w:type="dxa" w:w="5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Thuộc tính đối tượng phục vụ tìm kiếm, lọc, quản lý, vận hành.</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4</w:t>
            </w:r>
          </w:p>
        </w:tc>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Nguồn cấu trúc không gian</w:t>
            </w:r>
          </w:p>
        </w:tc>
        <w:tc>
          <w:tcPr>
            <w:tcW w:type="dxa" w:w="5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Quan hệ Project · Site · Building · Storey · Space.</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5</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Nguồn phân loại</w:t>
            </w:r>
          </w:p>
        </w:tc>
        <w:tc>
          <w:tcPr>
            <w:tcW w:type="dxa" w:w="5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Cơ sở phân loại đối tượng, hệ thống, bộ môn, nhóm tài sản.</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6</w:t>
            </w:r>
          </w:p>
        </w:tc>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Nguồn mapping vận hành</w:t>
            </w:r>
          </w:p>
        </w:tc>
        <w:tc>
          <w:tcPr>
            <w:tcW w:type="dxa" w:w="5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Liên kết IFC Object với Mã tài sản (DT), Device ID, BMS Point ID, CMMS ID.</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7</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Nguồn dữ liệu Digital Twin</w:t>
            </w:r>
          </w:p>
        </w:tc>
        <w:tc>
          <w:tcPr>
            <w:tcW w:type="dxa" w:w="5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Nền cho viewer 3D, dữ liệu tài sản, không gian, liên kết realtime.</w:t>
            </w:r>
          </w:p>
        </w:tc>
      </w:tr>
    </w:tbl>
    <w:p>
      <w:pPr>
        <w:spacing w:after="60"/>
      </w:pPr>
      <w:r>
        <w:t xml:space="preserve"/>
      </w:r>
    </w:p>
    <w:p>
      <w:pPr>
        <w:pStyle w:val="Heading2"/>
      </w:pPr>
      <w:r>
        <w:t xml:space="preserve">2.1 Cấu trúc không gian tối thiểu</w:t>
      </w:r>
    </w:p>
    <w:p>
      <w:pPr>
        <w:spacing w:after="120" w:line="276"/>
        <w:jc w:val="both"/>
      </w:pPr>
      <w:r>
        <w:t xml:space="preserve">File IFC phục vụ Digital Twin phải có cây không gian rõ ràng, tối thiểu theo trình tự:</w:t>
      </w:r>
    </w:p>
    <w:p>
      <w:pPr>
        <w:spacing w:after="120" w:line="276"/>
        <w:jc w:val="center"/>
      </w:pPr>
      <w:r>
        <w:rPr>
          <w:b/>
          <w:bCs/>
        </w:rPr>
        <w:t xml:space="preserve">IfcProject → IfcSite → IfcBuilding → IfcBuildingStorey → IfcSpace → IfcElement/Thiết bị/Tài sản</w:t>
      </w:r>
    </w:p>
    <w:p>
      <w:pPr>
        <w:spacing w:after="120" w:line="276"/>
        <w:jc w:val="both"/>
      </w:pPr>
      <w:r>
        <w:t xml:space="preserve">Cấu trúc này giúp xác định thiết bị thuộc dự án, khu, toà, tầng, phòng, hệ thống nào — điều kiện để tìm kiếm, lọc, zoom đến vị trí cảnh báo, quản lý bảo trì và overlay realtime đúng đối tượng. Cây không gian phải nhất quán với mã khu vực/toà nhà/khối/tầng của hệ mã tài sản 7 trường.</w:t>
      </w:r>
    </w:p>
    <w:p>
      <w:pPr>
        <w:spacing w:after="160" w:before="60"/>
        <w:jc w:val="center"/>
      </w:pPr>
      <w:r>
        <w:rPr>
          <w:i/>
          <w:iCs/>
          <w:color w:val="595959"/>
          <w:sz w:val="18"/>
          <w:szCs w:val="18"/>
        </w:rPr>
        <w:t xml:space="preserve">Bảng 1-1 Ánh xạ entity không gian/hệ thống IFC → đối tượng Digital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IFC Entity</w:t>
            </w:r>
          </w:p>
        </w:tc>
        <w:tc>
          <w:tcPr>
            <w:tcW w:type="dxa" w:w="2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Đối tượng Digital Twin</w:t>
            </w:r>
          </w:p>
        </w:tc>
        <w:tc>
          <w:tcPr>
            <w:tcW w:type="dxa" w:w="2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IFC Entity</w:t>
            </w:r>
          </w:p>
        </w:tc>
        <w:tc>
          <w:tcPr>
            <w:tcW w:type="dxa" w:w="2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Đối tượng Digital Twin</w:t>
            </w:r>
          </w:p>
        </w:tc>
      </w:tr>
      <w:tr>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IfcProject</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Project</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IfcSystem / IfcDistributionSystem</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Technical System</w:t>
            </w:r>
          </w:p>
        </w:tc>
      </w:tr>
      <w:tr>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IfcSite</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Site</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IfcDistributionElement</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Asset/Equipment</w:t>
            </w:r>
          </w:p>
        </w:tc>
      </w:tr>
      <w:tr>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IfcBuilding</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Building</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IfcFlowTerminal</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Terminal Asset</w:t>
            </w:r>
          </w:p>
        </w:tc>
      </w:tr>
      <w:tr>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IfcBuildingStorey</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Floor</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IfcFlowController</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Valve/Controller/Panel</w:t>
            </w:r>
          </w:p>
        </w:tc>
      </w:tr>
      <w:tr>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IfcSpace</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Space/Room</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IfcSensor / IfcAlarm</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Device / Alarm Device</w:t>
            </w:r>
          </w:p>
        </w:tc>
      </w:tr>
      <w:tr>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IfcZone</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Zone</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IfcPropertySet</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Metadata</w:t>
            </w:r>
          </w:p>
        </w:tc>
      </w:tr>
    </w:tbl>
    <w:p>
      <w:pPr>
        <w:spacing w:after="60"/>
      </w:pPr>
      <w:r>
        <w:t xml:space="preserve"/>
      </w:r>
    </w:p>
    <w:p>
      <w:pPr>
        <w:pStyle w:val="Heading1"/>
      </w:pPr>
      <w:r>
        <w:t xml:space="preserve">3. Yêu cầu phiên bản IFC</w:t>
      </w:r>
    </w:p>
    <w:p>
      <w:pPr>
        <w:spacing w:after="160" w:before="60"/>
        <w:jc w:val="center"/>
      </w:pPr>
      <w:r>
        <w:rPr>
          <w:i/>
          <w:iCs/>
          <w:color w:val="595959"/>
          <w:sz w:val="18"/>
          <w:szCs w:val="18"/>
        </w:rPr>
        <w:t xml:space="preserve">Bảng 1-2 Phiên bản IFC được chấp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Phiên bản</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Mức áp dụng</w:t>
            </w:r>
          </w:p>
        </w:tc>
        <w:tc>
          <w:tcPr>
            <w:tcW w:type="dxa" w:w="5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Ghi chú</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IFC2x3</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Chấp nhận</w:t>
            </w:r>
          </w:p>
        </w:tc>
        <w:tc>
          <w:tcPr>
            <w:tcW w:type="dxa" w:w="5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Phổ biến trong dự án hiện hữu; hạn chế hơn IFC4 về cấu trúc dữ liệu hiện đại.</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IFC4</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Khuyến nghị (mặc định CĐT)</w:t>
            </w:r>
          </w:p>
        </w:tc>
        <w:tc>
          <w:tcPr>
            <w:tcW w:type="dxa" w:w="5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Phù hợp toà nhà, MEP, bàn giao BIM hiện đại — đồng bộ Mục 2.1 tài liệu chính.</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IFC4.3 / IFC4x3</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Khuyến nghị cho hạ tầng</w:t>
            </w:r>
          </w:p>
        </w:tc>
        <w:tc>
          <w:tcPr>
            <w:tcW w:type="dxa" w:w="5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Công trình hạ tầng, cầu, đường, tuyến, đô thị, giao thông.</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Phiên bản khác</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Xem xét riêng</w:t>
            </w:r>
          </w:p>
        </w:tc>
        <w:tc>
          <w:tcPr>
            <w:tcW w:type="dxa" w:w="5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Chỉ tiếp nhận khi có đánh giá kỹ thuật &amp; xác nhận khả năng xử lý của nền tảng.</w:t>
            </w:r>
          </w:p>
        </w:tc>
      </w:tr>
    </w:tbl>
    <w:p>
      <w:pPr>
        <w:spacing w:after="60"/>
      </w:pPr>
      <w:r>
        <w:t xml:space="preserve"/>
      </w:r>
    </w:p>
    <w:p>
      <w:pPr>
        <w:pStyle w:val="Heading2"/>
      </w:pPr>
      <w:r>
        <w:t xml:space="preserve">3.1 Thông tin bắt buộc khi bàn giao file IFC</w:t>
      </w:r>
    </w:p>
    <w:p>
      <w:pPr>
        <w:pStyle w:val="ListParagraph"/>
        <w:numPr>
          <w:ilvl w:val="0"/>
          <w:numId w:val="2"/>
        </w:numPr>
        <w:spacing w:after="80" w:line="264"/>
        <w:jc w:val="both"/>
      </w:pPr>
      <w:r>
        <w:t xml:space="preserve">Phiên bản IFC (IFC2x3 / IFC4 / IFC4.3) — bắt buộc;</w:t>
      </w:r>
    </w:p>
    <w:p>
      <w:pPr>
        <w:pStyle w:val="ListParagraph"/>
        <w:numPr>
          <w:ilvl w:val="0"/>
          <w:numId w:val="2"/>
        </w:numPr>
        <w:spacing w:after="80" w:line="264"/>
        <w:jc w:val="both"/>
      </w:pPr>
      <w:r>
        <w:t xml:space="preserve">Phần mềm xuất IFC (ví dụ Revit) và cấu hình export (export setup) — bắt buộc, để truy vết;</w:t>
      </w:r>
    </w:p>
    <w:p>
      <w:pPr>
        <w:pStyle w:val="ListParagraph"/>
        <w:numPr>
          <w:ilvl w:val="0"/>
          <w:numId w:val="2"/>
        </w:numPr>
        <w:spacing w:after="80" w:line="264"/>
        <w:jc w:val="both"/>
      </w:pPr>
      <w:r>
        <w:t xml:space="preserve">Ngày xuất file và đơn vị/người xuất — bắt buộc;</w:t>
      </w:r>
    </w:p>
    <w:p>
      <w:pPr>
        <w:pStyle w:val="ListParagraph"/>
        <w:numPr>
          <w:ilvl w:val="0"/>
          <w:numId w:val="2"/>
        </w:numPr>
        <w:spacing w:after="80" w:line="264"/>
        <w:jc w:val="both"/>
      </w:pPr>
      <w:r>
        <w:t xml:space="preserve">Danh sách bộ môn trong file (ARC, STR, HVAC, EL, FS, ELV…) — bắt buộc;</w:t>
      </w:r>
    </w:p>
    <w:p>
      <w:pPr>
        <w:pStyle w:val="ListParagraph"/>
        <w:numPr>
          <w:ilvl w:val="0"/>
          <w:numId w:val="2"/>
        </w:numPr>
        <w:spacing w:after="80" w:line="264"/>
        <w:jc w:val="both"/>
      </w:pPr>
      <w:r>
        <w:t xml:space="preserve">Quy tắc đặt tên đối tượng — khuyến nghị, để kiểm tra tự động;</w:t>
      </w:r>
    </w:p>
    <w:p>
      <w:pPr>
        <w:pStyle w:val="ListParagraph"/>
        <w:numPr>
          <w:ilvl w:val="0"/>
          <w:numId w:val="2"/>
        </w:numPr>
        <w:spacing w:after="80" w:line="264"/>
        <w:jc w:val="both"/>
      </w:pPr>
      <w:r>
        <w:t xml:space="preserve">Quy tắc mapping Mã tài sản/Device — bắt buộc nếu dùng cho vận hành (chi tiết tại HD-03).</w:t>
      </w:r>
    </w:p>
    <w:p>
      <w:pPr>
        <w:pStyle w:val="Heading1"/>
      </w:pPr>
      <w:r>
        <w:t xml:space="preserve">4. Phân loại đối tượng (Classification)</w:t>
      </w:r>
    </w:p>
    <w:p>
      <w:pPr>
        <w:spacing w:after="120" w:line="276"/>
        <w:jc w:val="both"/>
      </w:pPr>
      <w:r>
        <w:t xml:space="preserve">Mỗi đối tượng BIM phải được nhận diện đúng bản chất, bộ môn, hệ thống, nhóm tài sản và mục đích khai thác. Thiếu phân loại, nền tảng không thể lọc theo hệ thống, tách asset vận hành, mapping tự động hay dựng dashboard chính xác. Quy định lựa chọn &amp; mapping hệ phân loại (Uniclass/OmniClass) xem HD-05.</w:t>
      </w:r>
    </w:p>
    <w:p>
      <w:pPr>
        <w:spacing w:after="160" w:before="60"/>
        <w:jc w:val="center"/>
      </w:pPr>
      <w:r>
        <w:rPr>
          <w:i/>
          <w:iCs/>
          <w:color w:val="595959"/>
          <w:sz w:val="18"/>
          <w:szCs w:val="18"/>
        </w:rPr>
        <w:t xml:space="preserve">Bảng 1-3 Các lớp phân loại tối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Lớp phân loại</w:t>
            </w:r>
          </w:p>
        </w:tc>
        <w:tc>
          <w:tcPr>
            <w:tcW w:type="dxa" w:w="3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Mô tả</w:t>
            </w:r>
          </w:p>
        </w:tc>
        <w:tc>
          <w:tcPr>
            <w:tcW w:type="dxa" w:w="3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Discipline (Bộ môn)</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Lĩnh vực mô hình</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Kiến trúc, Kết cấu, HVAC, Điện, Cấp thoát nước, PCCC, ELV</w:t>
            </w:r>
          </w:p>
        </w:tc>
      </w:tr>
      <w:tr>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IFC Entity</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Loại entity IFC chuẩn</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IfcWall, IfcSlab, IfcPump, IfcFan, IfcSensor</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Object Category</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Nhóm đối tượng nghiệp vụ</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Tường, cửa, bơm, quạt, cảm biến, van</w:t>
            </w:r>
          </w:p>
        </w:tc>
      </w:tr>
      <w:tr>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System</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Hệ thống vận hành (Mục 5.5 tài liệu chính)</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HVAC, FS, EL, PL, BA, LIFT</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 Class</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Nhóm tài sản</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Thiết bị, Device, Không gian, Kết cấu, Nội thất</w:t>
            </w:r>
          </w:p>
        </w:tc>
      </w:tr>
      <w:tr>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Operation Criticality</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Mức quan trọng vận hành</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Critical, Major, Normal</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Digital Twin Layer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Lớp hiển thị trên DTP</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Architecture, Structure, MEP, IoT, Safety, Spatial</w:t>
            </w:r>
          </w:p>
        </w:tc>
      </w:tr>
    </w:tbl>
    <w:p>
      <w:pPr>
        <w:spacing w:after="60"/>
      </w:pPr>
      <w:r>
        <w:t xml:space="preserve"/>
      </w:r>
    </w:p>
    <w:p>
      <w:pPr>
        <w:spacing w:after="120" w:line="276"/>
        <w:jc w:val="both"/>
      </w:pPr>
      <w:r>
        <w:rPr>
          <w:i/>
          <w:iCs/>
        </w:rPr>
        <w:t xml:space="preserve">Nhóm đối tượng bắt buộc có classification: thiết bị MEP, PCCC, điện/ELV, IoT/BMS; phòng/không gian; tầng/toà/khu; và mọi tài sản vận hành (kèm Maintainable Flag).</w:t>
      </w:r>
    </w:p>
    <w:p>
      <w:pPr>
        <w:pStyle w:val="Heading1"/>
      </w:pPr>
      <w:r>
        <w:t xml:space="preserve">5. Metadata IFC &amp; Property Set phục vụ Digital Twin</w:t>
      </w:r>
    </w:p>
    <w:p>
      <w:pPr>
        <w:spacing w:after="120" w:line="276"/>
        <w:jc w:val="both"/>
      </w:pPr>
      <w:r>
        <w:t xml:space="preserve">Tài liệu này quy định metadata ở mức IFC (Pset). Mô hình metadata tổng quát của Digital Twin và cấu trúc EAV xem HD-04. Khuyến nghị tạo các Property Set riêng (tiền tố Pset_DT) ánh xạ tương ứng bộ tham số DT.* (Phụ lục D).</w:t>
      </w:r>
    </w:p>
    <w:p>
      <w:pPr>
        <w:spacing w:after="160" w:before="60"/>
        <w:jc w:val="center"/>
      </w:pPr>
      <w:r>
        <w:rPr>
          <w:i/>
          <w:iCs/>
          <w:color w:val="595959"/>
          <w:sz w:val="18"/>
          <w:szCs w:val="18"/>
        </w:rPr>
        <w:t xml:space="preserve">Bảng 1-4 Property Set khuyến nghị (Pset_DT)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Property Set</w:t>
            </w:r>
          </w:p>
        </w:tc>
        <w:tc>
          <w:tcPr>
            <w:tcW w:type="dxa" w:w="4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tiêu biểu</w:t>
            </w:r>
          </w:p>
        </w:tc>
        <w:tc>
          <w:tcPr>
            <w:tcW w:type="dxa" w:w="2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Ánh xạ DT.* (Phụ lục D)</w:t>
            </w:r>
          </w:p>
        </w:tc>
      </w:tr>
      <w:tr>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Pset_DT_Asset</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AssetID, AssetName, AssetType, AssetClass, MaintainableFlag, Criticality</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DT.Common.Asset Code, DT.Common.Equipment Description</w:t>
            </w:r>
          </w:p>
        </w:tc>
      </w:tr>
      <w:tr>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Pset_DT_Location</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ProjectCode, BuildingCode, FloorCode, SpaceID, ZoneCode</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DT.Common.Functional Location, DT.Common.Zone Tag No.</w:t>
            </w:r>
          </w:p>
        </w:tc>
      </w:tr>
      <w:tr>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Pset_DT_System</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Discipline, SystemCode, SystemName, SubSystemCode</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Mã hệ thống (Mục 5.5)</w:t>
            </w:r>
          </w:p>
        </w:tc>
      </w:tr>
      <w:tr>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Pset_DT_Device</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DeviceID, BMSPointID, DataSource, TelemetryTopic, SensorType, Unit</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Liên kết realtime (HD-03)</w:t>
            </w:r>
          </w:p>
        </w:tc>
      </w:tr>
      <w:tr>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Pset_DT_Maintenance</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CMMSID, MaintenanceCycle, WarrantyStart/End, OMManualLink</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DT.Common.Documentation</w:t>
            </w:r>
          </w:p>
        </w:tc>
      </w:tr>
    </w:tbl>
    <w:p>
      <w:pPr>
        <w:spacing w:after="60"/>
      </w:pPr>
      <w:r>
        <w:t xml:space="preserve"/>
      </w:r>
    </w:p>
    <w:p>
      <w:pPr>
        <w:pStyle w:val="Heading2"/>
      </w:pPr>
      <w:r>
        <w:t xml:space="preserve">5.1 Nhóm metadata bắt buộc trên đối tượng IFC</w:t>
      </w:r>
    </w:p>
    <w:p>
      <w:pPr>
        <w:pStyle w:val="ListParagraph"/>
        <w:numPr>
          <w:ilvl w:val="0"/>
          <w:numId w:val="3"/>
        </w:numPr>
        <w:spacing w:after="80" w:line="264"/>
        <w:jc w:val="both"/>
      </w:pPr>
      <w:r>
        <w:t xml:space="preserve">Định danh: IFC GlobalId, Object Name, Object Type, IFC Entity — bắt buộc;</w:t>
      </w:r>
    </w:p>
    <w:p>
      <w:pPr>
        <w:pStyle w:val="ListParagraph"/>
        <w:numPr>
          <w:ilvl w:val="0"/>
          <w:numId w:val="3"/>
        </w:numPr>
        <w:spacing w:after="80" w:line="264"/>
        <w:jc w:val="both"/>
      </w:pPr>
      <w:r>
        <w:t xml:space="preserve">Vị trí không gian: Mã dự án, Mã toà nhà, Mã tầng, Space ID/Name — bắt buộc với tài sản lắp cố định;</w:t>
      </w:r>
    </w:p>
    <w:p>
      <w:pPr>
        <w:pStyle w:val="ListParagraph"/>
        <w:numPr>
          <w:ilvl w:val="0"/>
          <w:numId w:val="3"/>
        </w:numPr>
        <w:spacing w:after="80" w:line="264"/>
        <w:jc w:val="both"/>
      </w:pPr>
      <w:r>
        <w:t xml:space="preserve">Phân loại: Discipline, System Code, Category, Asset Class, Maintainable Flag — bắt buộc với asset vận hành;</w:t>
      </w:r>
    </w:p>
    <w:p>
      <w:pPr>
        <w:pStyle w:val="ListParagraph"/>
        <w:numPr>
          <w:ilvl w:val="0"/>
          <w:numId w:val="3"/>
        </w:numPr>
        <w:spacing w:after="80" w:line="264"/>
        <w:jc w:val="both"/>
      </w:pPr>
      <w:r>
        <w:t xml:space="preserve">Tài sản: Mã tài sản (DT), Asset Type, Manufacturer, Model — bắt buộc; Serial, ngày lắp/nghiệm thu, bảo hành — khuyến nghị;</w:t>
      </w:r>
    </w:p>
    <w:p>
      <w:pPr>
        <w:pStyle w:val="ListParagraph"/>
        <w:numPr>
          <w:ilvl w:val="0"/>
          <w:numId w:val="3"/>
        </w:numPr>
        <w:spacing w:after="80" w:line="264"/>
        <w:jc w:val="both"/>
      </w:pPr>
      <w:r>
        <w:t xml:space="preserve">Tích hợp realtime: Device ID, BMS Point ID, Sensor Type, Unit, Data Source — bắt buộc nếu có dữ liệu realtime.</w:t>
      </w:r>
    </w:p>
    <w:p>
      <w:pPr>
        <w:pStyle w:val="Heading1"/>
      </w:pPr>
      <w:r>
        <w:t xml:space="preserve">6. Mapping IFC sang dữ liệu vận hành (đặc thù IFC)</w:t>
      </w:r>
    </w:p>
    <w:p>
      <w:pPr>
        <w:spacing w:after="120" w:line="276"/>
        <w:jc w:val="both"/>
      </w:pPr>
      <w:r>
        <w:t xml:space="preserve">Quy ước định danh &amp; bảng mapping ID trung tâm là nội dung dùng chung — xem HD-00 §6 và HD-03. Tại đây chỉ nêu phần đặc thù IFC: ánh xạ object IFC theo entity sang Asset/Device/Space/System, và nguyên tắc Stable Object Key.</w:t>
      </w:r>
    </w:p>
    <w:p>
      <w:pPr>
        <w:spacing w:after="120" w:line="276"/>
        <w:jc w:val="both"/>
      </w:pPr>
      <w:r>
        <w:t xml:space="preserve">Không phụ thuộc duy nhất vào IFC GlobalId vì GlobalId có thể đổi khi mô hình bị xoá/tạo lại hoặc export sai quy trình. Mỗi đối tượng vận hành quan trọng phải có “Stable Object Key” dựa trên mã dự án/toà/tầng/phòng/hệ thống + Mã tài sản (DT).</w:t>
      </w:r>
    </w:p>
    <w:p>
      <w:pPr>
        <w:spacing w:after="160" w:before="60"/>
        <w:jc w:val="center"/>
      </w:pPr>
      <w:r>
        <w:rPr>
          <w:i/>
          <w:iCs/>
          <w:color w:val="595959"/>
          <w:sz w:val="18"/>
          <w:szCs w:val="18"/>
        </w:rPr>
        <w:t xml:space="preserve">Bảng 1-5 Ví dụ ánh xạ object IFC theo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2100"/>
        <w:gridCol w:w="2100"/>
      </w:tblGrid>
      <w:tr>
        <w:trPr>
          <w:tblHeader/>
        </w:trPr>
        <w:tc>
          <w:tcPr>
            <w:tcW w:type="dxa" w:w="1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IFC Entity</w:t>
            </w:r>
          </w:p>
        </w:tc>
        <w:tc>
          <w:tcPr>
            <w:tcW w:type="dxa" w:w="3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 Mã tài sản (DT)</w:t>
            </w:r>
          </w:p>
        </w:tc>
        <w:tc>
          <w:tcPr>
            <w:tcW w:type="dxa" w:w="2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Asset Type</w:t>
            </w:r>
          </w:p>
        </w:tc>
        <w:tc>
          <w:tcPr>
            <w:tcW w:type="dxa" w:w="2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Data Source (nếu có realtime)</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IfcPump</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KT-DTHQ-NA-B1-FS-PMP-01</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Fire Pump</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BMS/DMP</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IfcUnitaryEquipment</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KT-DTHQ-NA-1F-HVAC-AHU-01</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Air Handling Unit</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BMS</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IfcFan</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KT-DTHQ-NA-5F-HVAC-EAF-02</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Exhaust Fan</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BMS</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IfcSensor</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KT-DTHQ-NA-1F-SEN-SNR-01</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Sensor</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IoT Platform</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IfcValve</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KT-DTHQ-NA-B1-PL-VAL-03</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Water Valve</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t>
            </w:r>
          </w:p>
        </w:tc>
      </w:tr>
    </w:tbl>
    <w:p>
      <w:pPr>
        <w:spacing w:after="60"/>
      </w:pPr>
      <w:r>
        <w:t xml:space="preserve"/>
      </w:r>
    </w:p>
    <w:p>
      <w:pPr>
        <w:pStyle w:val="Heading1"/>
      </w:pPr>
      <w:r>
        <w:t xml:space="preserve">7. Kiểm tra chất lượng &amp; checklist nghiệm thu IFC</w:t>
      </w:r>
    </w:p>
    <w:p>
      <w:pPr>
        <w:spacing w:after="120" w:line="276"/>
        <w:jc w:val="both"/>
      </w:pPr>
      <w:r>
        <w:t xml:space="preserve">File IFC phải qua validation trước khi import. Thang phân loại lỗi (Blocker/High/Medium/Low/Exception) và tiêu chí nghiệm thu theo tiêu chuẩn dùng chung — xem HD-00 §7 và HD-05. Checklist riêng cho IFC:</w:t>
      </w:r>
    </w:p>
    <w:p>
      <w:pPr>
        <w:pStyle w:val="ListParagraph"/>
        <w:numPr>
          <w:ilvl w:val="0"/>
          <w:numId w:val="2"/>
        </w:numPr>
        <w:spacing w:after="80" w:line="264"/>
        <w:jc w:val="both"/>
      </w:pPr>
      <w:r>
        <w:t xml:space="preserve">File mở được, đúng định dạng, đúng phiên bản đã khai báo, không lỗi nghiêm trọng;</w:t>
      </w:r>
    </w:p>
    <w:p>
      <w:pPr>
        <w:pStyle w:val="ListParagraph"/>
        <w:numPr>
          <w:ilvl w:val="0"/>
          <w:numId w:val="2"/>
        </w:numPr>
        <w:spacing w:after="80" w:line="264"/>
        <w:jc w:val="both"/>
      </w:pPr>
      <w:r>
        <w:t xml:space="preserve">Có cấu trúc Project/Site/Building/Storey/Space theo phạm vi yêu cầu;</w:t>
      </w:r>
    </w:p>
    <w:p>
      <w:pPr>
        <w:pStyle w:val="ListParagraph"/>
        <w:numPr>
          <w:ilvl w:val="0"/>
          <w:numId w:val="2"/>
        </w:numPr>
        <w:spacing w:after="80" w:line="264"/>
        <w:jc w:val="both"/>
      </w:pPr>
      <w:r>
        <w:t xml:space="preserve">Đúng hệ toạ độ, điểm gốc và đơn vị đo (đồng bộ Mục 4.1 tài liệu chính);</w:t>
      </w:r>
    </w:p>
    <w:p>
      <w:pPr>
        <w:pStyle w:val="ListParagraph"/>
        <w:numPr>
          <w:ilvl w:val="0"/>
          <w:numId w:val="2"/>
        </w:numPr>
        <w:spacing w:after="80" w:line="264"/>
        <w:jc w:val="both"/>
      </w:pPr>
      <w:r>
        <w:t xml:space="preserve">Object đúng IFC Entity, không gom thành generic object nếu cần quản lý vận hành; GUID ổn định;</w:t>
      </w:r>
    </w:p>
    <w:p>
      <w:pPr>
        <w:pStyle w:val="ListParagraph"/>
        <w:numPr>
          <w:ilvl w:val="0"/>
          <w:numId w:val="2"/>
        </w:numPr>
        <w:spacing w:after="80" w:line="264"/>
        <w:jc w:val="both"/>
      </w:pPr>
      <w:r>
        <w:t xml:space="preserve">Asset vận hành có IFC GlobalId, Mã tài sản (DT) và mapping status được xác nhận;</w:t>
      </w:r>
    </w:p>
    <w:p>
      <w:pPr>
        <w:pStyle w:val="ListParagraph"/>
        <w:numPr>
          <w:ilvl w:val="0"/>
          <w:numId w:val="2"/>
        </w:numPr>
        <w:spacing w:after="80" w:line="264"/>
        <w:jc w:val="both"/>
      </w:pPr>
      <w:r>
        <w:t xml:space="preserve">Asset có realtime gắn Device ID/BMS Point ID, đơn vị đo và nguồn dữ liệu;</w:t>
      </w:r>
    </w:p>
    <w:p>
      <w:pPr>
        <w:pStyle w:val="ListParagraph"/>
        <w:numPr>
          <w:ilvl w:val="0"/>
          <w:numId w:val="2"/>
        </w:numPr>
        <w:spacing w:after="80" w:line="264"/>
        <w:jc w:val="both"/>
      </w:pPr>
      <w:r>
        <w:t xml:space="preserve">Đủ metadata bắt buộc theo nhóm asset; có tài liệu O&amp;M cho asset quan trọng;</w:t>
      </w:r>
    </w:p>
    <w:p>
      <w:pPr>
        <w:pStyle w:val="ListParagraph"/>
        <w:numPr>
          <w:ilvl w:val="0"/>
          <w:numId w:val="2"/>
        </w:numPr>
        <w:spacing w:after="80" w:line="264"/>
        <w:jc w:val="both"/>
      </w:pPr>
      <w:r>
        <w:t xml:space="preserve">Chuyển đổi được sang GLB/glTF/3D Tiles và xuất metadata (JSON/COBieLite);</w:t>
      </w:r>
    </w:p>
    <w:p>
      <w:pPr>
        <w:pStyle w:val="ListParagraph"/>
        <w:numPr>
          <w:ilvl w:val="0"/>
          <w:numId w:val="2"/>
        </w:numPr>
        <w:spacing w:after="80" w:line="264"/>
        <w:jc w:val="both"/>
      </w:pPr>
      <w:r>
        <w:t xml:space="preserve">Có revision, ngày phát hành, đơn vị phát hành và trạng thái phê duyệt trước khi publish.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HD-01 — File IFC</w:t>
    </w:r>
    <w:r>
      <w:rPr>
        <w:color w:val="808080"/>
        <w:sz w:val="16"/>
        <w:szCs w:val="16"/>
      </w:rPr>
      <w:t xml:space="preserve">	Bộ hướng dẫn BIM Pipeline →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HD-01 — File IFC</dc:title>
  <dc:creator>Chủ đầu tư (CĐT)</dc:creator>
  <cp:lastModifiedBy>Un-named</cp:lastModifiedBy>
  <cp:revision>1</cp:revision>
  <dcterms:created xsi:type="dcterms:W3CDTF">2026-06-10T05:35:06.560Z</dcterms:created>
  <dcterms:modified xsi:type="dcterms:W3CDTF">2026-06-10T05:35:06.560Z</dcterms:modified>
</cp:coreProperties>
</file>

<file path=docProps/custom.xml><?xml version="1.0" encoding="utf-8"?>
<Properties xmlns="http://schemas.openxmlformats.org/officeDocument/2006/custom-properties" xmlns:vt="http://schemas.openxmlformats.org/officeDocument/2006/docPropsVTypes"/>
</file>