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2E75B6"/>
          <w:sz w:val="26"/>
          <w:szCs w:val="26"/>
        </w:rPr>
        <w:t xml:space="preserve">BỘ HƯỚNG DẪN CHUYỂN ĐỔI BIM PIPELINE SANG DIGITAL TWIN</w:t>
      </w:r>
    </w:p>
    <w:p>
      <w:pPr>
        <w:spacing w:after="0" w:before="60"/>
        <w:jc w:val="center"/>
      </w:pPr>
      <w:r>
        <w:rPr>
          <w:i/>
          <w:iCs/>
          <w:color w:val="595959"/>
          <w:sz w:val="20"/>
          <w:szCs w:val="20"/>
        </w:rPr>
        <w:t xml:space="preserve">(Bộ tài liệu phụ trợ Quy định BIM–AM / Digital Twin của Chủ đầu tư)</w:t>
      </w:r>
    </w:p>
    <w:p>
      <w:pPr>
        <w:spacing w:after="0" w:before="560"/>
        <w:jc w:val="center"/>
      </w:pPr>
      <w:r>
        <w:rPr>
          <w:b/>
          <w:bCs/>
          <w:color w:val="404040"/>
          <w:sz w:val="34"/>
          <w:szCs w:val="34"/>
        </w:rPr>
        <w:t xml:space="preserve">HD-03</w:t>
      </w:r>
    </w:p>
    <w:p>
      <w:pPr>
        <w:spacing w:after="0" w:before="140"/>
        <w:jc w:val="center"/>
      </w:pPr>
      <w:r>
        <w:rPr>
          <w:b/>
          <w:bCs/>
          <w:color w:val="1F3864"/>
          <w:sz w:val="42"/>
          <w:szCs w:val="42"/>
        </w:rPr>
        <w:t xml:space="preserve">TÍCH HỢP BMS · VMS · IOC · CMMS</w:t>
      </w:r>
    </w:p>
    <w:p>
      <w:pPr>
        <w:spacing w:before="140"/>
        <w:jc w:val="center"/>
      </w:pPr>
      <w:r>
        <w:rPr>
          <w:color w:val="404040"/>
          <w:sz w:val="24"/>
          <w:szCs w:val="24"/>
        </w:rPr>
        <w:t xml:space="preserve">Liên kết dữ liệu vận hành thời gian thực với Digital Twin</w:t>
      </w:r>
    </w:p>
    <w:p>
      <w:pPr>
        <w:pBdr>
          <w:top w:val="single" w:color="2E75B6" w:sz="8" w:space="8"/>
        </w:pBdr>
        <w:spacing w:before="1400"/>
        <w:jc w:val="center"/>
      </w:pPr>
      <w:r>
        <w:rPr>
          <w:b/>
          <w:bCs/>
          <w:color w:val="1F3864"/>
          <w:sz w:val="22"/>
          <w:szCs w:val="22"/>
        </w:rPr>
        <w:t xml:space="preserve">Mã tài liệu DT-HD-03  •  Phiên bản 1.0  •  2026</w:t>
      </w:r>
    </w:p>
    <w:p>
      <w:r>
        <w:br w:type="page"/>
      </w:r>
    </w:p>
    <w:p>
      <w:pPr>
        <w:pStyle w:val="Heading1"/>
      </w:pPr>
      <w:r>
        <w:t xml:space="preserve">Kiểm soát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Thông tin</w:t>
            </w:r>
          </w:p>
        </w:tc>
        <w:tc>
          <w:tcPr>
            <w:tcW w:type="dxa" w:w="6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tài liệu</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DT-HD-03</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Tên tài liệu</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Hướng dẫn tích hợp dữ liệu vận hành BMS, VMS, IOC, CMMS với Digital Twin</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Phiên bản</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1.0</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Ngày phát hành</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Tháng 6 năm 2026</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Trạng thái</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Bản phát hành nội bộ</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Đơn vị áp dụng</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Chủ đầu tư (CĐT) — Digital Twin Platform</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Quan hệ tài liệu</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Phụ trợ Quy định BIM–AM / Digital Twin (tài liệu chính) và các Phụ lục A–I; dùng chung quy ước tại HD-00.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4060"/>
        <w:gridCol w:w="2400"/>
      </w:tblGrid>
      <w:tr>
        <w:trPr>
          <w:tblHeader/>
        </w:trPr>
        <w:tc>
          <w:tcPr>
            <w:tcW w:type="dxa" w:w="15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Phiên bản</w:t>
            </w:r>
          </w:p>
        </w:tc>
        <w:tc>
          <w:tcPr>
            <w:tcW w:type="dxa" w:w="1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Ngày</w:t>
            </w:r>
          </w:p>
        </w:tc>
        <w:tc>
          <w:tcPr>
            <w:tcW w:type="dxa" w:w="40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 thay đổi</w:t>
            </w:r>
          </w:p>
        </w:tc>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Đơn vị thực hiện</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1.0</w:t>
            </w:r>
          </w:p>
        </w:tc>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06/2026</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Phát hành lần đầu (đã rà soát, loại trùng lặp, chuẩn hoá toàn bộ).</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CĐT — Digital Twin Platform</w:t>
            </w:r>
          </w:p>
        </w:tc>
      </w:tr>
    </w:tbl>
    <w:p>
      <w:pPr>
        <w:spacing w:after="60"/>
      </w:pPr>
      <w:r>
        <w:t xml:space="preserve"/>
      </w:r>
    </w:p>
    <w:p>
      <w:pPr>
        <w:spacing w:after="200"/>
      </w:pPr>
      <w:r>
        <w:rPr>
          <w:b/>
          <w:bCs/>
          <w:color w:val="1F3864"/>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Cấu trúc bộ hướng dẫn</w:t>
      </w:r>
    </w:p>
    <w:p>
      <w:pPr>
        <w:spacing w:after="120" w:line="276"/>
        <w:jc w:val="both"/>
      </w:pPr>
      <w:r>
        <w:t xml:space="preserve">Bộ hướng dẫn gồm sáu tài liệu. Tài liệu HD-00 chứa các quy ước dùng chung (thuật ngữ, sơ đồ pipeline, chuỗi yêu cầu thông tin, mapping ID trung tâm, phân loại lỗi &amp; nghiệm thu, RACI, data dictionary). Các tài liệu HD-01 đến HD-05 tham chiếu HD-00 và không lặp lại các nội dung dùng chung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260"/>
        <w:gridCol w:w="1800"/>
      </w:tblGrid>
      <w:tr>
        <w:trPr>
          <w:tblHeader/>
        </w:trPr>
        <w:tc>
          <w:tcPr>
            <w:tcW w:type="dxa" w:w="1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w:t>
            </w:r>
          </w:p>
        </w:tc>
        <w:tc>
          <w:tcPr>
            <w:tcW w:type="dxa" w:w="62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c>
          <w:tcPr>
            <w:tcW w:type="dxa" w:w="1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HD-00</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Tổng quan &amp; Quy ước chung</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HD-01</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File IFC</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HD-02</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COBie</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HD-03</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Tích hợp BMS·VMS·IOC·CMMS</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(tài liệu này)</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HD-04</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Metadata &amp; Mapping thông tin</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HD-05</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Tiêu chuẩn đối chiếu</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bl>
    <w:p>
      <w:pPr>
        <w:spacing w:after="60"/>
      </w:pPr>
      <w:r>
        <w:t xml:space="preserve"/>
      </w:r>
    </w:p>
    <w:p>
      <w:pPr>
        <w:pStyle w:val="Heading1"/>
      </w:pPr>
      <w:r>
        <w:t xml:space="preserve">1. Mục tiêu &amp; phạm vi</w:t>
      </w:r>
    </w:p>
    <w:p>
      <w:pPr>
        <w:spacing w:after="120" w:line="276"/>
        <w:jc w:val="both"/>
      </w:pPr>
      <w:r>
        <w:t xml:space="preserve">Tài liệu quy định nguyên tắc thu thập, chuẩn hoá, ánh xạ, quản lý và khai thác dữ liệu từ các hệ thống vận hành công trình vào Digital Twin của CĐT. Trọng tâm: mọi dữ liệu vận hành đều gắn về đúng tài sản (Mã tài sản DT), đúng không gian, đúng hệ thống, đúng thời điểm, đúng nguồn. Tài liệu mở rộng Mục 7 (giao tiếp/tích hợp) của tài liệu chính sang bốn hệ: BMS, VMS, IOC, CMMS.</w:t>
      </w:r>
    </w:p>
    <w:p>
      <w:pPr>
        <w:spacing w:after="120" w:line="276"/>
        <w:jc w:val="both"/>
      </w:pPr>
      <w:r>
        <w:t xml:space="preserve">Tài liệu này là “nhà” của quy ước đặt tên ID vận hành. Mô hình dữ liệu theo lớp, nguyên tắc định danh tổng quát và bảng mapping ID trung tâm là nội dung dùng chung — xem HD-00 §5 và §6.</w:t>
      </w:r>
    </w:p>
    <w:p>
      <w:pPr>
        <w:pStyle w:val="Heading1"/>
      </w:pPr>
      <w:r>
        <w:t xml:space="preserve">2. Vai trò các hệ thống trên Digital Twin</w:t>
      </w:r>
    </w:p>
    <w:p>
      <w:pPr>
        <w:spacing w:after="160" w:before="60"/>
        <w:jc w:val="center"/>
      </w:pPr>
      <w:r>
        <w:rPr>
          <w:i/>
          <w:iCs/>
          <w:color w:val="595959"/>
          <w:sz w:val="18"/>
          <w:szCs w:val="18"/>
        </w:rPr>
        <w:t xml:space="preserve">Bảng 3-1 BMS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Dữ liệu BMS</w:t>
            </w:r>
          </w:p>
        </w:tc>
        <w:tc>
          <w:tcPr>
            <w:tcW w:type="dxa" w:w="6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Khai thác trên Digital Twin</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Nhiệt độ, độ ẩm, CO₂, AQI</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Tô màu phòng/zone theo điều kiện môi trường.</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Trạng thái AHU/FCU/Bơm/Chiller</w:t>
            </w:r>
          </w:p>
        </w:tc>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Hiển thị Running/Stopped/Fault trực tiếp trên mô hình.</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Cảnh báo kỹ thuật</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Highlight vị trí thiết bị lỗi và khu vực ảnh hưởng.</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Tiêu thụ điện/nước/năng lượng</w:t>
            </w:r>
          </w:p>
        </w:tc>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Dashboard năng lượng theo toà, tầng, zone, hệ thống.</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Point/tag BMS</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Mapping vào Mã tài sản (DT) và Telemetry Point ID để lưu lịch sử.</w:t>
            </w:r>
          </w:p>
        </w:tc>
      </w:tr>
    </w:tbl>
    <w:p>
      <w:pPr>
        <w:spacing w:after="60"/>
      </w:pPr>
      <w:r>
        <w:t xml:space="preserve"/>
      </w:r>
    </w:p>
    <w:p>
      <w:pPr>
        <w:spacing w:after="160" w:before="60"/>
        <w:jc w:val="center"/>
      </w:pPr>
      <w:r>
        <w:rPr>
          <w:i/>
          <w:iCs/>
          <w:color w:val="595959"/>
          <w:sz w:val="18"/>
          <w:szCs w:val="18"/>
        </w:rPr>
        <w:t xml:space="preserve">Bảng 3-2 VMS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Dữ liệu VMS</w:t>
            </w:r>
          </w:p>
        </w:tc>
        <w:tc>
          <w:tcPr>
            <w:tcW w:type="dxa" w:w="6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Khai thác trên Digital Twin</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Camera ID, vị trí, hướng nhìn</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Hiển thị icon camera, góc quan sát trên mô hình.</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Live stream / playback</w:t>
            </w:r>
          </w:p>
        </w:tc>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Mở video trực tiếp hoặc xem lại từ vị trí camera.</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Trạng thái online/offline/tampered</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Cảnh báo tình trạng camera &amp; khả năng giám sát.</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Sự kiện AI</w:t>
            </w:r>
          </w:p>
        </w:tc>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Gắn sự kiện đám đông, xâm nhập, cháy/khói, biển số vào zone liên quan.</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Snapshot / video evidence</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Lưu bằng chứng liên kết với sự kiện IOC hoặc work order.</w:t>
            </w:r>
          </w:p>
        </w:tc>
      </w:tr>
    </w:tbl>
    <w:p>
      <w:pPr>
        <w:spacing w:after="60"/>
      </w:pPr>
      <w:r>
        <w:t xml:space="preserve"/>
      </w:r>
    </w:p>
    <w:p>
      <w:pPr>
        <w:spacing w:after="160" w:before="60"/>
        <w:jc w:val="center"/>
      </w:pPr>
      <w:r>
        <w:rPr>
          <w:i/>
          <w:iCs/>
          <w:color w:val="595959"/>
          <w:sz w:val="18"/>
          <w:szCs w:val="18"/>
        </w:rPr>
        <w:t xml:space="preserve">Bảng 3-3 IOC &amp; CMMS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Hệ thống</w:t>
            </w:r>
          </w:p>
        </w:tc>
        <w:tc>
          <w:tcPr>
            <w:tcW w:type="dxa" w:w="2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Sự kiện/dữ liệu</w:t>
            </w:r>
          </w:p>
        </w:tc>
        <w:tc>
          <w:tcPr>
            <w:tcW w:type="dxa" w:w="5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Digital Twin hỗ trợ</w:t>
            </w:r>
          </w:p>
        </w:tc>
      </w:tr>
      <w:tr>
        <w:tc>
          <w:tcPr>
            <w:tcW w:type="dxa" w:w="1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IOC</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Báo cháy tầng</w:t>
            </w:r>
          </w:p>
        </w:tc>
        <w:tc>
          <w:tcPr>
            <w:tcW w:type="dxa" w:w="5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Highlight tầng, phòng, đầu báo, camera gần nhất, lối thoát, thiết bị PCCC.</w:t>
            </w:r>
          </w:p>
        </w:tc>
      </w:tr>
      <w:tr>
        <w:tc>
          <w:tcPr>
            <w:tcW w:type="dxa" w:w="1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IOC</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Mất điện khu vực</w:t>
            </w:r>
          </w:p>
        </w:tc>
        <w:tc>
          <w:tcPr>
            <w:tcW w:type="dxa" w:w="5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Hiển thị tủ điện, tuyến cấp điện, khu vực ảnh hưởng.</w:t>
            </w:r>
          </w:p>
        </w:tc>
      </w:tr>
      <w:tr>
        <w:tc>
          <w:tcPr>
            <w:tcW w:type="dxa" w:w="1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IOC</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Ngập tầng hầm</w:t>
            </w:r>
          </w:p>
        </w:tc>
        <w:tc>
          <w:tcPr>
            <w:tcW w:type="dxa" w:w="5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Hiển thị sensor nước, bơm thoát nước, camera, lối vào.</w:t>
            </w:r>
          </w:p>
        </w:tc>
      </w:tr>
      <w:tr>
        <w:tc>
          <w:tcPr>
            <w:tcW w:type="dxa" w:w="1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CMMS</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Asset master</w:t>
            </w:r>
          </w:p>
        </w:tc>
        <w:tc>
          <w:tcPr>
            <w:tcW w:type="dxa" w:w="5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Click thiết bị trên mô hình để xem hồ sơ tài sản.</w:t>
            </w:r>
          </w:p>
        </w:tc>
      </w:tr>
      <w:tr>
        <w:tc>
          <w:tcPr>
            <w:tcW w:type="dxa" w:w="1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CMMS</w:t>
            </w:r>
          </w:p>
        </w:tc>
        <w:tc>
          <w:tcPr>
            <w:tcW w:type="dxa" w:w="2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Kế hoạch bảo trì</w:t>
            </w:r>
          </w:p>
        </w:tc>
        <w:tc>
          <w:tcPr>
            <w:tcW w:type="dxa" w:w="5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Hiển thị thiết bị sắp đến hạn bảo trì.</w:t>
            </w:r>
          </w:p>
        </w:tc>
      </w:tr>
      <w:tr>
        <w:tc>
          <w:tcPr>
            <w:tcW w:type="dxa" w:w="1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CMMS</w:t>
            </w:r>
          </w:p>
        </w:tc>
        <w:tc>
          <w:tcPr>
            <w:tcW w:type="dxa" w:w="2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Work order / lịch sử</w:t>
            </w:r>
          </w:p>
        </w:tc>
        <w:tc>
          <w:tcPr>
            <w:tcW w:type="dxa" w:w="5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Gắn phiếu việc vào đúng asset/space/zone; xem timeline bảo trì.</w:t>
            </w:r>
          </w:p>
        </w:tc>
      </w:tr>
    </w:tbl>
    <w:p>
      <w:pPr>
        <w:spacing w:after="60"/>
      </w:pPr>
      <w:r>
        <w:t xml:space="preserve"/>
      </w:r>
    </w:p>
    <w:p>
      <w:pPr>
        <w:pStyle w:val="Heading1"/>
      </w:pPr>
      <w:r>
        <w:t xml:space="preserve">3. Quy ước đặt tên ID vận hành</w:t>
      </w:r>
    </w:p>
    <w:p>
      <w:pPr>
        <w:spacing w:after="120" w:line="276"/>
        <w:jc w:val="both"/>
      </w:pPr>
      <w:r>
        <w:t xml:space="preserve">Nguyên tắc định danh bắt buộc (mỗi asset một Mã tài sản DT chính; ID tham chiếu mapping về mã chính; chỉ A–Z/0–9/“-”/“_”; ID ổn định; có audit log) xem HD-00 §6.1. Dưới đây là quy ước cấu trúc cho từng loại ID — đồng bộ với hệ mã tài sản 7 trường của tài liệu chính.</w:t>
      </w:r>
    </w:p>
    <w:p>
      <w:pPr>
        <w:spacing w:after="160" w:before="60"/>
        <w:jc w:val="center"/>
      </w:pPr>
      <w:r>
        <w:rPr>
          <w:i/>
          <w:iCs/>
          <w:color w:val="595959"/>
          <w:sz w:val="18"/>
          <w:szCs w:val="18"/>
        </w:rPr>
        <w:t xml:space="preserve">Bảng 3-4 Cấu trúc ID &amp; ví dụ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W w:type="dxa" w:w="19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Loại ID</w:t>
            </w:r>
          </w:p>
        </w:tc>
        <w:tc>
          <w:tcPr>
            <w:tcW w:type="dxa" w:w="4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Cấu trúc đề xuất</w:t>
            </w:r>
          </w:p>
        </w:tc>
        <w:tc>
          <w:tcPr>
            <w:tcW w:type="dxa" w:w="3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Ví dụ</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Mã tài sản (DT)</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[KhuVực]-[ToàNhà]-[Khối]-[Tầng]-[Hệ/Tuyến]-[Thiết bị]-[STT]</w:t>
            </w:r>
          </w:p>
        </w:tc>
        <w:tc>
          <w:tcPr>
            <w:tcW w:type="dxa" w:w="3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KT-DTHQ-NA-1F-HVAC-AHU-01</w:t>
            </w:r>
          </w:p>
        </w:tc>
      </w:tr>
      <w:tr>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Device ID</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DEV-[ToàNhà]-[Hệ]-[LoạiDevice]-[Tầng]-[STT]</w:t>
            </w:r>
          </w:p>
        </w:tc>
        <w:tc>
          <w:tcPr>
            <w:tcW w:type="dxa" w:w="3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DEV-DTHQ-HVAC-CTRL-1F-001</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Sensor ID</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SNS-[ToàNhà]-[Miền]-[ĐạiLượng]-[Tầng]-[STT]</w:t>
            </w:r>
          </w:p>
        </w:tc>
        <w:tc>
          <w:tcPr>
            <w:tcW w:type="dxa" w:w="3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SNS-DTHQ-ENV-TEMP-1F-001</w:t>
            </w:r>
          </w:p>
        </w:tc>
      </w:tr>
      <w:tr>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Camera ID</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CAM-[ToàNhà]-[Tầng/Zone]-[KhuVực]-[STT]</w:t>
            </w:r>
          </w:p>
        </w:tc>
        <w:tc>
          <w:tcPr>
            <w:tcW w:type="dxa" w:w="3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CAM-DTHQ-1F-LOBBY-001</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BMS Tag</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BMS.[Hệ].[LoạiTB].[Tầng].[STT].[Điểm]</w:t>
            </w:r>
          </w:p>
        </w:tc>
        <w:tc>
          <w:tcPr>
            <w:tcW w:type="dxa" w:w="3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BMS.HVAC.AHU.1F.001.SUPPLY_TEMP</w:t>
            </w:r>
          </w:p>
        </w:tc>
      </w:tr>
      <w:tr>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Point ID</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[DeviceID]-[LoạiĐiểm]-[STT]</w:t>
            </w:r>
          </w:p>
        </w:tc>
        <w:tc>
          <w:tcPr>
            <w:tcW w:type="dxa" w:w="3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DEV-DTHQ-HVAC-CTRL-1F-001-TEMP-001</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Space ID</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SPC-[ToàNhà]-[Tầng]-[ChứcNăng]-[STT]</w:t>
            </w:r>
          </w:p>
        </w:tc>
        <w:tc>
          <w:tcPr>
            <w:tcW w:type="dxa" w:w="3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SPC-DTHQ-1F-MECH-001</w:t>
            </w:r>
          </w:p>
        </w:tc>
      </w:tr>
      <w:tr>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Zone ID</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ZN-[ToàNhà]-[Tầng]-[ChứcNăng]-[STT]</w:t>
            </w:r>
          </w:p>
        </w:tc>
        <w:tc>
          <w:tcPr>
            <w:tcW w:type="dxa" w:w="3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ZN-DTHQ-1F-HVAC-A</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System ID</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SYS-[ToàNhà]-[Hệ]-[STT]</w:t>
            </w:r>
          </w:p>
        </w:tc>
        <w:tc>
          <w:tcPr>
            <w:tcW w:type="dxa" w:w="3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SYS-DTHQ-HVAC-001</w:t>
            </w:r>
          </w:p>
        </w:tc>
      </w:tr>
      <w:tr>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IOC Event ID</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EVT-[YYYYMMDD]-[STT]</w:t>
            </w:r>
          </w:p>
        </w:tc>
        <w:tc>
          <w:tcPr>
            <w:tcW w:type="dxa" w:w="3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EVT-20260610-0001</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Incident ID</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INC-[YYYYMMDD]-[STT]</w:t>
            </w:r>
          </w:p>
        </w:tc>
        <w:tc>
          <w:tcPr>
            <w:tcW w:type="dxa" w:w="3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INC-20260610-0001</w:t>
            </w:r>
          </w:p>
        </w:tc>
      </w:tr>
      <w:tr>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Work Order ID</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WO-[YYYYMMDD]-[STT]</w:t>
            </w:r>
          </w:p>
        </w:tc>
        <w:tc>
          <w:tcPr>
            <w:tcW w:type="dxa" w:w="3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WO-20260610-0001</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Maintenance Plan ID</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MP-[Hệ]-[LoạiTB]-[ChuKỳ]</w:t>
            </w:r>
          </w:p>
        </w:tc>
        <w:tc>
          <w:tcPr>
            <w:tcW w:type="dxa" w:w="3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MP-HVAC-AHU-MONTHLY</w:t>
            </w:r>
          </w:p>
        </w:tc>
      </w:tr>
    </w:tbl>
    <w:p>
      <w:pPr>
        <w:spacing w:after="60"/>
      </w:pPr>
      <w:r>
        <w:t xml:space="preserve"/>
      </w:r>
    </w:p>
    <w:p>
      <w:pPr>
        <w:spacing w:after="120" w:line="276"/>
        <w:jc w:val="both"/>
      </w:pPr>
      <w:r>
        <w:rPr>
          <w:i/>
          <w:iCs/>
        </w:rPr>
        <w:t xml:space="preserve">Lưu ý đồng bộ: Mã tài sản (DT) giữ nguyên 7 trường của tài liệu chính; mọi ID vận hành khác (Device/Sensor/Camera/BMS Tag) là ID tham chiếu, đều phải ánh xạ về Mã tài sản (DT) trong bảng mapping ID trung tâm (HD-00 §6.2).</w:t>
      </w:r>
    </w:p>
    <w:p>
      <w:pPr>
        <w:pStyle w:val="Heading1"/>
      </w:pPr>
      <w:r>
        <w:t xml:space="preserve">4. Mapping dữ liệu giữa IFC, COBie, BMS, VMS, IOC, CMMS</w:t>
      </w:r>
    </w:p>
    <w:p>
      <w:pPr>
        <w:spacing w:after="160" w:before="60"/>
        <w:jc w:val="center"/>
      </w:pPr>
      <w:r>
        <w:rPr>
          <w:i/>
          <w:iCs/>
          <w:color w:val="595959"/>
          <w:sz w:val="18"/>
          <w:szCs w:val="18"/>
        </w:rPr>
        <w:t xml:space="preserve">Bảng 3-5 Khoá liên kết theo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60"/>
        <w:gridCol w:w="3300"/>
      </w:tblGrid>
      <w:tr>
        <w:trPr>
          <w:tblHeader/>
        </w:trPr>
        <w:tc>
          <w:tcPr>
            <w:tcW w:type="dxa" w:w="1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Hệ thống</w:t>
            </w:r>
          </w:p>
        </w:tc>
        <w:tc>
          <w:tcPr>
            <w:tcW w:type="dxa" w:w="46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Khoá liên kết về Digital Twin</w:t>
            </w:r>
          </w:p>
        </w:tc>
        <w:tc>
          <w:tcPr>
            <w:tcW w:type="dxa" w:w="3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Ý nghĩa</w:t>
            </w:r>
          </w:p>
        </w:tc>
      </w:tr>
      <w:tr>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IFC</w:t>
            </w:r>
          </w:p>
        </w:tc>
        <w:tc>
          <w:tcPr>
            <w:tcW w:type="dxa" w:w="4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IFC GUID → Mã tài sản (DT)</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Highlight đúng object 3D</w:t>
            </w:r>
          </w:p>
        </w:tc>
      </w:tr>
      <w:tr>
        <w:tc>
          <w:tcPr>
            <w:tcW w:type="dxa" w:w="1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COBie</w:t>
            </w:r>
          </w:p>
        </w:tc>
        <w:tc>
          <w:tcPr>
            <w:tcW w:type="dxa" w:w="46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Component Name / ExternalIdentifier → Mã tài sản (DT)</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Hồ sơ tài sản, type, system, document</w:t>
            </w:r>
          </w:p>
        </w:tc>
      </w:tr>
      <w:tr>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BMS</w:t>
            </w:r>
          </w:p>
        </w:tc>
        <w:tc>
          <w:tcPr>
            <w:tcW w:type="dxa" w:w="4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BMS Tag / Point Prefix → Mã tài sản (DT)</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Trạng thái &amp; telemetry realtime</w:t>
            </w:r>
          </w:p>
        </w:tc>
      </w:tr>
      <w:tr>
        <w:tc>
          <w:tcPr>
            <w:tcW w:type="dxa" w:w="1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VMS</w:t>
            </w:r>
          </w:p>
        </w:tc>
        <w:tc>
          <w:tcPr>
            <w:tcW w:type="dxa" w:w="46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Camera ID → Zone ID / Space ID</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Hình ảnh, sự kiện AI theo vùng</w:t>
            </w:r>
          </w:p>
        </w:tc>
      </w:tr>
      <w:tr>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IOC</w:t>
            </w:r>
          </w:p>
        </w:tc>
        <w:tc>
          <w:tcPr>
            <w:tcW w:type="dxa" w:w="4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Event ID → Asset/Space/Zone liên quan</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Không gian hoá sự kiện điều hành</w:t>
            </w:r>
          </w:p>
        </w:tc>
      </w:tr>
      <w:tr>
        <w:tc>
          <w:tcPr>
            <w:tcW w:type="dxa" w:w="1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CMMS</w:t>
            </w:r>
          </w:p>
        </w:tc>
        <w:tc>
          <w:tcPr>
            <w:tcW w:type="dxa" w:w="46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CMMS Asset ID → Mã tài sản (DT)</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Bảo trì, work order, lịch sử, bảo hành</w:t>
            </w:r>
          </w:p>
        </w:tc>
      </w:tr>
      <w:tr>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DMP/IoT</w:t>
            </w:r>
          </w:p>
        </w:tc>
        <w:tc>
          <w:tcPr>
            <w:tcW w:type="dxa" w:w="4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Device ID / Sensor ID → Mã tài sản (DT)</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Device shadow, telemetry, command</w:t>
            </w:r>
          </w:p>
        </w:tc>
      </w:tr>
    </w:tbl>
    <w:p>
      <w:pPr>
        <w:spacing w:after="60"/>
      </w:pPr>
      <w:r>
        <w:t xml:space="preserve"/>
      </w:r>
    </w:p>
    <w:p>
      <w:pPr>
        <w:pStyle w:val="Heading1"/>
      </w:pPr>
      <w:r>
        <w:t xml:space="preserve">5. Use case vận hành tiêu biểu</w:t>
      </w:r>
    </w:p>
    <w:p>
      <w:pPr>
        <w:pStyle w:val="ListParagraph"/>
        <w:numPr>
          <w:ilvl w:val="0"/>
          <w:numId w:val="2"/>
        </w:numPr>
        <w:spacing w:after="80" w:line="264"/>
        <w:jc w:val="both"/>
      </w:pPr>
      <w:r>
        <w:t xml:space="preserve">Báo cháy: IOC nhận sự kiện → Digital Twin highlight tầng/phòng, đầu báo, camera gần nhất (VMS), lối thoát và thiết bị PCCC; CMMS tạo work order khắc phục;</w:t>
      </w:r>
    </w:p>
    <w:p>
      <w:pPr>
        <w:pStyle w:val="ListParagraph"/>
        <w:numPr>
          <w:ilvl w:val="0"/>
          <w:numId w:val="2"/>
        </w:numPr>
        <w:spacing w:after="80" w:line="264"/>
        <w:jc w:val="both"/>
      </w:pPr>
      <w:r>
        <w:t xml:space="preserve">Thiết bị HVAC lỗi: BMS gửi cảnh báo Fault → highlight AHU và zone ảnh hưởng → hiển thị lịch sử bảo trì gần nhất (CMMS) → điều phối xử lý;</w:t>
      </w:r>
    </w:p>
    <w:p>
      <w:pPr>
        <w:pStyle w:val="ListParagraph"/>
        <w:numPr>
          <w:ilvl w:val="0"/>
          <w:numId w:val="2"/>
        </w:numPr>
        <w:spacing w:after="80" w:line="264"/>
        <w:jc w:val="both"/>
      </w:pPr>
      <w:r>
        <w:t xml:space="preserve">Ngập tầng hầm: sensor mức nước (IoT) vượt ngưỡng → hiển thị bơm thoát nước, camera, lối vào → cảnh báo IOC;</w:t>
      </w:r>
    </w:p>
    <w:p>
      <w:pPr>
        <w:pStyle w:val="ListParagraph"/>
        <w:numPr>
          <w:ilvl w:val="0"/>
          <w:numId w:val="2"/>
        </w:numPr>
        <w:spacing w:after="80" w:line="264"/>
        <w:jc w:val="both"/>
      </w:pPr>
      <w:r>
        <w:t xml:space="preserve">Giám sát năng lượng: telemetry điện/nước (BMS) → dashboard theo toà/tầng/zone/hệ thống để phân tích và tối ưu.</w:t>
      </w:r>
    </w:p>
    <w:p>
      <w:pPr>
        <w:pStyle w:val="Heading1"/>
      </w:pPr>
      <w:r>
        <w:t xml:space="preserve">6. Kiến trúc tích hợp khuyến nghị</w:t>
      </w:r>
    </w:p>
    <w:p>
      <w:pPr>
        <w:spacing w:after="120" w:line="276"/>
        <w:jc w:val="both"/>
      </w:pPr>
      <w:r>
        <w:t xml:space="preserve">Áp dụng ba phương thức giao tiếp như Mục 7.1 tài liệu chính, mở rộng cho bốn hệ vận hành:</w:t>
      </w:r>
    </w:p>
    <w:p>
      <w:pPr>
        <w:pStyle w:val="ListParagraph"/>
        <w:numPr>
          <w:ilvl w:val="0"/>
          <w:numId w:val="3"/>
        </w:numPr>
        <w:spacing w:after="80" w:line="264"/>
        <w:jc w:val="both"/>
      </w:pPr>
      <w:r>
        <w:t xml:space="preserve">API (RESTful, XML/JSON): cho BMS/iBMS/CMMS cần truy vấn theo lịch hoặc gần thời gian thực; số đọc cảm biến ánh xạ tới Mã tài sản (DT);</w:t>
      </w:r>
    </w:p>
    <w:p>
      <w:pPr>
        <w:pStyle w:val="ListParagraph"/>
        <w:numPr>
          <w:ilvl w:val="0"/>
          <w:numId w:val="3"/>
        </w:numPr>
        <w:spacing w:after="80" w:line="264"/>
        <w:jc w:val="both"/>
      </w:pPr>
      <w:r>
        <w:t xml:space="preserve">Deep-linking (URL): cho VMS (mở camera) và các giao diện web hệ thống — tương thích trình duyệt di động &amp; máy tính;</w:t>
      </w:r>
    </w:p>
    <w:p>
      <w:pPr>
        <w:pStyle w:val="ListParagraph"/>
        <w:numPr>
          <w:ilvl w:val="0"/>
          <w:numId w:val="3"/>
        </w:numPr>
        <w:spacing w:after="80" w:line="264"/>
        <w:jc w:val="both"/>
      </w:pPr>
      <w:r>
        <w:t xml:space="preserve">Mạng IoT (LPWAN/MQTT/Kafka): cho sensor IoT/DMP; phối hợp đội mạng IoT của CĐT về lắp đặt, giao thức, thử nghiệm;</w:t>
      </w:r>
    </w:p>
    <w:p>
      <w:pPr>
        <w:pStyle w:val="ListParagraph"/>
        <w:numPr>
          <w:ilvl w:val="0"/>
          <w:numId w:val="3"/>
        </w:numPr>
        <w:spacing w:after="80" w:line="264"/>
        <w:jc w:val="both"/>
      </w:pPr>
      <w:r>
        <w:t xml:space="preserve">Telemetry &amp; Event store: lưu lịch sử trạng thái/sự kiện phục vụ dashboard, cảnh báo, bảo trì dự đoán.</w:t>
      </w:r>
    </w:p>
    <w:p>
      <w:pPr>
        <w:pStyle w:val="Heading1"/>
      </w:pPr>
      <w:r>
        <w:t xml:space="preserve">7. Kiểm soát chất lượng &amp; hồ sơ bàn giao tích hợp</w:t>
      </w:r>
    </w:p>
    <w:p>
      <w:pPr>
        <w:spacing w:after="120" w:line="276"/>
        <w:jc w:val="both"/>
      </w:pPr>
      <w:r>
        <w:t xml:space="preserve">Thang phân loại lỗi dùng chung xem HD-00 §7. Kiểm tra riêng cho tích hợp:</w:t>
      </w:r>
    </w:p>
    <w:p>
      <w:pPr>
        <w:spacing w:after="160" w:before="60"/>
        <w:jc w:val="center"/>
      </w:pPr>
      <w:r>
        <w:rPr>
          <w:i/>
          <w:iCs/>
          <w:color w:val="595959"/>
          <w:sz w:val="18"/>
          <w:szCs w:val="18"/>
        </w:rPr>
        <w:t xml:space="preserve">Bảng 3-6 Kiểm tra tích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Nhóm kiểm tra</w:t>
            </w:r>
          </w:p>
        </w:tc>
        <w:tc>
          <w:tcPr>
            <w:tcW w:type="dxa" w:w="6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Tiêu chí đạt</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Định danh</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Mỗi asset có một Mã tài sản (DT) duy nhất; mọi ID tham chiếu mapping về đúng asset.</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Realtime</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Asset có telemetry phải có Device/Point, protocol, đơn vị đo, BMS tag/source address.</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Không gian</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Asset gắn đúng tầng/phòng/zone; camera gắn đúng vùng quan sát.</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Sự kiện</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Event/Incident gắn được về asset/space/zone và bằng chứng (VMS) liên quan.</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Bảo trì</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Asset maintainable có CMMS Asset ID, kế hoạch bảo trì hoặc lý do ngoại lệ.</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Quản trị</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Mọi mapping ID có audit log; dữ liệu có review/approval trước khi go-live.</w:t>
            </w:r>
          </w:p>
        </w:tc>
      </w:tr>
    </w:tbl>
    <w:p>
      <w:pPr>
        <w:spacing w:after="60"/>
      </w:pPr>
      <w:r>
        <w:t xml:space="preserve"/>
      </w:r>
    </w:p>
    <w:p>
      <w:pPr>
        <w:spacing w:after="120" w:line="276"/>
        <w:jc w:val="both"/>
      </w:pPr>
      <w:r>
        <w:rPr>
          <w:i/>
          <w:iCs/>
        </w:rPr>
        <w:t xml:space="preserve">Hồ sơ bàn giao tích hợp gồm: bảng mapping ID trung tâm (HD-00 §6.2), danh mục Device/Point/Gateway, bảng điểm BMS (template Phụ lục H của tài liệu chính), danh mục camera VMS, cấu hình API/deep-link, và biên bản nghiệm thu tích hợp realtime trên DTP.</w:t>
      </w:r>
    </w:p>
    <w:p>
      <w:pPr>
        <w:pStyle w:val="Heading1"/>
      </w:pPr>
      <w:r>
        <w:t xml:space="preserve">8. Lộ trình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60"/>
        <w:gridCol w:w="3300"/>
      </w:tblGrid>
      <w:tr>
        <w:trPr>
          <w:tblHeader/>
        </w:trPr>
        <w:tc>
          <w:tcPr>
            <w:tcW w:type="dxa" w:w="1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Giai đoạn</w:t>
            </w:r>
          </w:p>
        </w:tc>
        <w:tc>
          <w:tcPr>
            <w:tcW w:type="dxa" w:w="46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Phạm vi</w:t>
            </w:r>
          </w:p>
        </w:tc>
        <w:tc>
          <w:tcPr>
            <w:tcW w:type="dxa" w:w="3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Kết quả</w:t>
            </w:r>
          </w:p>
        </w:tc>
      </w:tr>
      <w:tr>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Pilot</w:t>
            </w:r>
          </w:p>
        </w:tc>
        <w:tc>
          <w:tcPr>
            <w:tcW w:type="dxa" w:w="4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1–2 hệ chính (HVAC, PCCC); BMS point mapping mẫu; vài camera VMS</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Overlay trạng thái &amp; camera trên mô hình</w:t>
            </w:r>
          </w:p>
        </w:tc>
      </w:tr>
      <w:tr>
        <w:tc>
          <w:tcPr>
            <w:tcW w:type="dxa" w:w="1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MVP</w:t>
            </w:r>
          </w:p>
        </w:tc>
        <w:tc>
          <w:tcPr>
            <w:tcW w:type="dxa" w:w="46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Mở rộng asset critical; IOC event; CMMS work order; dashboard năng lượng</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Vận hành giám sát–cảnh báo–bảo trì cơ bản</w:t>
            </w:r>
          </w:p>
        </w:tc>
      </w:tr>
      <w:tr>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Scale</w:t>
            </w:r>
          </w:p>
        </w:tc>
        <w:tc>
          <w:tcPr>
            <w:tcW w:type="dxa" w:w="4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Tích hợp đầy đủ BMS/VMS/IOC/CMMS/DMP; bảo trì dự đoán; nhiều công trình</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Trung tâm vận hành số hoá toàn danh mục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tabs>
        <w:tab w:val="center" w:pos="4680"/>
        <w:tab w:val="right" w:pos="9360"/>
      </w:tabs>
    </w:pPr>
    <w:r>
      <w:rPr>
        <w:color w:val="808080"/>
        <w:sz w:val="16"/>
        <w:szCs w:val="16"/>
      </w:rPr>
      <w:t xml:space="preserve">© 2026 Chủ đầu tư (CĐT)</w:t>
    </w:r>
    <w:r>
      <w:rPr>
        <w:color w:val="808080"/>
        <w:sz w:val="16"/>
        <w:szCs w:val="16"/>
      </w:rPr>
      <w:t xml:space="preserve">	Trang </w:t>
    </w:r>
    <w:r>
      <w:rPr>
        <w:color w:val="808080"/>
        <w:sz w:val="16"/>
        <w:szCs w:val="16"/>
      </w:rPr>
      <w:fldChar w:fldCharType="begin"/>
      <w:instrText xml:space="preserve">PAGE</w:instrText>
      <w:fldChar w:fldCharType="separate"/>
      <w:fldChar w:fldCharType="end"/>
    </w:r>
    <w:r>
      <w:rPr>
        <w:color w:val="808080"/>
        <w:sz w:val="16"/>
        <w:szCs w:val="16"/>
      </w:rPr>
      <w:t xml:space="preserve">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360"/>
      </w:tabs>
    </w:pPr>
    <w:r>
      <w:rPr>
        <w:color w:val="808080"/>
        <w:sz w:val="16"/>
        <w:szCs w:val="16"/>
      </w:rPr>
      <w:t xml:space="preserve">HD-03 — Tích hợp BMS/VMS/IOC/CMMS</w:t>
    </w:r>
    <w:r>
      <w:rPr>
        <w:color w:val="808080"/>
        <w:sz w:val="16"/>
        <w:szCs w:val="16"/>
      </w:rPr>
      <w:t xml:space="preserve">	Bộ hướng dẫn BIM Pipeline → Digital Twin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HD-03 — Tích hợp BMS/VMS/IOC/CMMS</dc:title>
  <dc:creator>Chủ đầu tư (CĐT)</dc:creator>
  <cp:lastModifiedBy>Un-named</cp:lastModifiedBy>
  <cp:revision>1</cp:revision>
  <dcterms:created xsi:type="dcterms:W3CDTF">2026-06-10T05:37:15.018Z</dcterms:created>
  <dcterms:modified xsi:type="dcterms:W3CDTF">2026-06-10T05:37:15.018Z</dcterms:modified>
</cp:coreProperties>
</file>

<file path=docProps/custom.xml><?xml version="1.0" encoding="utf-8"?>
<Properties xmlns="http://schemas.openxmlformats.org/officeDocument/2006/custom-properties" xmlns:vt="http://schemas.openxmlformats.org/officeDocument/2006/docPropsVTypes"/>
</file>