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rPr>
          <w:b/>
          <w:bCs/>
          <w:color w:val="2E75B6"/>
          <w:sz w:val="26"/>
          <w:szCs w:val="26"/>
        </w:rPr>
        <w:t xml:space="preserve">BỘ HƯỚNG DẪN CHUYỂN ĐỔI BIM PIPELINE SANG DIGITAL TWIN</w:t>
      </w:r>
    </w:p>
    <w:p>
      <w:pPr>
        <w:spacing w:after="0" w:before="60"/>
        <w:jc w:val="center"/>
      </w:pPr>
      <w:r>
        <w:rPr>
          <w:i/>
          <w:iCs/>
          <w:color w:val="595959"/>
          <w:sz w:val="20"/>
          <w:szCs w:val="20"/>
        </w:rPr>
        <w:t xml:space="preserve">(Bộ tài liệu phụ trợ Quy định BIM–AM / Digital Twin của Chủ đầu tư)</w:t>
      </w:r>
    </w:p>
    <w:p>
      <w:pPr>
        <w:spacing w:after="0" w:before="560"/>
        <w:jc w:val="center"/>
      </w:pPr>
      <w:r>
        <w:rPr>
          <w:b/>
          <w:bCs/>
          <w:color w:val="404040"/>
          <w:sz w:val="34"/>
          <w:szCs w:val="34"/>
        </w:rPr>
        <w:t xml:space="preserve">HD-05</w:t>
      </w:r>
    </w:p>
    <w:p>
      <w:pPr>
        <w:spacing w:after="0" w:before="140"/>
        <w:jc w:val="center"/>
      </w:pPr>
      <w:r>
        <w:rPr>
          <w:b/>
          <w:bCs/>
          <w:color w:val="1F3864"/>
          <w:sz w:val="42"/>
          <w:szCs w:val="42"/>
        </w:rPr>
        <w:t xml:space="preserve">TIÊU CHUẨN ĐỐI CHIẾU</w:t>
      </w:r>
    </w:p>
    <w:p>
      <w:pPr>
        <w:spacing w:before="140"/>
        <w:jc w:val="center"/>
      </w:pPr>
      <w:r>
        <w:rPr>
          <w:color w:val="404040"/>
          <w:sz w:val="24"/>
          <w:szCs w:val="24"/>
        </w:rPr>
        <w:t xml:space="preserve">TCVN 14177 · ISO 19650 · OpenBIM · Uniclass · OmniClass</w:t>
      </w:r>
    </w:p>
    <w:p>
      <w:pPr>
        <w:pBdr>
          <w:top w:val="single" w:color="2E75B6" w:sz="8" w:space="8"/>
        </w:pBdr>
        <w:spacing w:before="1400"/>
        <w:jc w:val="center"/>
      </w:pPr>
      <w:r>
        <w:rPr>
          <w:b/>
          <w:bCs/>
          <w:color w:val="1F3864"/>
          <w:sz w:val="22"/>
          <w:szCs w:val="22"/>
        </w:rPr>
        <w:t xml:space="preserve">Mã tài liệu DT-HD-05  •  Phiên bản 1.0  •  2026</w:t>
      </w:r>
    </w:p>
    <w:p>
      <w:r>
        <w:br w:type="page"/>
      </w:r>
    </w:p>
    <w:p>
      <w:pPr>
        <w:pStyle w:val="Heading1"/>
      </w:pPr>
      <w:r>
        <w:t xml:space="preserve">Kiểm soát tài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Thông tin</w:t>
            </w:r>
          </w:p>
        </w:tc>
        <w:tc>
          <w:tcPr>
            <w:tcW w:type="dxa" w:w="67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Nội dung</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Mã tài liệu</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DT-HD-05</w:t>
            </w:r>
          </w:p>
        </w:tc>
      </w:tr>
      <w:tr>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Tên tài liệu</w:t>
            </w:r>
          </w:p>
        </w:tc>
        <w:tc>
          <w:tcPr>
            <w:tcW w:type="dxa" w:w="6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Cơ sở tiêu chuẩn &amp; nguyên tắc áp dụng cho BIM Pipeline chuyển giao sang Digital Twin</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Phiên bản</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1.0</w:t>
            </w:r>
          </w:p>
        </w:tc>
      </w:tr>
      <w:tr>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Ngày phát hành</w:t>
            </w:r>
          </w:p>
        </w:tc>
        <w:tc>
          <w:tcPr>
            <w:tcW w:type="dxa" w:w="6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Tháng 6 năm 2026</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Trạng thái</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Bản phát hành nội bộ</w:t>
            </w:r>
          </w:p>
        </w:tc>
      </w:tr>
      <w:tr>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Đơn vị áp dụng</w:t>
            </w:r>
          </w:p>
        </w:tc>
        <w:tc>
          <w:tcPr>
            <w:tcW w:type="dxa" w:w="6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Chủ đầu tư (CĐT) — Digital Twin Platform</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Quan hệ tài liệu</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Phụ trợ Quy định BIM–AM / Digital Twin (tài liệu chính) và các Phụ lục A–I; dùng chung quy ước tại HD-00.</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4060"/>
        <w:gridCol w:w="2400"/>
      </w:tblGrid>
      <w:tr>
        <w:trPr>
          <w:tblHeader/>
        </w:trPr>
        <w:tc>
          <w:tcPr>
            <w:tcW w:type="dxa" w:w="15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Phiên bản</w:t>
            </w:r>
          </w:p>
        </w:tc>
        <w:tc>
          <w:tcPr>
            <w:tcW w:type="dxa" w:w="14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Ngày</w:t>
            </w:r>
          </w:p>
        </w:tc>
        <w:tc>
          <w:tcPr>
            <w:tcW w:type="dxa" w:w="40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Nội dung thay đổi</w:t>
            </w:r>
          </w:p>
        </w:tc>
        <w:tc>
          <w:tcPr>
            <w:tcW w:type="dxa" w:w="24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Đơn vị thực hiện</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1.0</w:t>
            </w:r>
          </w:p>
        </w:tc>
        <w:tc>
          <w:tcPr>
            <w:tcW w:type="dxa" w:w="1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06/2026</w:t>
            </w:r>
          </w:p>
        </w:tc>
        <w:tc>
          <w:tcPr>
            <w:tcW w:type="dxa" w:w="40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Phát hành lần đầu (đã rà soát, loại trùng lặp, chuẩn hoá toàn bộ).</w:t>
            </w:r>
          </w:p>
        </w:tc>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CĐT — Digital Twin Platform</w:t>
            </w:r>
          </w:p>
        </w:tc>
      </w:tr>
    </w:tbl>
    <w:p>
      <w:pPr>
        <w:spacing w:after="60"/>
      </w:pPr>
      <w:r>
        <w:t xml:space="preserve"/>
      </w:r>
    </w:p>
    <w:p>
      <w:pPr>
        <w:spacing w:after="200"/>
      </w:pPr>
      <w:r>
        <w:rPr>
          <w:b/>
          <w:bCs/>
          <w:color w:val="1F3864"/>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Cấu trúc bộ hướng dẫn</w:t>
      </w:r>
    </w:p>
    <w:p>
      <w:pPr>
        <w:spacing w:after="120" w:line="276"/>
        <w:jc w:val="both"/>
      </w:pPr>
      <w:r>
        <w:t xml:space="preserve">Bộ hướng dẫn gồm sáu tài liệu. Tài liệu HD-00 chứa các quy ước dùng chung (thuật ngữ, sơ đồ pipeline, chuỗi yêu cầu thông tin, mapping ID trung tâm, phân loại lỗi &amp; nghiệm thu, RACI, data dictionary). Các tài liệu HD-01 đến HD-05 tham chiếu HD-00 và không lặp lại các nội dung dùng chung đó.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260"/>
        <w:gridCol w:w="1800"/>
      </w:tblGrid>
      <w:tr>
        <w:trPr>
          <w:tblHeader/>
        </w:trPr>
        <w:tc>
          <w:tcPr>
            <w:tcW w:type="dxa" w:w="13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Mã</w:t>
            </w:r>
          </w:p>
        </w:tc>
        <w:tc>
          <w:tcPr>
            <w:tcW w:type="dxa" w:w="62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Nội dung</w:t>
            </w:r>
          </w:p>
        </w:tc>
        <w:tc>
          <w:tcPr>
            <w:tcW w:type="dxa" w:w="18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HD-00</w:t>
            </w:r>
          </w:p>
        </w:tc>
        <w:tc>
          <w:tcPr>
            <w:tcW w:type="dxa" w:w="6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Tổng quan &amp; Quy ước chung</w:t>
            </w:r>
          </w:p>
        </w:tc>
        <w:tc>
          <w:tcPr>
            <w:tcW w:type="dxa" w:w="1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
            </w:r>
          </w:p>
        </w:tc>
      </w:tr>
      <w:tr>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HD-01</w:t>
            </w:r>
          </w:p>
        </w:tc>
        <w:tc>
          <w:tcPr>
            <w:tcW w:type="dxa" w:w="62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File IFC</w:t>
            </w:r>
          </w:p>
        </w:tc>
        <w:tc>
          <w:tcPr>
            <w:tcW w:type="dxa" w:w="1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HD-02</w:t>
            </w:r>
          </w:p>
        </w:tc>
        <w:tc>
          <w:tcPr>
            <w:tcW w:type="dxa" w:w="6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COBie</w:t>
            </w:r>
          </w:p>
        </w:tc>
        <w:tc>
          <w:tcPr>
            <w:tcW w:type="dxa" w:w="1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
            </w:r>
          </w:p>
        </w:tc>
      </w:tr>
      <w:tr>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HD-03</w:t>
            </w:r>
          </w:p>
        </w:tc>
        <w:tc>
          <w:tcPr>
            <w:tcW w:type="dxa" w:w="62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Tích hợp BMS·VMS·IOC·CMMS</w:t>
            </w:r>
          </w:p>
        </w:tc>
        <w:tc>
          <w:tcPr>
            <w:tcW w:type="dxa" w:w="1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HD-04</w:t>
            </w:r>
          </w:p>
        </w:tc>
        <w:tc>
          <w:tcPr>
            <w:tcW w:type="dxa" w:w="6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Metadata &amp; Mapping thông tin</w:t>
            </w:r>
          </w:p>
        </w:tc>
        <w:tc>
          <w:tcPr>
            <w:tcW w:type="dxa" w:w="1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
            </w:r>
          </w:p>
        </w:tc>
      </w:tr>
      <w:tr>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HD-05</w:t>
            </w:r>
          </w:p>
        </w:tc>
        <w:tc>
          <w:tcPr>
            <w:tcW w:type="dxa" w:w="62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Tiêu chuẩn đối chiếu</w:t>
            </w:r>
          </w:p>
        </w:tc>
        <w:tc>
          <w:tcPr>
            <w:tcW w:type="dxa" w:w="1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  (tài liệu này)</w:t>
            </w:r>
          </w:p>
        </w:tc>
      </w:tr>
    </w:tbl>
    <w:p>
      <w:pPr>
        <w:spacing w:after="60"/>
      </w:pPr>
      <w:r>
        <w:t xml:space="preserve"/>
      </w:r>
    </w:p>
    <w:p>
      <w:pPr>
        <w:pStyle w:val="Heading1"/>
      </w:pPr>
      <w:r>
        <w:t xml:space="preserve">1. Mục đích &amp; phạm vi</w:t>
      </w:r>
    </w:p>
    <w:p>
      <w:pPr>
        <w:spacing w:after="120" w:line="276"/>
        <w:jc w:val="both"/>
      </w:pPr>
      <w:r>
        <w:t xml:space="preserve">Tài liệu là cơ sở tiêu chuẩn cho toàn bộ BIM Pipeline chuyển giao sang Digital Twin của CĐT, áp dụng cho tiếp nhận, kiểm tra, chuẩn hoá, chuyển đổi và publish dữ liệu BIM sang nền tảng. Đây là lớp tiêu chuẩn nền cho các tài liệu HD-01 đến HD-04, đồng bộ với Quy định BIM–AM (tài liệu chính) — vốn đã tham chiếu ISO 19650, COBie/COBieLite, IFC4 và OmniClass.</w:t>
      </w:r>
    </w:p>
    <w:p>
      <w:pPr>
        <w:spacing w:after="120" w:line="276"/>
        <w:jc w:val="both"/>
      </w:pPr>
      <w:r>
        <w:t xml:space="preserve">Tài liệu này là “nhà” của tiêu chí nghiệm thu theo tiêu chuẩn. Thang phân loại lỗi dùng chung và chuỗi yêu cầu thông tin xem HD-00 (§7 và §4).</w:t>
      </w:r>
    </w:p>
    <w:p>
      <w:pPr>
        <w:pStyle w:val="Heading1"/>
      </w:pPr>
      <w:r>
        <w:t xml:space="preserve">2. Cơ sở tiêu chuẩn áp dụng</w:t>
      </w:r>
    </w:p>
    <w:p>
      <w:pPr>
        <w:spacing w:after="160" w:before="60"/>
        <w:jc w:val="center"/>
      </w:pPr>
      <w:r>
        <w:rPr>
          <w:i/>
          <w:iCs/>
          <w:color w:val="595959"/>
          <w:sz w:val="18"/>
          <w:szCs w:val="18"/>
        </w:rPr>
        <w:t xml:space="preserve">Bảng 5-1 Tiêu chuẩn &amp; mức áp dụng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4760"/>
        <w:gridCol w:w="2300"/>
      </w:tblGrid>
      <w:tr>
        <w:trPr>
          <w:tblHeader/>
        </w:trPr>
        <w:tc>
          <w:tcPr>
            <w:tcW w:type="dxa" w:w="23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Tiêu chuẩn</w:t>
            </w:r>
          </w:p>
        </w:tc>
        <w:tc>
          <w:tcPr>
            <w:tcW w:type="dxa" w:w="47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Vai trò trong pipeline</w:t>
            </w:r>
          </w:p>
        </w:tc>
        <w:tc>
          <w:tcPr>
            <w:tcW w:type="dxa" w:w="23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Mức áp dụng</w:t>
            </w:r>
          </w:p>
        </w:tc>
      </w:tr>
      <w:tr>
        <w:tc>
          <w:tcPr>
            <w:tcW w:type="dxa" w:w="2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TCVN 14177-1:2024</w:t>
            </w:r>
          </w:p>
        </w:tc>
        <w:tc>
          <w:tcPr>
            <w:tcW w:type="dxa" w:w="4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Khái niệm &amp; nguyên tắc quản lý thông tin dùng BIM; toàn vòng đời tài sản.</w:t>
            </w:r>
          </w:p>
        </w:tc>
        <w:tc>
          <w:tcPr>
            <w:tcW w:type="dxa" w:w="2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Bắt buộc tham chiếu (dự án tại Việt Nam)</w:t>
            </w:r>
          </w:p>
        </w:tc>
      </w:tr>
      <w:tr>
        <w:tc>
          <w:tcPr>
            <w:tcW w:type="dxa" w:w="2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TCVN 14177-2:2024</w:t>
            </w:r>
          </w:p>
        </w:tc>
        <w:tc>
          <w:tcPr>
            <w:tcW w:type="dxa" w:w="4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Yêu cầu quản lý thông tin trong giai đoạn chuyển giao tài sản.</w:t>
            </w:r>
          </w:p>
        </w:tc>
        <w:tc>
          <w:tcPr>
            <w:tcW w:type="dxa" w:w="2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Bắt buộc tham chiếu (giai đoạn bàn giao)</w:t>
            </w:r>
          </w:p>
        </w:tc>
      </w:tr>
      <w:tr>
        <w:tc>
          <w:tcPr>
            <w:tcW w:type="dxa" w:w="2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ISO 19650-1:2018</w:t>
            </w:r>
          </w:p>
        </w:tc>
        <w:tc>
          <w:tcPr>
            <w:tcW w:type="dxa" w:w="4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Khung khái niệm &amp; nguyên tắc quản lý thông tin theo BIM.</w:t>
            </w:r>
          </w:p>
        </w:tc>
        <w:tc>
          <w:tcPr>
            <w:tcW w:type="dxa" w:w="2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Áp dụng song hành</w:t>
            </w:r>
          </w:p>
        </w:tc>
      </w:tr>
      <w:tr>
        <w:tc>
          <w:tcPr>
            <w:tcW w:type="dxa" w:w="2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ISO 19650-2:2018</w:t>
            </w:r>
          </w:p>
        </w:tc>
        <w:tc>
          <w:tcPr>
            <w:tcW w:type="dxa" w:w="4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Quản lý thông tin giai đoạn chuyển giao dự án/tài sản.</w:t>
            </w:r>
          </w:p>
        </w:tc>
        <w:tc>
          <w:tcPr>
            <w:tcW w:type="dxa" w:w="2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Áp dụng song hành</w:t>
            </w:r>
          </w:p>
        </w:tc>
      </w:tr>
      <w:tr>
        <w:tc>
          <w:tcPr>
            <w:tcW w:type="dxa" w:w="2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OpenBIM</w:t>
            </w:r>
          </w:p>
        </w:tc>
        <w:tc>
          <w:tcPr>
            <w:tcW w:type="dxa" w:w="4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Trao đổi dữ liệu mở, giảm phụ thuộc phần mềm gốc.</w:t>
            </w:r>
          </w:p>
        </w:tc>
        <w:tc>
          <w:tcPr>
            <w:tcW w:type="dxa" w:w="2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Bắt buộc về định hướng</w:t>
            </w:r>
          </w:p>
        </w:tc>
      </w:tr>
      <w:tr>
        <w:tc>
          <w:tcPr>
            <w:tcW w:type="dxa" w:w="2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IFC (IFC4/IFC4.3)</w:t>
            </w:r>
          </w:p>
        </w:tc>
        <w:tc>
          <w:tcPr>
            <w:tcW w:type="dxa" w:w="4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Định dạng mở trao đổi mô hình, object, quan hệ, metadata.</w:t>
            </w:r>
          </w:p>
        </w:tc>
        <w:tc>
          <w:tcPr>
            <w:tcW w:type="dxa" w:w="2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Bắt buộc / ưu tiên</w:t>
            </w:r>
          </w:p>
        </w:tc>
      </w:tr>
      <w:tr>
        <w:tc>
          <w:tcPr>
            <w:tcW w:type="dxa" w:w="2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IDS</w:t>
            </w:r>
          </w:p>
        </w:tc>
        <w:tc>
          <w:tcPr>
            <w:tcW w:type="dxa" w:w="4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Định nghĩa yêu cầu thông tin ở dạng kiểm tra tự động được.</w:t>
            </w:r>
          </w:p>
        </w:tc>
        <w:tc>
          <w:tcPr>
            <w:tcW w:type="dxa" w:w="2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Khuyến nghị mạnh</w:t>
            </w:r>
          </w:p>
        </w:tc>
      </w:tr>
      <w:tr>
        <w:tc>
          <w:tcPr>
            <w:tcW w:type="dxa" w:w="2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BCF</w:t>
            </w:r>
          </w:p>
        </w:tc>
        <w:tc>
          <w:tcPr>
            <w:tcW w:type="dxa" w:w="4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Quản lý issue/lỗi mô hình gắn viewpoint &amp; đối tượng.</w:t>
            </w:r>
          </w:p>
        </w:tc>
        <w:tc>
          <w:tcPr>
            <w:tcW w:type="dxa" w:w="2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Khuyến nghị</w:t>
            </w:r>
          </w:p>
        </w:tc>
      </w:tr>
      <w:tr>
        <w:tc>
          <w:tcPr>
            <w:tcW w:type="dxa" w:w="2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bSDD</w:t>
            </w:r>
          </w:p>
        </w:tc>
        <w:tc>
          <w:tcPr>
            <w:tcW w:type="dxa" w:w="4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Từ điển dữ liệu chuẩn hoá thuật ngữ, property, classification.</w:t>
            </w:r>
          </w:p>
        </w:tc>
        <w:tc>
          <w:tcPr>
            <w:tcW w:type="dxa" w:w="2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Khuyến nghị</w:t>
            </w:r>
          </w:p>
        </w:tc>
      </w:tr>
      <w:tr>
        <w:tc>
          <w:tcPr>
            <w:tcW w:type="dxa" w:w="2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Uniclass</w:t>
            </w:r>
          </w:p>
        </w:tc>
        <w:tc>
          <w:tcPr>
            <w:tcW w:type="dxa" w:w="4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Hệ phân loại thống nhất công trình/không gian/hệ thống/sản phẩm.</w:t>
            </w:r>
          </w:p>
        </w:tc>
        <w:tc>
          <w:tcPr>
            <w:tcW w:type="dxa" w:w="2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Tuỳ dự án, khuyến nghị</w:t>
            </w:r>
          </w:p>
        </w:tc>
      </w:tr>
      <w:tr>
        <w:tc>
          <w:tcPr>
            <w:tcW w:type="dxa" w:w="2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OmniClass</w:t>
            </w:r>
          </w:p>
        </w:tc>
        <w:tc>
          <w:tcPr>
            <w:tcW w:type="dxa" w:w="4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Hệ phân loại AEC Bắc Mỹ (15 bảng); thường gặp trong Revit/COBie/FM.</w:t>
            </w:r>
          </w:p>
        </w:tc>
        <w:tc>
          <w:tcPr>
            <w:tcW w:type="dxa" w:w="2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Tuỳ dự án, khuyến nghị</w:t>
            </w:r>
          </w:p>
        </w:tc>
      </w:tr>
    </w:tbl>
    <w:p>
      <w:pPr>
        <w:spacing w:after="60"/>
      </w:pPr>
      <w:r>
        <w:t xml:space="preserve"/>
      </w:r>
    </w:p>
    <w:p>
      <w:pPr>
        <w:pStyle w:val="Heading1"/>
      </w:pPr>
      <w:r>
        <w:t xml:space="preserve">3. Nguyên tắc áp dụng tiêu chuẩn</w:t>
      </w:r>
    </w:p>
    <w:p>
      <w:pPr>
        <w:spacing w:after="120" w:line="276"/>
        <w:jc w:val="both"/>
      </w:pPr>
      <w:r>
        <w:t xml:space="preserve">Chuỗi yêu cầu thông tin (OIR → AIR → PIR → EIR → BEP → PIM → AIM → Digital Twin) là nội dung dùng chung — xem HD-00 §4. Hai nguyên tắc nền:</w:t>
      </w:r>
    </w:p>
    <w:p>
      <w:pPr>
        <w:pStyle w:val="ListParagraph"/>
        <w:numPr>
          <w:ilvl w:val="0"/>
          <w:numId w:val="2"/>
        </w:numPr>
        <w:spacing w:after="80" w:line="264"/>
        <w:jc w:val="both"/>
      </w:pPr>
      <w:r>
        <w:t xml:space="preserve">BIM Pipeline phục vụ quản lý thông tin, không chỉ mô hình 3D: phải đủ bốn lớp (hình học, không gian, tài sản, dữ liệu vận hành);</w:t>
      </w:r>
    </w:p>
    <w:p>
      <w:pPr>
        <w:pStyle w:val="ListParagraph"/>
        <w:numPr>
          <w:ilvl w:val="0"/>
          <w:numId w:val="2"/>
        </w:numPr>
        <w:spacing w:after="80" w:line="264"/>
        <w:jc w:val="both"/>
      </w:pPr>
      <w:r>
        <w:t xml:space="preserve">Ưu tiên chuẩn mở (IFC, IDS, BCF, bSDD, COBie) để giảm phụ thuộc phần mềm; yêu cầu thông tin phải được xác định trước khi bàn giao, mỗi yêu cầu có tiêu chí kiểm tra tương ứng.</w:t>
      </w:r>
    </w:p>
    <w:p>
      <w:pPr>
        <w:pStyle w:val="Heading1"/>
      </w:pPr>
      <w:r>
        <w:t xml:space="preserve">4. Áp dụng TCVN 14177 &amp; ISO 19650</w:t>
      </w:r>
    </w:p>
    <w:p>
      <w:pPr>
        <w:spacing w:after="120" w:line="276"/>
        <w:jc w:val="both"/>
      </w:pPr>
      <w:r>
        <w:t xml:space="preserve">Dùng làm khung quản lý thông tin: tổ chức container thông tin, quy trình trao đổi, kiểm soát trạng thái/phiên bản/phê duyệt và hình thành AIM từ PIM. Đồng bộ với CDE bốn trạng thái (WIP → Shared → Published → Archived) tại Mục 8 tài liệu chính.</w:t>
      </w:r>
    </w:p>
    <w:p>
      <w:pPr>
        <w:spacing w:after="160" w:before="60"/>
        <w:jc w:val="center"/>
      </w:pPr>
      <w:r>
        <w:rPr>
          <w:i/>
          <w:iCs/>
          <w:color w:val="595959"/>
          <w:sz w:val="18"/>
          <w:szCs w:val="18"/>
        </w:rPr>
        <w:t xml:space="preserve">Bảng 5-2 Trường quản lý container thông tin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rPr>
          <w:tblHeader/>
        </w:trPr>
        <w:tc>
          <w:tcPr>
            <w:tcW w:type="dxa" w:w="24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Trường</w:t>
            </w:r>
          </w:p>
        </w:tc>
        <w:tc>
          <w:tcPr>
            <w:tcW w:type="dxa" w:w="45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Ý nghĩa</w:t>
            </w:r>
          </w:p>
        </w:tc>
        <w:tc>
          <w:tcPr>
            <w:tcW w:type="dxa" w:w="24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Bắt buộc</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ContainerID</w:t>
            </w:r>
          </w:p>
        </w:tc>
        <w:tc>
          <w:tcPr>
            <w:tcW w:type="dxa" w:w="45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Mã định danh gói thông tin</w:t>
            </w:r>
          </w:p>
        </w:tc>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Có</w:t>
            </w:r>
          </w:p>
        </w:tc>
      </w:tr>
      <w:tr>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ProjectCode / BuildingCode</w:t>
            </w:r>
          </w:p>
        </w:tc>
        <w:tc>
          <w:tcPr>
            <w:tcW w:type="dxa" w:w="45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Mã dự án / công trình</w:t>
            </w:r>
          </w:p>
        </w:tc>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Có</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Discipline</w:t>
            </w:r>
          </w:p>
        </w:tc>
        <w:tc>
          <w:tcPr>
            <w:tcW w:type="dxa" w:w="45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Bộ môn (ARC, STR, HVAC, EL, FS, ELV…)</w:t>
            </w:r>
          </w:p>
        </w:tc>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Có</w:t>
            </w:r>
          </w:p>
        </w:tc>
      </w:tr>
      <w:tr>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InformationType</w:t>
            </w:r>
          </w:p>
        </w:tc>
        <w:tc>
          <w:tcPr>
            <w:tcW w:type="dxa" w:w="45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Model, Drawing, AssetData, Manual, Report, API Package</w:t>
            </w:r>
          </w:p>
        </w:tc>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Có</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Status</w:t>
            </w:r>
          </w:p>
        </w:tc>
        <w:tc>
          <w:tcPr>
            <w:tcW w:type="dxa" w:w="45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WIP, Shared, Published, Archived</w:t>
            </w:r>
          </w:p>
        </w:tc>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Có</w:t>
            </w:r>
          </w:p>
        </w:tc>
      </w:tr>
      <w:tr>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Revision</w:t>
            </w:r>
          </w:p>
        </w:tc>
        <w:tc>
          <w:tcPr>
            <w:tcW w:type="dxa" w:w="45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Phiên bản</w:t>
            </w:r>
          </w:p>
        </w:tc>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Có</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CreatedBy / ApprovedBy</w:t>
            </w:r>
          </w:p>
        </w:tc>
        <w:tc>
          <w:tcPr>
            <w:tcW w:type="dxa" w:w="45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Người tạo / phê duyệt</w:t>
            </w:r>
          </w:p>
        </w:tc>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Có (ApprovedBy khi publish)</w:t>
            </w:r>
          </w:p>
        </w:tc>
      </w:tr>
      <w:tr>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IssueDate / CheckResult</w:t>
            </w:r>
          </w:p>
        </w:tc>
        <w:tc>
          <w:tcPr>
            <w:tcW w:type="dxa" w:w="45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Ngày phát hành / kết quả kiểm tra</w:t>
            </w:r>
          </w:p>
        </w:tc>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Có</w:t>
            </w:r>
          </w:p>
        </w:tc>
      </w:tr>
    </w:tbl>
    <w:p>
      <w:pPr>
        <w:spacing w:after="60"/>
      </w:pPr>
      <w:r>
        <w:t xml:space="preserve"/>
      </w:r>
    </w:p>
    <w:p>
      <w:pPr>
        <w:spacing w:after="160" w:before="60"/>
        <w:jc w:val="center"/>
      </w:pPr>
      <w:r>
        <w:rPr>
          <w:i/>
          <w:iCs/>
          <w:color w:val="595959"/>
          <w:sz w:val="18"/>
          <w:szCs w:val="18"/>
        </w:rPr>
        <w:t xml:space="preserve">Bảng 5-3 Chuyển đổi PIM → 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Từ PIM (dự án)</w:t>
            </w:r>
          </w:p>
        </w:tc>
        <w:tc>
          <w:tcPr>
            <w:tcW w:type="dxa" w:w="59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Sang AIM / Digital Twin</w:t>
            </w:r>
          </w:p>
        </w:tc>
      </w:tr>
      <w:tr>
        <w:tc>
          <w:tcPr>
            <w:tcW w:type="dxa" w:w="3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Mô hình thiết kế/thi công</w:t>
            </w:r>
          </w:p>
        </w:tc>
        <w:tc>
          <w:tcPr>
            <w:tcW w:type="dxa" w:w="59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Mô hình hoàn công đã kiểm tra, chuẩn hoá, publish</w:t>
            </w:r>
          </w:p>
        </w:tc>
      </w:tr>
      <w:tr>
        <w:tc>
          <w:tcPr>
            <w:tcW w:type="dxa" w:w="3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Đối tượng BIM</w:t>
            </w:r>
          </w:p>
        </w:tc>
        <w:tc>
          <w:tcPr>
            <w:tcW w:type="dxa" w:w="59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Asset vận hành có Mã tài sản (DT) &amp; metadata</w:t>
            </w:r>
          </w:p>
        </w:tc>
      </w:tr>
      <w:tr>
        <w:tc>
          <w:tcPr>
            <w:tcW w:type="dxa" w:w="3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Room/Space</w:t>
            </w:r>
          </w:p>
        </w:tc>
        <w:tc>
          <w:tcPr>
            <w:tcW w:type="dxa" w:w="59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Không gian vận hành: Floor, Room, Space, Zone</w:t>
            </w:r>
          </w:p>
        </w:tc>
      </w:tr>
      <w:tr>
        <w:tc>
          <w:tcPr>
            <w:tcW w:type="dxa" w:w="3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Type/Family → Instance</w:t>
            </w:r>
          </w:p>
        </w:tc>
        <w:tc>
          <w:tcPr>
            <w:tcW w:type="dxa" w:w="59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Asset Type → thiết bị cụ thể (serial/model/manufacturer)</w:t>
            </w:r>
          </w:p>
        </w:tc>
      </w:tr>
      <w:tr>
        <w:tc>
          <w:tcPr>
            <w:tcW w:type="dxa" w:w="3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System</w:t>
            </w:r>
          </w:p>
        </w:tc>
        <w:tc>
          <w:tcPr>
            <w:tcW w:type="dxa" w:w="59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Hệ kỹ thuật vận hành (Mục 5.5)</w:t>
            </w:r>
          </w:p>
        </w:tc>
      </w:tr>
      <w:tr>
        <w:tc>
          <w:tcPr>
            <w:tcW w:type="dxa" w:w="3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Parameter</w:t>
            </w:r>
          </w:p>
        </w:tc>
        <w:tc>
          <w:tcPr>
            <w:tcW w:type="dxa" w:w="59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Metadata tài sản DT.* phục vụ vận hành &amp; tích hợp</w:t>
            </w:r>
          </w:p>
        </w:tc>
      </w:tr>
      <w:tr>
        <w:tc>
          <w:tcPr>
            <w:tcW w:type="dxa" w:w="3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As-built model</w:t>
            </w:r>
          </w:p>
        </w:tc>
        <w:tc>
          <w:tcPr>
            <w:tcW w:type="dxa" w:w="59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Nguồn dữ liệu khởi tạo Digital Twin</w:t>
            </w:r>
          </w:p>
        </w:tc>
      </w:tr>
    </w:tbl>
    <w:p>
      <w:pPr>
        <w:spacing w:after="60"/>
      </w:pPr>
      <w:r>
        <w:t xml:space="preserve"/>
      </w:r>
    </w:p>
    <w:p>
      <w:pPr>
        <w:pStyle w:val="Heading1"/>
      </w:pPr>
      <w:r>
        <w:t xml:space="preserve">5. Áp dụng OpenBIM (IFC · IDS · BCF · bSDD)</w:t>
      </w:r>
    </w:p>
    <w:p>
      <w:pPr>
        <w:spacing w:after="120" w:line="276"/>
        <w:jc w:val="both"/>
      </w:pPr>
      <w:r>
        <w:t xml:space="preserve">OpenBIM bảo đảm dữ liệu trao đổi được giữa phần mềm/tổ chức/giai đoạn và cho phép tự động hoá xử lý. Quy định: ưu tiên IFC cho mô hình (chi tiết tại HD-01); dùng IDS để chuyển EIR/AIR thành rule kiểm tra tự động; dùng BCF/issue log (gắn IFC GlobalId) để phản hồi lỗi; dùng bSDD/Data Dictionary nội bộ để chuẩn hoá thuật ngữ.</w:t>
      </w:r>
    </w:p>
    <w:p>
      <w:pPr>
        <w:spacing w:after="160" w:before="60"/>
        <w:jc w:val="center"/>
      </w:pPr>
      <w:r>
        <w:rPr>
          <w:i/>
          <w:iCs/>
          <w:color w:val="595959"/>
          <w:sz w:val="18"/>
          <w:szCs w:val="18"/>
        </w:rPr>
        <w:t xml:space="preserve">Bảng 5-4 Ví dụ yêu cầu IDS cho asset AHU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Nhóm kiểm tra IDS</w:t>
            </w:r>
          </w:p>
        </w:tc>
        <w:tc>
          <w:tcPr>
            <w:tcW w:type="dxa" w:w="59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Yêu cầu</w:t>
            </w:r>
          </w:p>
        </w:tc>
      </w:tr>
      <w:tr>
        <w:tc>
          <w:tcPr>
            <w:tcW w:type="dxa" w:w="3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Entity</w:t>
            </w:r>
          </w:p>
        </w:tc>
        <w:tc>
          <w:tcPr>
            <w:tcW w:type="dxa" w:w="59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IfcUnitaryEquipment hoặc entity đã được dự án phê duyệt</w:t>
            </w:r>
          </w:p>
        </w:tc>
      </w:tr>
      <w:tr>
        <w:tc>
          <w:tcPr>
            <w:tcW w:type="dxa" w:w="3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Classification</w:t>
            </w:r>
          </w:p>
        </w:tc>
        <w:tc>
          <w:tcPr>
            <w:tcW w:type="dxa" w:w="59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Có mã Uniclass/OmniClass hoặc mã phân loại nội bộ DT</w:t>
            </w:r>
          </w:p>
        </w:tc>
      </w:tr>
      <w:tr>
        <w:tc>
          <w:tcPr>
            <w:tcW w:type="dxa" w:w="3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Mã tài sản (DT) / SystemCode / LocationCode</w:t>
            </w:r>
          </w:p>
        </w:tc>
        <w:tc>
          <w:tcPr>
            <w:tcW w:type="dxa" w:w="59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Bắt buộc</w:t>
            </w:r>
          </w:p>
        </w:tc>
      </w:tr>
      <w:tr>
        <w:tc>
          <w:tcPr>
            <w:tcW w:type="dxa" w:w="3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Manufacturer / ModelNumber</w:t>
            </w:r>
          </w:p>
        </w:tc>
        <w:tc>
          <w:tcPr>
            <w:tcW w:type="dxa" w:w="59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Bắt buộc</w:t>
            </w:r>
          </w:p>
        </w:tc>
      </w:tr>
      <w:tr>
        <w:tc>
          <w:tcPr>
            <w:tcW w:type="dxa" w:w="3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SerialNumber</w:t>
            </w:r>
          </w:p>
        </w:tc>
        <w:tc>
          <w:tcPr>
            <w:tcW w:type="dxa" w:w="59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Bắt buộc khi đã lắp đặt/hoàn công</w:t>
            </w:r>
          </w:p>
        </w:tc>
      </w:tr>
      <w:tr>
        <w:tc>
          <w:tcPr>
            <w:tcW w:type="dxa" w:w="3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WarrantyStartDate</w:t>
            </w:r>
          </w:p>
        </w:tc>
        <w:tc>
          <w:tcPr>
            <w:tcW w:type="dxa" w:w="59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Bắt buộc khi bàn giao vận hành</w:t>
            </w:r>
          </w:p>
        </w:tc>
      </w:tr>
      <w:tr>
        <w:tc>
          <w:tcPr>
            <w:tcW w:type="dxa" w:w="3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MaintenancePlanCode</w:t>
            </w:r>
          </w:p>
        </w:tc>
        <w:tc>
          <w:tcPr>
            <w:tcW w:type="dxa" w:w="59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Bắt buộc nếu đưa vào CMMS</w:t>
            </w:r>
          </w:p>
        </w:tc>
      </w:tr>
      <w:tr>
        <w:tc>
          <w:tcPr>
            <w:tcW w:type="dxa" w:w="3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DeviceID</w:t>
            </w:r>
          </w:p>
        </w:tc>
        <w:tc>
          <w:tcPr>
            <w:tcW w:type="dxa" w:w="59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Bắt buộc nếu kết nối IoT/BMS/DMP</w:t>
            </w:r>
          </w:p>
        </w:tc>
      </w:tr>
    </w:tbl>
    <w:p>
      <w:pPr>
        <w:spacing w:after="60"/>
      </w:pPr>
      <w:r>
        <w:t xml:space="preserve"/>
      </w:r>
    </w:p>
    <w:p>
      <w:pPr>
        <w:spacing w:after="160" w:before="60"/>
        <w:jc w:val="center"/>
      </w:pPr>
      <w:r>
        <w:rPr>
          <w:i/>
          <w:iCs/>
          <w:color w:val="595959"/>
          <w:sz w:val="18"/>
          <w:szCs w:val="18"/>
        </w:rPr>
        <w:t xml:space="preserve">Bảng 5-5 Trường issue (BCF / Issue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Trường issue</w:t>
            </w:r>
          </w:p>
        </w:tc>
        <w:tc>
          <w:tcPr>
            <w:tcW w:type="dxa" w:w="67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Nội dung bắt buộc</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IssueID / RelatedGUID</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Mã lỗi duy nhất / IFC GlobalId của đối tượng lỗi</w:t>
            </w:r>
          </w:p>
        </w:tc>
      </w:tr>
      <w:tr>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IssueType</w:t>
            </w:r>
          </w:p>
        </w:tc>
        <w:tc>
          <w:tcPr>
            <w:tcW w:type="dxa" w:w="6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Thiếu metadata, sai classification, sai không gian, lỗi geometry/coordinate</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Priority</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Critical, High, Medium, Low</w:t>
            </w:r>
          </w:p>
        </w:tc>
      </w:tr>
      <w:tr>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AssignedTo / DueDate</w:t>
            </w:r>
          </w:p>
        </w:tc>
        <w:tc>
          <w:tcPr>
            <w:tcW w:type="dxa" w:w="6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Đơn vị xử lý / hạn xử lý</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Status / VerificationResult</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Open→In Progress→Resolved→Closed / kết quả kiểm tra lại</w:t>
            </w:r>
          </w:p>
        </w:tc>
      </w:tr>
    </w:tbl>
    <w:p>
      <w:pPr>
        <w:spacing w:after="60"/>
      </w:pPr>
      <w:r>
        <w:t xml:space="preserve"/>
      </w:r>
    </w:p>
    <w:p>
      <w:pPr>
        <w:pStyle w:val="Heading1"/>
      </w:pPr>
      <w:r>
        <w:t xml:space="preserve">6. Hệ phân loại: Uniclass &amp; OmniClass</w:t>
      </w:r>
    </w:p>
    <w:p>
      <w:pPr>
        <w:pStyle w:val="Heading2"/>
      </w:pPr>
      <w:r>
        <w:t xml:space="preserve">6.1 Uniclass</w:t>
      </w:r>
    </w:p>
    <w:p>
      <w:pPr>
        <w:spacing w:after="120" w:line="276"/>
        <w:jc w:val="both"/>
      </w:pPr>
      <w:r>
        <w:t xml:space="preserve">Uniclass là hệ phân loại thống nhất gồm nhiều bảng: Complexes, Entities, Activities, Spaces/Locations, Elements/Functions, Systems, Products, Forms of Information. Trong pipeline, dùng phân loại công trình, không gian, hệ thống, sản phẩm/thiết bị và loại thông tin.</w:t>
      </w:r>
    </w:p>
    <w:p>
      <w:pPr>
        <w:pStyle w:val="Heading2"/>
      </w:pPr>
      <w:r>
        <w:t xml:space="preserve">6.2 OmniClass</w:t>
      </w:r>
    </w:p>
    <w:p>
      <w:pPr>
        <w:spacing w:after="120" w:line="276"/>
        <w:jc w:val="both"/>
      </w:pPr>
      <w:r>
        <w:t xml:space="preserve">OmniClass gồm 15 bảng phân cấp; ưu tiên các bảng liên quan O&amp;M:</w:t>
      </w:r>
    </w:p>
    <w:p>
      <w:pPr>
        <w:spacing w:after="160" w:before="60"/>
        <w:jc w:val="center"/>
      </w:pPr>
      <w:r>
        <w:rPr>
          <w:i/>
          <w:iCs/>
          <w:color w:val="595959"/>
          <w:sz w:val="18"/>
          <w:szCs w:val="18"/>
        </w:rPr>
        <w:t xml:space="preserve">Bảng 5-6 Bảng OmniClass thường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3500"/>
        <w:gridCol w:w="4560"/>
      </w:tblGrid>
      <w:tr>
        <w:trPr>
          <w:tblHeader/>
        </w:trPr>
        <w:tc>
          <w:tcPr>
            <w:tcW w:type="dxa" w:w="13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Bảng</w:t>
            </w:r>
          </w:p>
        </w:tc>
        <w:tc>
          <w:tcPr>
            <w:tcW w:type="dxa" w:w="35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Nội dung</w:t>
            </w:r>
          </w:p>
        </w:tc>
        <w:tc>
          <w:tcPr>
            <w:tcW w:type="dxa" w:w="45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Ứng dụng</w:t>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Table 13</w:t>
            </w:r>
          </w:p>
        </w:tc>
        <w:tc>
          <w:tcPr>
            <w:tcW w:type="dxa" w:w="35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Spaces by Function</w:t>
            </w:r>
          </w:p>
        </w:tc>
        <w:tc>
          <w:tcPr>
            <w:tcW w:type="dxa" w:w="45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Phân loại không gian (liên quan COBie)</w:t>
            </w:r>
          </w:p>
        </w:tc>
      </w:tr>
      <w:tr>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Table 21</w:t>
            </w:r>
          </w:p>
        </w:tc>
        <w:tc>
          <w:tcPr>
            <w:tcW w:type="dxa" w:w="35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Elements</w:t>
            </w:r>
          </w:p>
        </w:tc>
        <w:tc>
          <w:tcPr>
            <w:tcW w:type="dxa" w:w="45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Bộ phận/cấu phần công trình</w:t>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Table 23</w:t>
            </w:r>
          </w:p>
        </w:tc>
        <w:tc>
          <w:tcPr>
            <w:tcW w:type="dxa" w:w="35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Products</w:t>
            </w:r>
          </w:p>
        </w:tc>
        <w:tc>
          <w:tcPr>
            <w:tcW w:type="dxa" w:w="45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Sản phẩm, thiết bị, cấu kiện (≈ Phụ lục G)</w:t>
            </w:r>
          </w:p>
        </w:tc>
      </w:tr>
      <w:tr>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Table 33</w:t>
            </w:r>
          </w:p>
        </w:tc>
        <w:tc>
          <w:tcPr>
            <w:tcW w:type="dxa" w:w="35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Disciplines</w:t>
            </w:r>
          </w:p>
        </w:tc>
        <w:tc>
          <w:tcPr>
            <w:tcW w:type="dxa" w:w="45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Bộ môn</w:t>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Table 36</w:t>
            </w:r>
          </w:p>
        </w:tc>
        <w:tc>
          <w:tcPr>
            <w:tcW w:type="dxa" w:w="35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Information</w:t>
            </w:r>
          </w:p>
        </w:tc>
        <w:tc>
          <w:tcPr>
            <w:tcW w:type="dxa" w:w="45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Thông tin/tài liệu</w:t>
            </w:r>
          </w:p>
        </w:tc>
      </w:tr>
      <w:tr>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Table 49</w:t>
            </w:r>
          </w:p>
        </w:tc>
        <w:tc>
          <w:tcPr>
            <w:tcW w:type="dxa" w:w="35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Properties</w:t>
            </w:r>
          </w:p>
        </w:tc>
        <w:tc>
          <w:tcPr>
            <w:tcW w:type="dxa" w:w="45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Thuộc tính</w:t>
            </w:r>
          </w:p>
        </w:tc>
      </w:tr>
    </w:tbl>
    <w:p>
      <w:pPr>
        <w:spacing w:after="60"/>
      </w:pPr>
      <w:r>
        <w:t xml:space="preserve"/>
      </w:r>
    </w:p>
    <w:p>
      <w:pPr>
        <w:pStyle w:val="Heading2"/>
      </w:pPr>
      <w:r>
        <w:t xml:space="preserve">6.3 Nguyên tắc &amp; quy định lựa chọn hệ phân loại</w:t>
      </w:r>
    </w:p>
    <w:p>
      <w:pPr>
        <w:pStyle w:val="ListParagraph"/>
        <w:numPr>
          <w:ilvl w:val="0"/>
          <w:numId w:val="2"/>
        </w:numPr>
        <w:spacing w:after="80" w:line="264"/>
        <w:jc w:val="both"/>
      </w:pPr>
      <w:r>
        <w:t xml:space="preserve">Mỗi dự án chỉ dùng một phiên bản bảng phân loại đã phê duyệt; không tự chế mã ngoài bảng chuẩn;</w:t>
      </w:r>
    </w:p>
    <w:p>
      <w:pPr>
        <w:pStyle w:val="ListParagraph"/>
        <w:numPr>
          <w:ilvl w:val="0"/>
          <w:numId w:val="2"/>
        </w:numPr>
        <w:spacing w:after="80" w:line="264"/>
        <w:jc w:val="both"/>
      </w:pPr>
      <w:r>
        <w:t xml:space="preserve">Dùng phân loại nội bộ CĐT/DT làm master, mapping sang Uniclass và/hoặc OmniClass;</w:t>
      </w:r>
    </w:p>
    <w:p>
      <w:pPr>
        <w:pStyle w:val="ListParagraph"/>
        <w:numPr>
          <w:ilvl w:val="0"/>
          <w:numId w:val="2"/>
        </w:numPr>
        <w:spacing w:after="80" w:line="264"/>
        <w:jc w:val="both"/>
      </w:pPr>
      <w:r>
        <w:t xml:space="preserve">Gắn mã ở cấp phù hợp (không quá tổng quát nếu có mã chi tiết hơn); asset vận hành bắt buộc có classification;</w:t>
      </w:r>
    </w:p>
    <w:p>
      <w:pPr>
        <w:pStyle w:val="ListParagraph"/>
        <w:numPr>
          <w:ilvl w:val="0"/>
          <w:numId w:val="2"/>
        </w:numPr>
        <w:spacing w:after="80" w:line="264"/>
        <w:jc w:val="both"/>
      </w:pPr>
      <w:r>
        <w:t xml:space="preserve">Lưu cả mã và tên phân loại; ghi rõ phiên bản/nguồn bảng; tôn trọng bản quyền dữ liệu phân loại;</w:t>
      </w:r>
    </w:p>
    <w:p>
      <w:pPr>
        <w:pStyle w:val="ListParagraph"/>
        <w:numPr>
          <w:ilvl w:val="0"/>
          <w:numId w:val="2"/>
        </w:numPr>
        <w:spacing w:after="80" w:line="264"/>
        <w:jc w:val="both"/>
      </w:pPr>
      <w:r>
        <w:t xml:space="preserve">Không trộn lẫn hệ phân loại không kiểm soát — quản lý theo Primary/Secondary/Legacy + MappingStatus + MappingOwner.</w:t>
      </w:r>
    </w:p>
    <w:p>
      <w:pPr>
        <w:spacing w:after="160" w:before="60"/>
        <w:jc w:val="center"/>
      </w:pPr>
      <w:r>
        <w:rPr>
          <w:i/>
          <w:iCs/>
          <w:color w:val="595959"/>
          <w:sz w:val="18"/>
          <w:szCs w:val="18"/>
        </w:rPr>
        <w:t xml:space="preserve">Bảng 5-7 Trường phân loại đa hệ có kiểm soát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Trường</w:t>
            </w:r>
          </w:p>
        </w:tc>
        <w:tc>
          <w:tcPr>
            <w:tcW w:type="dxa" w:w="59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Ví dụ</w:t>
            </w:r>
          </w:p>
        </w:tc>
      </w:tr>
      <w:tr>
        <w:tc>
          <w:tcPr>
            <w:tcW w:type="dxa" w:w="3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PrimaryClassificationSystem / Code</w:t>
            </w:r>
          </w:p>
        </w:tc>
        <w:tc>
          <w:tcPr>
            <w:tcW w:type="dxa" w:w="59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DT Classification / DT-HVAC-AHU</w:t>
            </w:r>
          </w:p>
        </w:tc>
      </w:tr>
      <w:tr>
        <w:tc>
          <w:tcPr>
            <w:tcW w:type="dxa" w:w="3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SecondaryClassificationSystem / Code</w:t>
            </w:r>
          </w:p>
        </w:tc>
        <w:tc>
          <w:tcPr>
            <w:tcW w:type="dxa" w:w="59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Uniclass / (mã theo bảng được duyệt)</w:t>
            </w:r>
          </w:p>
        </w:tc>
      </w:tr>
      <w:tr>
        <w:tc>
          <w:tcPr>
            <w:tcW w:type="dxa" w:w="3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LegacyClassificationSystem / Code</w:t>
            </w:r>
          </w:p>
        </w:tc>
        <w:tc>
          <w:tcPr>
            <w:tcW w:type="dxa" w:w="59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OmniClass / Table 23 (mã được duyệt)</w:t>
            </w:r>
          </w:p>
        </w:tc>
      </w:tr>
      <w:tr>
        <w:tc>
          <w:tcPr>
            <w:tcW w:type="dxa" w:w="3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MappingStatus / MappingOwner</w:t>
            </w:r>
          </w:p>
        </w:tc>
        <w:tc>
          <w:tcPr>
            <w:tcW w:type="dxa" w:w="59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Approved / Pending / Exception · đơn vị phụ trách</w:t>
            </w:r>
          </w:p>
        </w:tc>
      </w:tr>
    </w:tbl>
    <w:p>
      <w:pPr>
        <w:spacing w:after="60"/>
      </w:pPr>
      <w:r>
        <w:t xml:space="preserve"/>
      </w:r>
    </w:p>
    <w:p>
      <w:pPr>
        <w:pStyle w:val="Heading1"/>
      </w:pPr>
      <w:r>
        <w:t xml:space="preserve">7. Nghiệm thu dữ liệu theo tiêu chuẩn</w:t>
      </w:r>
    </w:p>
    <w:p>
      <w:pPr>
        <w:spacing w:after="120" w:line="276"/>
        <w:jc w:val="both"/>
      </w:pPr>
      <w:r>
        <w:t xml:space="preserve">Đây là bộ tiêu chí nghiệm thu gốc, dùng chung cho cả bộ hướng dẫn (các tài liệu HD khác tham chiếu về đây). Thang phân loại lỗi xem HD-00 §7.</w:t>
      </w:r>
    </w:p>
    <w:p>
      <w:pPr>
        <w:spacing w:after="160" w:before="60"/>
        <w:jc w:val="center"/>
      </w:pPr>
      <w:r>
        <w:rPr>
          <w:i/>
          <w:iCs/>
          <w:color w:val="595959"/>
          <w:sz w:val="18"/>
          <w:szCs w:val="18"/>
        </w:rPr>
        <w:t xml:space="preserve">Bảng 5-8 Nhóm kiểm tra &amp; tiêu chí đạt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Nhóm kiểm tra</w:t>
            </w:r>
          </w:p>
        </w:tc>
        <w:tc>
          <w:tcPr>
            <w:tcW w:type="dxa" w:w="67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Tiêu chí đạt</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File / Geometry / Coordinate</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Mở được, đúng định dạng &amp; phiên bản; không lỗi nghiêm trọng; đúng hệ toạ độ/đơn vị/điểm gốc.</w:t>
            </w:r>
          </w:p>
        </w:tc>
      </w:tr>
      <w:tr>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Spatial Structure</w:t>
            </w:r>
          </w:p>
        </w:tc>
        <w:tc>
          <w:tcPr>
            <w:tcW w:type="dxa" w:w="6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Có Site/Building/Floor/Space theo phạm vi yêu cầu.</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Asset / Classification</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Asset vận hành có Mã tài sản (DT) &amp; mã phân loại hợp lệ (hoặc exception được duyệt).</w:t>
            </w:r>
          </w:p>
        </w:tc>
      </w:tr>
      <w:tr>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Metadata / Relationship</w:t>
            </w:r>
          </w:p>
        </w:tc>
        <w:tc>
          <w:tcPr>
            <w:tcW w:type="dxa" w:w="6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Đủ trường bắt buộc theo nhóm asset; asset gắn với system &amp; space.</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Document / Device Mapping</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Asset quan trọng có tài liệu O&amp;M; asset có telemetry gắn Device ID &amp; điểm dữ liệu.</w:t>
            </w:r>
          </w:p>
        </w:tc>
      </w:tr>
      <w:tr>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Version / Approval</w:t>
            </w:r>
          </w:p>
        </w:tc>
        <w:tc>
          <w:tcPr>
            <w:tcW w:type="dxa" w:w="6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Có revision, ngày &amp; đơn vị phát hành; có trạng thái phê duyệt trước publish.</w:t>
            </w:r>
          </w:p>
        </w:tc>
      </w:tr>
    </w:tbl>
    <w:p>
      <w:pPr>
        <w:spacing w:after="60"/>
      </w:pPr>
      <w:r>
        <w:t xml:space="preserve"/>
      </w:r>
    </w:p>
    <w:p>
      <w:pPr>
        <w:pStyle w:val="Heading1"/>
      </w:pPr>
      <w:r>
        <w:t xml:space="preserve">8. Ma trận áp dụng tiêu chuẩn theo mốc bàn giao</w:t>
      </w:r>
    </w:p>
    <w:p>
      <w:pPr>
        <w:spacing w:after="160" w:before="60"/>
        <w:jc w:val="center"/>
      </w:pPr>
      <w:r>
        <w:rPr>
          <w:i/>
          <w:iCs/>
          <w:color w:val="595959"/>
          <w:sz w:val="18"/>
          <w:szCs w:val="18"/>
        </w:rPr>
        <w:t xml:space="preserve">Bảng 5-9 Ma trận áp dụng theo mốc bàn giao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Mốc bàn giao</w:t>
            </w:r>
          </w:p>
        </w:tc>
        <w:tc>
          <w:tcPr>
            <w:tcW w:type="dxa" w:w="69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Tiêu chuẩn/đầu ra trọng tâm</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Thiết kế kỹ thuật</w:t>
            </w:r>
          </w:p>
        </w:tc>
        <w:tc>
          <w:tcPr>
            <w:tcW w:type="dxa" w:w="69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Mô hình theo bộ môn, IFC sơ bộ, danh mục hệ thống chính (ISO 19650/TCVN 14177)</w:t>
            </w:r>
          </w:p>
        </w:tc>
      </w:tr>
      <w:tr>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Thi công</w:t>
            </w:r>
          </w:p>
        </w:tc>
        <w:tc>
          <w:tcPr>
            <w:tcW w:type="dxa" w:w="69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IFC chi tiết, shop drawing, thiết bị thực tế, RFI/issue (BCF)</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Hoàn công</w:t>
            </w:r>
          </w:p>
        </w:tc>
        <w:tc>
          <w:tcPr>
            <w:tcW w:type="dxa" w:w="69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As-built BIM, IFC hoàn công, COBie/COBieLite, bảng mapping (IFC+COBie)</w:t>
            </w:r>
          </w:p>
        </w:tc>
      </w:tr>
      <w:tr>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Chạy thử</w:t>
            </w:r>
          </w:p>
        </w:tc>
        <w:tc>
          <w:tcPr>
            <w:tcW w:type="dxa" w:w="69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Commissioning/test report, thông số vận hành, điểm đo BMS/IoT</w:t>
            </w:r>
          </w:p>
        </w:tc>
      </w:tr>
      <w:tr>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Bàn giao vận hành</w:t>
            </w:r>
          </w:p>
        </w:tc>
        <w:tc>
          <w:tcPr>
            <w:tcW w:type="dxa" w:w="69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AIM, tài liệu O&amp;M, mapping asset–device–space–system; phân loại Uniclass/OmniClass</w:t>
            </w:r>
          </w:p>
        </w:tc>
      </w:tr>
      <w:tr>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Khởi tạo Digital Twin</w:t>
            </w:r>
          </w:p>
        </w:tc>
        <w:tc>
          <w:tcPr>
            <w:tcW w:type="dxa" w:w="69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Mô hình tối ưu hiển thị, metadata, telemetry mapping, dashboard mapping</w:t>
            </w:r>
          </w:p>
        </w:tc>
      </w:tr>
    </w:tbl>
    <w:p>
      <w:pPr>
        <w:spacing w:after="60"/>
      </w:pPr>
      <w:r>
        <w:t xml:space="preserve"/>
      </w:r>
    </w:p>
    <w:p>
      <w:pPr>
        <w:pStyle w:val="Heading1"/>
      </w:pPr>
      <w:r>
        <w:t xml:space="preserve">9. Checklist nghiệm thu tiêu chuẩn</w:t>
      </w:r>
    </w:p>
    <w:p>
      <w:pPr>
        <w:pStyle w:val="ListParagraph"/>
        <w:numPr>
          <w:ilvl w:val="0"/>
          <w:numId w:val="3"/>
        </w:numPr>
        <w:spacing w:after="80" w:line="264"/>
        <w:jc w:val="both"/>
      </w:pPr>
      <w:r>
        <w:t xml:space="preserve">Yêu cầu thông tin (OIR/AIR/PIR/EIR) đã ban hành trước khi xuất mô hình; có tiêu chí kiểm tra tương ứng;</w:t>
      </w:r>
    </w:p>
    <w:p>
      <w:pPr>
        <w:pStyle w:val="ListParagraph"/>
        <w:numPr>
          <w:ilvl w:val="0"/>
          <w:numId w:val="3"/>
        </w:numPr>
        <w:spacing w:after="80" w:line="264"/>
        <w:jc w:val="both"/>
      </w:pPr>
      <w:r>
        <w:t xml:space="preserve">Container thông tin có đủ trạng thái/revision/phê duyệt theo ISO 19650 &amp; TCVN 14177;</w:t>
      </w:r>
    </w:p>
    <w:p>
      <w:pPr>
        <w:pStyle w:val="ListParagraph"/>
        <w:numPr>
          <w:ilvl w:val="0"/>
          <w:numId w:val="3"/>
        </w:numPr>
        <w:spacing w:after="80" w:line="264"/>
        <w:jc w:val="both"/>
      </w:pPr>
      <w:r>
        <w:t xml:space="preserve">Mô hình IFC tuân thủ OpenBIM (đúng entity, GUID ổn định, Pset, classification, toạ độ);</w:t>
      </w:r>
    </w:p>
    <w:p>
      <w:pPr>
        <w:pStyle w:val="ListParagraph"/>
        <w:numPr>
          <w:ilvl w:val="0"/>
          <w:numId w:val="3"/>
        </w:numPr>
        <w:spacing w:after="80" w:line="264"/>
        <w:jc w:val="both"/>
      </w:pPr>
      <w:r>
        <w:t xml:space="preserve">Yêu cầu thông tin được chuyển thành rule IDS kiểm tra tự động; lỗi phản hồi qua BCF/issue log;</w:t>
      </w:r>
    </w:p>
    <w:p>
      <w:pPr>
        <w:pStyle w:val="ListParagraph"/>
        <w:numPr>
          <w:ilvl w:val="0"/>
          <w:numId w:val="3"/>
        </w:numPr>
        <w:spacing w:after="80" w:line="264"/>
        <w:jc w:val="both"/>
      </w:pPr>
      <w:r>
        <w:t xml:space="preserve">Asset vận hành có phân loại (master nội bộ DT + mapping Uniclass/OmniClass) và MappingStatus được duyệt;</w:t>
      </w:r>
    </w:p>
    <w:p>
      <w:pPr>
        <w:pStyle w:val="ListParagraph"/>
        <w:numPr>
          <w:ilvl w:val="0"/>
          <w:numId w:val="3"/>
        </w:numPr>
        <w:spacing w:after="80" w:line="264"/>
        <w:jc w:val="both"/>
      </w:pPr>
      <w:r>
        <w:t xml:space="preserve">Dữ liệu truy xuất ngược được về nguồn BIM/IFC/COBie; không còn lỗi Critical/High trước publish.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3"/>
      </w:pBdr>
      <w:tabs>
        <w:tab w:val="center" w:pos="4680"/>
        <w:tab w:val="right" w:pos="9360"/>
      </w:tabs>
    </w:pPr>
    <w:r>
      <w:rPr>
        <w:color w:val="808080"/>
        <w:sz w:val="16"/>
        <w:szCs w:val="16"/>
      </w:rPr>
      <w:t xml:space="preserve">© 2026 Chủ đầu tư (CĐT)</w:t>
    </w:r>
    <w:r>
      <w:rPr>
        <w:color w:val="808080"/>
        <w:sz w:val="16"/>
        <w:szCs w:val="16"/>
      </w:rPr>
      <w:t xml:space="preserve">	Trang </w:t>
    </w:r>
    <w:r>
      <w:rPr>
        <w:color w:val="808080"/>
        <w:sz w:val="16"/>
        <w:szCs w:val="16"/>
      </w:rPr>
      <w:fldChar w:fldCharType="begin"/>
      <w:instrText xml:space="preserve">PAGE</w:instrText>
      <w:fldChar w:fldCharType="separate"/>
      <w:fldChar w:fldCharType="end"/>
    </w:r>
    <w:r>
      <w:rPr>
        <w:color w:val="808080"/>
        <w:sz w:val="16"/>
        <w:szCs w:val="16"/>
      </w:rPr>
      <w:t xml:space="preserve">	Tài liệu nội bộ</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3"/>
      </w:pBdr>
      <w:tabs>
        <w:tab w:val="right" w:pos="9360"/>
      </w:tabs>
    </w:pPr>
    <w:r>
      <w:rPr>
        <w:color w:val="808080"/>
        <w:sz w:val="16"/>
        <w:szCs w:val="16"/>
      </w:rPr>
      <w:t xml:space="preserve">HD-05 — Tiêu chuẩn đối chiếu</w:t>
    </w:r>
    <w:r>
      <w:rPr>
        <w:color w:val="808080"/>
        <w:sz w:val="16"/>
        <w:szCs w:val="16"/>
      </w:rPr>
      <w:t xml:space="preserve">	Bộ hướng dẫn BIM Pipeline → Digital Twin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1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70" w:before="1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HD-05 — Tiêu chuẩn đối chiếu</dc:title>
  <dc:creator>Chủ đầu tư (CĐT)</dc:creator>
  <cp:lastModifiedBy>Un-named</cp:lastModifiedBy>
  <cp:revision>1</cp:revision>
  <dcterms:created xsi:type="dcterms:W3CDTF">2026-06-10T05:39:19.092Z</dcterms:created>
  <dcterms:modified xsi:type="dcterms:W3CDTF">2026-06-10T05:39:19.092Z</dcterms:modified>
</cp:coreProperties>
</file>

<file path=docProps/custom.xml><?xml version="1.0" encoding="utf-8"?>
<Properties xmlns="http://schemas.openxmlformats.org/officeDocument/2006/custom-properties" xmlns:vt="http://schemas.openxmlformats.org/officeDocument/2006/docPropsVTypes"/>
</file>