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AWS Serverless Granularity Research</w:t>
      </w:r>
    </w:p>
    <w:p>
      <w:pPr>
        <w:jc w:val="center"/>
      </w:pPr>
      <w:r>
        <w:rPr>
          <w:i/>
          <w:sz w:val="24"/>
        </w:rPr>
        <w:t>Data Analysis Report for G1-G4 Lambda Decomposition Experiment</w:t>
      </w:r>
    </w:p>
    <w:p>
      <w:pPr>
        <w:jc w:val="center"/>
      </w:pPr>
      <w:r>
        <w:rPr>
          <w:sz w:val="18"/>
        </w:rPr>
        <w:t>Generated from dataFinal.zip</w:t>
      </w:r>
    </w:p>
    <w:p>
      <w:pPr>
        <w:pStyle w:val="Heading1"/>
      </w:pPr>
      <w:r>
        <w:t>1. Executive Summary</w:t>
      </w:r>
    </w:p>
    <w:p>
      <w:r>
        <w:rPr>
          <w:b/>
        </w:rPr>
        <w:t xml:space="preserve">Scope. </w:t>
      </w:r>
      <w:r>
        <w:t>This report analyzes the final experimental dataset for four serverless granularity levels, G1 through G4, with three memory configurations per level: 128 MB, 512 MB, and 1024 MB. The workload target was 1000 requests per hour, and each Artillery scenario produced 1180 external HTTP requests over approximately 63 minutes.</w:t>
      </w:r>
    </w:p>
    <w:p>
      <w:r>
        <w:rPr>
          <w:b/>
        </w:rPr>
        <w:t xml:space="preserve">Main result. </w:t>
      </w:r>
      <w:r>
        <w:t>The lowest mean end-to-end latency was observed at G3-512 MB with 359.9 ms. The lowest p95 latency was observed at G3-1024 MB with 376.2 ms, although that scenario also had the only non-perfect success rate in the dataset. The lowest estimated marginal cost was G1-128 MB at $0.001550 per 1,000 external requests.</w:t>
      </w:r>
    </w:p>
    <w:p>
      <w:r>
        <w:rPr>
          <w:b/>
        </w:rPr>
        <w:t xml:space="preserve">Interpretation. </w:t>
      </w:r>
      <w:r>
        <w:t>The data does not support a simple claim that finer decomposition always improves performance. G2 and G3 improve end-to-end latency relative to G1 in most memory settings, but G4 introduces enough orchestration overhead to become slower and more expensive. The best practical trade-off is not the most granular design: G2-128 is attractive when cost is weighted heavily, while G3-512 is strongest when latency is prioritized.</w:t>
      </w:r>
    </w:p>
    <w:p>
      <w:pPr>
        <w:pStyle w:val="Heading1"/>
      </w:pPr>
      <w:r>
        <w:t>2. Key Findings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168"/>
            <w:vAlign w:val="center"/>
            <w:shd w:fill="0F766E"/>
            <w:shd w:fill="0F766E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Metric</w:t>
            </w:r>
          </w:p>
        </w:tc>
        <w:tc>
          <w:tcPr>
            <w:tcW w:type="dxa" w:w="2880"/>
            <w:vAlign w:val="center"/>
            <w:shd w:fill="0F766E"/>
            <w:shd w:fill="0F766E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Scenario</w:t>
            </w:r>
          </w:p>
        </w:tc>
        <w:tc>
          <w:tcPr>
            <w:tcW w:type="dxa" w:w="3456"/>
            <w:vAlign w:val="center"/>
            <w:shd w:fill="0F766E"/>
            <w:shd w:fill="0F766E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Value</w:t>
            </w:r>
          </w:p>
        </w:tc>
      </w:tr>
      <w:tr>
        <w:tc>
          <w:tcPr>
            <w:tcW w:type="dxa" w:w="3168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Best mean latency</w:t>
            </w:r>
          </w:p>
        </w:tc>
        <w:tc>
          <w:tcPr>
            <w:tcW w:type="dxa" w:w="2880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G3-512 MB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359.9 ms</w:t>
            </w:r>
          </w:p>
        </w:tc>
      </w:tr>
      <w:tr>
        <w:tc>
          <w:tcPr>
            <w:tcW w:type="dxa" w:w="3168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Best p95 latency</w:t>
            </w:r>
          </w:p>
        </w:tc>
        <w:tc>
          <w:tcPr>
            <w:tcW w:type="dxa" w:w="2880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G3-1024 MB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376.2 ms</w:t>
            </w:r>
          </w:p>
        </w:tc>
      </w:tr>
      <w:tr>
        <w:tc>
          <w:tcPr>
            <w:tcW w:type="dxa" w:w="3168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Lowest estimated cost</w:t>
            </w:r>
          </w:p>
        </w:tc>
        <w:tc>
          <w:tcPr>
            <w:tcW w:type="dxa" w:w="2880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G1-128 MB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$0.001550/1k requests</w:t>
            </w:r>
          </w:p>
        </w:tc>
      </w:tr>
      <w:tr>
        <w:tc>
          <w:tcPr>
            <w:tcW w:type="dxa" w:w="3168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Best composite cost-latency score</w:t>
            </w:r>
          </w:p>
        </w:tc>
        <w:tc>
          <w:tcPr>
            <w:tcW w:type="dxa" w:w="2880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G1-128 MB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1.161</w:t>
            </w:r>
          </w:p>
        </w:tc>
      </w:tr>
      <w:tr>
        <w:tc>
          <w:tcPr>
            <w:tcW w:type="dxa" w:w="3168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Only failed scenario</w:t>
            </w:r>
          </w:p>
        </w:tc>
        <w:tc>
          <w:tcPr>
            <w:tcW w:type="dxa" w:w="2880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G3-1024 MB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1179/1180 successful requests</w:t>
            </w:r>
          </w:p>
        </w:tc>
      </w:tr>
    </w:tbl>
    <w:p>
      <w:pPr>
        <w:pStyle w:val="Heading1"/>
      </w:pPr>
      <w:r>
        <w:t>3. Research Framing</w:t>
      </w:r>
    </w:p>
    <w:p>
      <w:r>
        <w:t>Research question: How does Lambda function granularity affect end-to-end latency, tail latency, reliability, and marginal execution cost for an order-processing workflow implemented on AWS serverless infrastructure?</w:t>
      </w:r>
    </w:p>
    <w:p>
      <w:r>
        <w:t>Hypothesis H1: Splitting the workflow from G1 to moderate granularity levels reduces end-to-end latency by separating responsibilities and reducing per-function execution time.</w:t>
      </w:r>
    </w:p>
    <w:p>
      <w:r>
        <w:t>Hypothesis H2: Excessive decomposition increases coordination overhead and therefore increases latency and cost.</w:t>
      </w:r>
    </w:p>
    <w:p>
      <w:r>
        <w:t>Hypothesis H3: Higher memory allocation can reduce latency, but not always enough to compensate for higher GB-second cost.</w:t>
      </w:r>
    </w:p>
    <w:p>
      <w:r>
        <w:t>Hypothesis H4: Reliability remains stable across granularity levels when orchestration and child function invocations are correctly implemented.</w:t>
      </w:r>
    </w:p>
    <w:p>
      <w:pPr>
        <w:pStyle w:val="Heading1"/>
      </w:pPr>
      <w:r>
        <w:t>4. Variables and Measurement Protocol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2448"/>
            <w:vAlign w:val="center"/>
            <w:shd w:fill="0F766E"/>
            <w:shd w:fill="0F766E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Category</w:t>
            </w:r>
          </w:p>
        </w:tc>
        <w:tc>
          <w:tcPr>
            <w:tcW w:type="dxa" w:w="2880"/>
            <w:vAlign w:val="center"/>
            <w:shd w:fill="0F766E"/>
            <w:shd w:fill="0F766E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Variable</w:t>
            </w:r>
          </w:p>
        </w:tc>
        <w:tc>
          <w:tcPr>
            <w:tcW w:type="dxa" w:w="5040"/>
            <w:vAlign w:val="center"/>
            <w:shd w:fill="0F766E"/>
            <w:shd w:fill="0F766E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Operationalization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Independent variable</w:t>
            </w:r>
          </w:p>
        </w:tc>
        <w:tc>
          <w:tcPr>
            <w:tcW w:type="dxa" w:w="2880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Granularity level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G1, G2, G3, G4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Independent variable</w:t>
            </w:r>
          </w:p>
        </w:tc>
        <w:tc>
          <w:tcPr>
            <w:tcW w:type="dxa" w:w="2880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Lambda memory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128 MB, 512 MB, 1024 MB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Controlled variable</w:t>
            </w:r>
          </w:p>
        </w:tc>
        <w:tc>
          <w:tcPr>
            <w:tcW w:type="dxa" w:w="2880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Workload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Target 1000 requests/hour; observed 1180 requests/scenario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Controlled variable</w:t>
            </w:r>
          </w:p>
        </w:tc>
        <w:tc>
          <w:tcPr>
            <w:tcW w:type="dxa" w:w="2880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Region/runtime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AWS Lambda Node.js on Arm64, API Gateway HTTP API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Dependent variable</w:t>
            </w:r>
          </w:p>
        </w:tc>
        <w:tc>
          <w:tcPr>
            <w:tcW w:type="dxa" w:w="2880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Client-side latency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Artillery http.response_time: mean, p95, p99, max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Dependent variable</w:t>
            </w:r>
          </w:p>
        </w:tc>
        <w:tc>
          <w:tcPr>
            <w:tcW w:type="dxa" w:w="2880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Reliability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HTTP 2xx success count and success rate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Dependent variable</w:t>
            </w:r>
          </w:p>
        </w:tc>
        <w:tc>
          <w:tcPr>
            <w:tcW w:type="dxa" w:w="2880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Lambda-side runtime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CloudWatch REPORT Duration and Billed Duration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Dependent variable</w:t>
            </w:r>
          </w:p>
        </w:tc>
        <w:tc>
          <w:tcPr>
            <w:tcW w:type="dxa" w:w="2880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Cost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Estimated marginal Lambda compute + Lambda requests + HTTP API requests</w:t>
            </w:r>
          </w:p>
        </w:tc>
      </w:tr>
    </w:tbl>
    <w:p>
      <w:r>
        <w:rPr>
          <w:b/>
        </w:rPr>
        <w:t xml:space="preserve">Cost model. </w:t>
      </w:r>
      <w:r>
        <w:t>The report uses marginal cost rather than free-tier-adjusted monthly billing, because the purpose is experimental comparison. Lambda compute cost is calculated from modeled GB-seconds using Arm duration pricing. Lambda request cost is charged per Lambda invocation; API Gateway cost is charged per external HTTP request. Data transfer, CloudWatch Logs ingestion, X-Ray, and free-tier credits are excluded from the comparative estimate.</w:t>
      </w:r>
    </w:p>
    <w:p>
      <w:r>
        <w:t>Pricing sources used: AWS Lambda Pricing (https://aws.amazon.com/lambda/pricing/) and Amazon API Gateway Pricing (https://aws.amazon.com/api-gateway/pricing/).</w:t>
      </w:r>
    </w:p>
    <w:p>
      <w:pPr>
        <w:pStyle w:val="Heading1"/>
      </w:pPr>
      <w:r>
        <w:t>5. Scenario-Level Results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52"/>
        <w:gridCol w:w="1152"/>
        <w:gridCol w:w="1152"/>
        <w:gridCol w:w="1152"/>
        <w:gridCol w:w="1152"/>
        <w:gridCol w:w="1152"/>
        <w:gridCol w:w="1152"/>
        <w:gridCol w:w="1152"/>
        <w:gridCol w:w="1152"/>
      </w:tblGrid>
      <w:tr>
        <w:tc>
          <w:tcPr>
            <w:tcW w:type="dxa" w:w="1224"/>
            <w:vAlign w:val="center"/>
            <w:shd w:fill="0F766E"/>
            <w:shd w:fill="0F766E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Scenario</w:t>
            </w:r>
          </w:p>
        </w:tc>
        <w:tc>
          <w:tcPr>
            <w:tcW w:type="dxa" w:w="936"/>
            <w:vAlign w:val="center"/>
            <w:shd w:fill="0F766E"/>
            <w:shd w:fill="0F766E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Req.</w:t>
            </w:r>
          </w:p>
        </w:tc>
        <w:tc>
          <w:tcPr>
            <w:tcW w:type="dxa" w:w="1080"/>
            <w:vAlign w:val="center"/>
            <w:shd w:fill="0F766E"/>
            <w:shd w:fill="0F766E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Success</w:t>
            </w:r>
          </w:p>
        </w:tc>
        <w:tc>
          <w:tcPr>
            <w:tcW w:type="dxa" w:w="1080"/>
            <w:vAlign w:val="center"/>
            <w:shd w:fill="0F766E"/>
            <w:shd w:fill="0F766E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Mean ms</w:t>
            </w:r>
          </w:p>
        </w:tc>
        <w:tc>
          <w:tcPr>
            <w:tcW w:type="dxa" w:w="1080"/>
            <w:vAlign w:val="center"/>
            <w:shd w:fill="0F766E"/>
            <w:shd w:fill="0F766E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p95 ms</w:t>
            </w:r>
          </w:p>
        </w:tc>
        <w:tc>
          <w:tcPr>
            <w:tcW w:type="dxa" w:w="1080"/>
            <w:vAlign w:val="center"/>
            <w:shd w:fill="0F766E"/>
            <w:shd w:fill="0F766E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p99 ms</w:t>
            </w:r>
          </w:p>
        </w:tc>
        <w:tc>
          <w:tcPr>
            <w:tcW w:type="dxa" w:w="1037"/>
            <w:vAlign w:val="center"/>
            <w:shd w:fill="0F766E"/>
            <w:shd w:fill="0F766E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Comp.</w:t>
            </w:r>
          </w:p>
        </w:tc>
        <w:tc>
          <w:tcPr>
            <w:tcW w:type="dxa" w:w="1656"/>
            <w:vAlign w:val="center"/>
            <w:shd w:fill="0F766E"/>
            <w:shd w:fill="0F766E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Billed ms</w:t>
            </w:r>
          </w:p>
        </w:tc>
        <w:tc>
          <w:tcPr>
            <w:tcW w:type="dxa" w:w="1296"/>
            <w:vAlign w:val="center"/>
            <w:shd w:fill="0F766E"/>
            <w:shd w:fill="0F766E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Cost/1k</w:t>
            </w:r>
          </w:p>
        </w:tc>
      </w:tr>
      <w:tr>
        <w:tc>
          <w:tcPr>
            <w:tcW w:type="dxa" w:w="1224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G1-128</w:t>
            </w:r>
          </w:p>
        </w:tc>
        <w:tc>
          <w:tcPr>
            <w:tcW w:type="dxa" w:w="936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1180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100.00%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475.6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487.9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518.1</w:t>
            </w:r>
          </w:p>
        </w:tc>
        <w:tc>
          <w:tcPr>
            <w:tcW w:type="dxa" w:w="1037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209.7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$0.001550</w:t>
            </w:r>
          </w:p>
        </w:tc>
      </w:tr>
      <w:tr>
        <w:tc>
          <w:tcPr>
            <w:tcW w:type="dxa" w:w="1224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G1-512</w:t>
            </w:r>
          </w:p>
        </w:tc>
        <w:tc>
          <w:tcPr>
            <w:tcW w:type="dxa" w:w="936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1180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100.00%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476.5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487.9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550.1</w:t>
            </w:r>
          </w:p>
        </w:tc>
        <w:tc>
          <w:tcPr>
            <w:tcW w:type="dxa" w:w="1037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208.7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$0.002592</w:t>
            </w:r>
          </w:p>
        </w:tc>
      </w:tr>
      <w:tr>
        <w:tc>
          <w:tcPr>
            <w:tcW w:type="dxa" w:w="1224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G1-1024</w:t>
            </w:r>
          </w:p>
        </w:tc>
        <w:tc>
          <w:tcPr>
            <w:tcW w:type="dxa" w:w="936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1180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100.00%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485.7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497.8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550.1</w:t>
            </w:r>
          </w:p>
        </w:tc>
        <w:tc>
          <w:tcPr>
            <w:tcW w:type="dxa" w:w="1037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208.8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$0.003985</w:t>
            </w:r>
          </w:p>
        </w:tc>
      </w:tr>
      <w:tr>
        <w:tc>
          <w:tcPr>
            <w:tcW w:type="dxa" w:w="1224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G2-128</w:t>
            </w:r>
          </w:p>
        </w:tc>
        <w:tc>
          <w:tcPr>
            <w:tcW w:type="dxa" w:w="936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1180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100.00%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385.7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441.5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584.2</w:t>
            </w:r>
          </w:p>
        </w:tc>
        <w:tc>
          <w:tcPr>
            <w:tcW w:type="dxa" w:w="1037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205.9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$0.002143</w:t>
            </w:r>
          </w:p>
        </w:tc>
      </w:tr>
      <w:tr>
        <w:tc>
          <w:tcPr>
            <w:tcW w:type="dxa" w:w="1224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G2-512</w:t>
            </w:r>
          </w:p>
        </w:tc>
        <w:tc>
          <w:tcPr>
            <w:tcW w:type="dxa" w:w="936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1180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100.00%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371.5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383.8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415.8</w:t>
            </w:r>
          </w:p>
        </w:tc>
        <w:tc>
          <w:tcPr>
            <w:tcW w:type="dxa" w:w="1037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191.0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$0.003073</w:t>
            </w:r>
          </w:p>
        </w:tc>
      </w:tr>
      <w:tr>
        <w:tc>
          <w:tcPr>
            <w:tcW w:type="dxa" w:w="1224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G2-1024</w:t>
            </w:r>
          </w:p>
        </w:tc>
        <w:tc>
          <w:tcPr>
            <w:tcW w:type="dxa" w:w="936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1180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100.00%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374.8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391.6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424.2</w:t>
            </w:r>
          </w:p>
        </w:tc>
        <w:tc>
          <w:tcPr>
            <w:tcW w:type="dxa" w:w="1037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191.2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$0.004349</w:t>
            </w:r>
          </w:p>
        </w:tc>
      </w:tr>
      <w:tr>
        <w:tc>
          <w:tcPr>
            <w:tcW w:type="dxa" w:w="1224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G3-128</w:t>
            </w:r>
          </w:p>
        </w:tc>
        <w:tc>
          <w:tcPr>
            <w:tcW w:type="dxa" w:w="936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1180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100.00%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453.5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608.0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804.5</w:t>
            </w:r>
          </w:p>
        </w:tc>
        <w:tc>
          <w:tcPr>
            <w:tcW w:type="dxa" w:w="1037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227.3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$0.002779</w:t>
            </w:r>
          </w:p>
        </w:tc>
      </w:tr>
      <w:tr>
        <w:tc>
          <w:tcPr>
            <w:tcW w:type="dxa" w:w="1224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G3-512</w:t>
            </w:r>
          </w:p>
        </w:tc>
        <w:tc>
          <w:tcPr>
            <w:tcW w:type="dxa" w:w="936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1180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100.00%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359.9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383.8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450.4</w:t>
            </w:r>
          </w:p>
        </w:tc>
        <w:tc>
          <w:tcPr>
            <w:tcW w:type="dxa" w:w="1037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115.4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$0.003084</w:t>
            </w:r>
          </w:p>
        </w:tc>
      </w:tr>
      <w:tr>
        <w:tc>
          <w:tcPr>
            <w:tcW w:type="dxa" w:w="1224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G3-1024</w:t>
            </w:r>
          </w:p>
        </w:tc>
        <w:tc>
          <w:tcPr>
            <w:tcW w:type="dxa" w:w="936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1180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99.92%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363.0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376.2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432.7</w:t>
            </w:r>
          </w:p>
        </w:tc>
        <w:tc>
          <w:tcPr>
            <w:tcW w:type="dxa" w:w="1037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125.6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$0.003876</w:t>
            </w:r>
          </w:p>
        </w:tc>
      </w:tr>
      <w:tr>
        <w:tc>
          <w:tcPr>
            <w:tcW w:type="dxa" w:w="1224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G4-128</w:t>
            </w:r>
          </w:p>
        </w:tc>
        <w:tc>
          <w:tcPr>
            <w:tcW w:type="dxa" w:w="936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1180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100.00%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621.4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871.5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1107.9</w:t>
            </w:r>
          </w:p>
        </w:tc>
        <w:tc>
          <w:tcPr>
            <w:tcW w:type="dxa" w:w="1037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13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399.2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$0.004265</w:t>
            </w:r>
          </w:p>
        </w:tc>
      </w:tr>
      <w:tr>
        <w:tc>
          <w:tcPr>
            <w:tcW w:type="dxa" w:w="1224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G4-512</w:t>
            </w:r>
          </w:p>
        </w:tc>
        <w:tc>
          <w:tcPr>
            <w:tcW w:type="dxa" w:w="936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1180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100.00%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468.3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561.2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713.5</w:t>
            </w:r>
          </w:p>
        </w:tc>
        <w:tc>
          <w:tcPr>
            <w:tcW w:type="dxa" w:w="1037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13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230.0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$0.004947</w:t>
            </w:r>
          </w:p>
        </w:tc>
      </w:tr>
      <w:tr>
        <w:tc>
          <w:tcPr>
            <w:tcW w:type="dxa" w:w="1224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G4-1024</w:t>
            </w:r>
          </w:p>
        </w:tc>
        <w:tc>
          <w:tcPr>
            <w:tcW w:type="dxa" w:w="936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1180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100.00%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470.6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572.6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757.6</w:t>
            </w:r>
          </w:p>
        </w:tc>
        <w:tc>
          <w:tcPr>
            <w:tcW w:type="dxa" w:w="1037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13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231.6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$0.006252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6217920" cy="31089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mean_latenc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108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1. Mean end-to-end latency by scenario.</w:t>
      </w:r>
    </w:p>
    <w:p>
      <w:r>
        <w:drawing>
          <wp:inline xmlns:a="http://schemas.openxmlformats.org/drawingml/2006/main" xmlns:pic="http://schemas.openxmlformats.org/drawingml/2006/picture">
            <wp:extent cx="6217920" cy="31089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p95_latenc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108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2. p95 end-to-end latency by scenario.</w:t>
      </w:r>
    </w:p>
    <w:p>
      <w:r>
        <w:drawing>
          <wp:inline xmlns:a="http://schemas.openxmlformats.org/drawingml/2006/main" xmlns:pic="http://schemas.openxmlformats.org/drawingml/2006/picture">
            <wp:extent cx="6217920" cy="31089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cost_per_100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108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3. Estimated marginal cost per 1,000 external requests.</w:t>
      </w:r>
    </w:p>
    <w:p>
      <w:pPr>
        <w:pStyle w:val="Heading1"/>
      </w:pPr>
      <w:r>
        <w:t>6. Granularity-Level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81"/>
        <w:gridCol w:w="1481"/>
        <w:gridCol w:w="1481"/>
        <w:gridCol w:w="1481"/>
        <w:gridCol w:w="1481"/>
        <w:gridCol w:w="1481"/>
        <w:gridCol w:w="1481"/>
      </w:tblGrid>
      <w:tr>
        <w:tc>
          <w:tcPr>
            <w:tcW w:type="dxa" w:w="1224"/>
            <w:vAlign w:val="center"/>
            <w:shd w:fill="0F766E"/>
            <w:shd w:fill="0F766E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Granularity</w:t>
            </w:r>
          </w:p>
        </w:tc>
        <w:tc>
          <w:tcPr>
            <w:tcW w:type="dxa" w:w="1296"/>
            <w:vAlign w:val="center"/>
            <w:shd w:fill="0F766E"/>
            <w:shd w:fill="0F766E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Avg mean ms</w:t>
            </w:r>
          </w:p>
        </w:tc>
        <w:tc>
          <w:tcPr>
            <w:tcW w:type="dxa" w:w="1296"/>
            <w:vAlign w:val="center"/>
            <w:shd w:fill="0F766E"/>
            <w:shd w:fill="0F766E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Avg p95 ms</w:t>
            </w:r>
          </w:p>
        </w:tc>
        <w:tc>
          <w:tcPr>
            <w:tcW w:type="dxa" w:w="1440"/>
            <w:vAlign w:val="center"/>
            <w:shd w:fill="0F766E"/>
            <w:shd w:fill="0F766E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Avg cost/1k</w:t>
            </w:r>
          </w:p>
        </w:tc>
        <w:tc>
          <w:tcPr>
            <w:tcW w:type="dxa" w:w="1944"/>
            <w:vAlign w:val="center"/>
            <w:shd w:fill="0F766E"/>
            <w:shd w:fill="0F766E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Best latency memory</w:t>
            </w:r>
          </w:p>
        </w:tc>
        <w:tc>
          <w:tcPr>
            <w:tcW w:type="dxa" w:w="2088"/>
            <w:vAlign w:val="center"/>
            <w:shd w:fill="0F766E"/>
            <w:shd w:fill="0F766E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Best cost memory</w:t>
            </w:r>
          </w:p>
        </w:tc>
        <w:tc>
          <w:tcPr>
            <w:tcW w:type="dxa" w:w="1296"/>
            <w:vAlign w:val="center"/>
            <w:shd w:fill="0F766E"/>
            <w:shd w:fill="0F766E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Min success</w:t>
            </w:r>
          </w:p>
        </w:tc>
      </w:tr>
      <w:tr>
        <w:tc>
          <w:tcPr>
            <w:tcW w:type="dxa" w:w="1224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G1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479.3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491.2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$0.002709</w:t>
            </w:r>
          </w:p>
        </w:tc>
        <w:tc>
          <w:tcPr>
            <w:tcW w:type="dxa" w:w="1944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128 MB (475.6 ms)</w:t>
            </w:r>
          </w:p>
        </w:tc>
        <w:tc>
          <w:tcPr>
            <w:tcW w:type="dxa" w:w="2088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128 MB ($0.001550)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100.00%</w:t>
            </w:r>
          </w:p>
        </w:tc>
      </w:tr>
      <w:tr>
        <w:tc>
          <w:tcPr>
            <w:tcW w:type="dxa" w:w="1224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G2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377.3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405.6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$0.003188</w:t>
            </w:r>
          </w:p>
        </w:tc>
        <w:tc>
          <w:tcPr>
            <w:tcW w:type="dxa" w:w="1944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512 MB (371.5 ms)</w:t>
            </w:r>
          </w:p>
        </w:tc>
        <w:tc>
          <w:tcPr>
            <w:tcW w:type="dxa" w:w="2088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128 MB ($0.002143)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100.00%</w:t>
            </w:r>
          </w:p>
        </w:tc>
      </w:tr>
      <w:tr>
        <w:tc>
          <w:tcPr>
            <w:tcW w:type="dxa" w:w="1224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G3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392.1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456.0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$0.003247</w:t>
            </w:r>
          </w:p>
        </w:tc>
        <w:tc>
          <w:tcPr>
            <w:tcW w:type="dxa" w:w="1944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512 MB (359.9 ms)</w:t>
            </w:r>
          </w:p>
        </w:tc>
        <w:tc>
          <w:tcPr>
            <w:tcW w:type="dxa" w:w="2088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128 MB ($0.002779)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99.92%</w:t>
            </w:r>
          </w:p>
        </w:tc>
      </w:tr>
      <w:tr>
        <w:tc>
          <w:tcPr>
            <w:tcW w:type="dxa" w:w="1224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G4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520.1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668.4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$0.005155</w:t>
            </w:r>
          </w:p>
        </w:tc>
        <w:tc>
          <w:tcPr>
            <w:tcW w:type="dxa" w:w="1944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512 MB (468.3 ms)</w:t>
            </w:r>
          </w:p>
        </w:tc>
        <w:tc>
          <w:tcPr>
            <w:tcW w:type="dxa" w:w="2088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128 MB ($0.004265)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100.00%</w:t>
            </w:r>
          </w:p>
        </w:tc>
      </w:tr>
    </w:tbl>
    <w:p>
      <w:pPr>
        <w:pStyle w:val="Heading1"/>
      </w:pPr>
      <w:r>
        <w:t>7. Interpretation of Results</w:t>
      </w:r>
    </w:p>
    <w:p>
      <w:pPr>
        <w:pStyle w:val="Heading2"/>
      </w:pPr>
      <w:r>
        <w:t>7.1 Latency</w:t>
      </w:r>
    </w:p>
    <w:p>
      <w:r>
        <w:rPr>
          <w:b/>
        </w:rPr>
        <w:t xml:space="preserve">Moderate decomposition improved latency. </w:t>
      </w:r>
      <w:r>
        <w:t>G3-512 reached 359.9 ms mean latency, which is 24.3% lower than the G1-128 baseline (475.6 ms). G2-512 also improved latency substantially at 371.5 ms mean latency.</w:t>
      </w:r>
    </w:p>
    <w:p>
      <w:r>
        <w:rPr>
          <w:b/>
        </w:rPr>
        <w:t xml:space="preserve">Extreme decomposition harmed latency. </w:t>
      </w:r>
      <w:r>
        <w:t>G4-128 produced the worst mean latency at 621.4 ms and the worst p95 latency at 871.5 ms. This is consistent with orchestration overhead: G4 models 13 Lambda invocations per external workflow, compared with 1 in G1, 4 in G2, and 7 in G3.</w:t>
      </w:r>
    </w:p>
    <w:p>
      <w:pPr>
        <w:pStyle w:val="Heading2"/>
      </w:pPr>
      <w:r>
        <w:t>7.2 Cost</w:t>
      </w:r>
    </w:p>
    <w:p>
      <w:r>
        <w:rPr>
          <w:b/>
        </w:rPr>
        <w:t xml:space="preserve">The lowest marginal cost is the monolithic baseline. </w:t>
      </w:r>
      <w:r>
        <w:t>G1-128 costs approximately $0.001550 per 1,000 external requests. G2-128 increases the cost to $0.002143, while G4-1024 reaches $0.006252.</w:t>
      </w:r>
    </w:p>
    <w:p>
      <w:r>
        <w:rPr>
          <w:b/>
        </w:rPr>
        <w:t xml:space="preserve">Memory scaling does not guarantee cost-performance dominance. </w:t>
      </w:r>
      <w:r>
        <w:t>Moving from 128 MB to 512 MB often reduces latency, especially for G2 and G3, but the cost rises because GB-second charge scales with configured memory. Moving from 512 MB to 1024 MB usually provides limited additional latency benefit while increasing cost further.</w:t>
      </w:r>
    </w:p>
    <w:p>
      <w:pPr>
        <w:pStyle w:val="Heading2"/>
      </w:pPr>
      <w:r>
        <w:t>7.3 Reliability</w:t>
      </w:r>
    </w:p>
    <w:p>
      <w:r>
        <w:rPr>
          <w:b/>
        </w:rPr>
        <w:t xml:space="preserve">Reliability was mostly stable. </w:t>
      </w:r>
      <w:r>
        <w:t>All scenarios except G3-1024 achieved 100% HTTP 2xx success in the Artillery results. G3-1024 had 1179 successful requests out of 1180, or 99.92%. Because this is a single failure in one run, it should be treated as a reliability signal requiring replication rather than a definitive architectural defect.</w:t>
      </w:r>
    </w:p>
    <w:p>
      <w:pPr>
        <w:pStyle w:val="Heading1"/>
      </w:pPr>
      <w:r>
        <w:t>8. Hypothesis Evaluation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1152"/>
            <w:vAlign w:val="center"/>
            <w:shd w:fill="0F766E"/>
            <w:shd w:fill="0F766E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Hypothesis</w:t>
            </w:r>
          </w:p>
        </w:tc>
        <w:tc>
          <w:tcPr>
            <w:tcW w:type="dxa" w:w="1872"/>
            <w:vAlign w:val="center"/>
            <w:shd w:fill="0F766E"/>
            <w:shd w:fill="0F766E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Assessment</w:t>
            </w:r>
          </w:p>
        </w:tc>
        <w:tc>
          <w:tcPr>
            <w:tcW w:type="dxa" w:w="6912"/>
            <w:vAlign w:val="center"/>
            <w:shd w:fill="0F766E"/>
            <w:shd w:fill="0F766E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Evidence</w:t>
            </w:r>
          </w:p>
        </w:tc>
      </w:tr>
      <w:tr>
        <w:tc>
          <w:tcPr>
            <w:tcW w:type="dxa" w:w="1152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H1</w:t>
            </w:r>
          </w:p>
        </w:tc>
        <w:tc>
          <w:tcPr>
            <w:tcW w:type="dxa" w:w="1872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Partially supported</w:t>
            </w:r>
          </w:p>
        </w:tc>
        <w:tc>
          <w:tcPr>
            <w:tcW w:type="dxa" w:w="6912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G2 and G3 improved client-side mean latency relative to G1, especially at 512 MB. However, G4 did not improve latency.</w:t>
            </w:r>
          </w:p>
        </w:tc>
      </w:tr>
      <w:tr>
        <w:tc>
          <w:tcPr>
            <w:tcW w:type="dxa" w:w="1152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H2</w:t>
            </w:r>
          </w:p>
        </w:tc>
        <w:tc>
          <w:tcPr>
            <w:tcW w:type="dxa" w:w="1872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Supported</w:t>
            </w:r>
          </w:p>
        </w:tc>
        <w:tc>
          <w:tcPr>
            <w:tcW w:type="dxa" w:w="6912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G4 had the highest component count and showed substantially worse latency and cost, indicating orchestration overhead.</w:t>
            </w:r>
          </w:p>
        </w:tc>
      </w:tr>
      <w:tr>
        <w:tc>
          <w:tcPr>
            <w:tcW w:type="dxa" w:w="1152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H3</w:t>
            </w:r>
          </w:p>
        </w:tc>
        <w:tc>
          <w:tcPr>
            <w:tcW w:type="dxa" w:w="1872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Supported with nuance</w:t>
            </w:r>
          </w:p>
        </w:tc>
        <w:tc>
          <w:tcPr>
            <w:tcW w:type="dxa" w:w="6912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512 MB was often the latency sweet spot, while 1024 MB gave limited additional benefit and higher cost.</w:t>
            </w:r>
          </w:p>
        </w:tc>
      </w:tr>
      <w:tr>
        <w:tc>
          <w:tcPr>
            <w:tcW w:type="dxa" w:w="1152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H4</w:t>
            </w:r>
          </w:p>
        </w:tc>
        <w:tc>
          <w:tcPr>
            <w:tcW w:type="dxa" w:w="1872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Mostly supported</w:t>
            </w:r>
          </w:p>
        </w:tc>
        <w:tc>
          <w:tcPr>
            <w:tcW w:type="dxa" w:w="6912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11 of 12 scenarios achieved 100% success; one G3-1024 run had a single failed request.</w:t>
            </w:r>
          </w:p>
        </w:tc>
      </w:tr>
    </w:tbl>
    <w:p>
      <w:pPr>
        <w:pStyle w:val="Heading1"/>
      </w:pPr>
      <w:r>
        <w:t>9. Practical Recommendation</w:t>
      </w:r>
    </w:p>
    <w:p>
      <w:r>
        <w:t>For a production-oriented implementation of this workflow, G2 or G3 is preferable to G4. G2-128 is the strongest low-cost decomposed option, giving materially lower mean latency than G1 while keeping cost relatively contained. G3-512 is the best latency-oriented option, but it costs almost twice the G1-128 baseline and has more operational complexity. G4 should be avoided unless the business requires very fine-grained ownership, independent deployment, or governance boundaries that justify the additional orchestration cost.</w:t>
      </w:r>
    </w:p>
    <w:p>
      <w:pPr>
        <w:pStyle w:val="Heading1"/>
      </w:pPr>
      <w:r>
        <w:t>10. Threats to Validity</w:t>
      </w:r>
    </w:p>
    <w:p>
      <w:r>
        <w:rPr>
          <w:b/>
        </w:rPr>
        <w:t xml:space="preserve">Internal validity: </w:t>
      </w:r>
      <w:r>
        <w:t>Some CloudWatch summary files contain aggregation differences across time windows. In particular, the G1 summary only includes G1-1024, so G1-128 and G1-512 were reconstructed from detailed CloudWatch CSV files. For G3/G4, child functions are not memory-suffixed, so the cost model treats them as shared 128 MB child functions.</w:t>
      </w:r>
    </w:p>
    <w:p>
      <w:r>
        <w:rPr>
          <w:b/>
        </w:rPr>
        <w:t xml:space="preserve">Construct validity: </w:t>
      </w:r>
      <w:r>
        <w:t>Artillery response time measures client-side end-to-end latency, while CloudWatch Duration measures Lambda-side execution time. These are related but not identical constructs.</w:t>
      </w:r>
    </w:p>
    <w:p>
      <w:r>
        <w:rPr>
          <w:b/>
        </w:rPr>
        <w:t xml:space="preserve">External validity: </w:t>
      </w:r>
      <w:r>
        <w:t>The workload is a synthetic order-processing workflow at approximately 1000 requests/hour. Results may differ for higher concurrency, heavier payloads, real databases, VPC networking, or external API dependencies.</w:t>
      </w:r>
    </w:p>
    <w:p>
      <w:r>
        <w:rPr>
          <w:b/>
        </w:rPr>
        <w:t xml:space="preserve">Statistical conclusion validity: </w:t>
      </w:r>
      <w:r>
        <w:t>Each scenario appears to have one main run. More replications are needed to estimate variance, confidence intervals, and cold-start sensitivity.</w:t>
      </w:r>
    </w:p>
    <w:p>
      <w:r>
        <w:rPr>
          <w:b/>
        </w:rPr>
        <w:t xml:space="preserve">Cost-model validity: </w:t>
      </w:r>
      <w:r>
        <w:t>The cost model excludes free tier, data transfer, logging, X-Ray tracing, deployment artifacts, and engineering/operations cost. It is therefore a marginal runtime estimate rather than a full AWS bill forecast.</w:t>
      </w:r>
    </w:p>
    <w:p>
      <w:pPr>
        <w:pStyle w:val="Heading1"/>
      </w:pPr>
      <w:r>
        <w:t>11. Conclusion</w:t>
      </w:r>
    </w:p>
    <w:p>
      <w:r>
        <w:t>The final dataset suggests that serverless function decomposition has a non-linear effect on performance and cost. Moderate decomposition can improve latency, but fine-grained decomposition beyond the workflow’s natural service boundaries can become counterproductive. In this experiment, G3-512 achieved the best mean latency, G1-128 achieved the lowest marginal cost, and G4 was consistently the least attractive design from a cost-performance perspective. Therefore, the study should conclude that optimal Lambda granularity is an engineering trade-off rather than a monotonic progression toward smaller functions.</w:t>
      </w:r>
    </w:p>
    <w:p>
      <w:pPr>
        <w:pStyle w:val="Heading1"/>
      </w:pPr>
      <w:r>
        <w:t>Appendix A. Data Quality Notes</w:t>
      </w:r>
    </w:p>
    <w:p>
      <w:pPr>
        <w:pStyle w:val="ListBullet"/>
      </w:pPr>
      <w:r>
        <w:t>G3-1024 success rate = 99.92% (1179/1180).</w:t>
      </w:r>
    </w:p>
    <w:p>
      <w:pPr>
        <w:pStyle w:val="ListBullet"/>
      </w:pPr>
      <w:r>
        <w:t>CloudWatch/G1 summary file contains only research-order-g1-1024; G1-128 and G1-512 Lambda metrics were reconstructed from detailed per-request CloudWatch CSV files in RunTestFromClient.</w:t>
      </w:r>
    </w:p>
    <w:p>
      <w:pPr>
        <w:pStyle w:val="ListBullet"/>
      </w:pPr>
      <w:r>
        <w:t>G3/G4 child Lambda functions are not memory-suffixed in CloudWatch; cost model treats them as 128 MB child functions shared across orchestrator memory variants, while orchestrator memory varies by scenario.</w:t>
      </w:r>
    </w:p>
    <w:p>
      <w:pPr>
        <w:pStyle w:val="ListBullet"/>
      </w:pPr>
      <w:r>
        <w:t>Marginal cost estimates exclude AWS Free Tier and data transfer; they use Lambda Arm duration pricing, Lambda request pricing, and HTTP API request pricing.</w:t>
      </w:r>
    </w:p>
    <w:p>
      <w:pPr>
        <w:pStyle w:val="Heading1"/>
      </w:pPr>
      <w:r>
        <w:t>Appendix B. Generated Files</w:t>
      </w:r>
    </w:p>
    <w:p>
      <w:pPr>
        <w:pStyle w:val="ListBullet"/>
      </w:pPr>
      <w:r>
        <w:t>serverless_granularity_analysis.xlsx</w:t>
      </w:r>
    </w:p>
    <w:p>
      <w:pPr>
        <w:pStyle w:val="ListBullet"/>
      </w:pPr>
      <w:r>
        <w:t>scenario_summary.csv</w:t>
      </w:r>
    </w:p>
    <w:p>
      <w:pPr>
        <w:pStyle w:val="ListBullet"/>
      </w:pPr>
      <w:r>
        <w:t>granularity_summary.csv</w:t>
      </w:r>
    </w:p>
    <w:p>
      <w:pPr>
        <w:pStyle w:val="ListBullet"/>
      </w:pPr>
      <w:r>
        <w:t>component_cloudwatch_detail.csv</w:t>
      </w:r>
    </w:p>
    <w:p>
      <w:pPr>
        <w:pStyle w:val="ListBullet"/>
      </w:pPr>
      <w:r>
        <w:t>data_quality_notes.txt</w:t>
      </w:r>
    </w:p>
    <w:sectPr w:rsidR="00FC693F" w:rsidRPr="0006063C" w:rsidSect="00034616">
      <w:footerReference w:type="default" r:id="rId12"/>
      <w:pgSz w:w="12240" w:h="15840"/>
      <w:pgMar w:top="1008" w:right="936" w:bottom="1008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AWS Serverless Granularity Research - G1-G4 Data Analysis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