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CÔNG TY CỔ PHẦN GLOBAL LINK</w:t>
      </w:r>
    </w:p>
    <w:p>
      <w:pPr>
        <w:spacing w:before="120" w:after="120"/>
        <w:pBdr>
          <w:bottom w:val="single" w:sz="4" w:space="1" w:color="999999"/>
        </w:pBdr>
      </w:pPr>
    </w:p>
    <w:p>
      <w:pPr>
        <w:pStyle w:val="Heading2"/>
      </w:pPr>
      <w:r>
        <w:t>CHÍNH SÁCH THƯỞNG ĐẶC BIỆT — QUY ĐỊNH RIÊNG CHO NHÂN VIÊN VÀ CỬA HÀNG CỤ THỂ</w:t>
      </w:r>
    </w:p>
    <w:tbl>
      <w:tblPr>
        <w:tblStyle w:val="TableGrid"/>
        <w:tblW w:type="auto" w:w="0"/>
        <w:jc w:val="center"/>
        <w:tblLayout w:type="autofit"/>
        <w:tblLook w:firstColumn="1" w:firstRow="1" w:lastColumn="0" w:lastRow="0" w:noHBand="0" w:noVBand="1" w:val="04A0"/>
      </w:tblPr>
      <w:tblGrid>
        <w:gridCol w:w="4703"/>
        <w:gridCol w:w="4703"/>
      </w:tblGrid>
      <w:tr>
        <w:tc>
          <w:tcPr>
            <w:tcW w:type="dxa" w:w="4703"/>
            <w:shd w:fill="D9E2F3"/>
          </w:tcPr>
          <w:p>
            <w:r/>
            <w:r>
              <w:rPr>
                <w:rFonts w:ascii="Times New Roman" w:hAnsi="Times New Roman"/>
                <w:b/>
                <w:sz w:val="20"/>
              </w:rPr>
              <w:t>**Nội quy số:**</w:t>
            </w:r>
          </w:p>
        </w:tc>
        <w:tc>
          <w:tcPr>
            <w:tcW w:type="dxa" w:w="4703"/>
            <w:shd w:fill="D9E2F3"/>
          </w:tcPr>
          <w:p>
            <w:r/>
            <w:r>
              <w:rPr>
                <w:rFonts w:ascii="Times New Roman" w:hAnsi="Times New Roman"/>
                <w:b/>
                <w:sz w:val="20"/>
              </w:rPr>
              <w:t>GL-SP/2024</w:t>
            </w:r>
          </w:p>
        </w:tc>
      </w:tr>
      <w:tr>
        <w:tc>
          <w:tcPr>
            <w:tcW w:type="dxa" w:w="4703"/>
          </w:tcPr>
          <w:p>
            <w:r>
              <w:rPr>
                <w:rFonts w:ascii="Times New Roman" w:hAnsi="Times New Roman"/>
                <w:sz w:val="20"/>
              </w:rPr>
            </w:r>
            <w:r>
              <w:rPr>
                <w:rFonts w:ascii="Times New Roman" w:hAnsi="Times New Roman"/>
                <w:b/>
                <w:sz w:val="20"/>
              </w:rPr>
              <w:t>Lĩnh vực:</w:t>
            </w:r>
          </w:p>
        </w:tc>
        <w:tc>
          <w:tcPr>
            <w:tcW w:type="dxa" w:w="4703"/>
          </w:tcPr>
          <w:p>
            <w:r>
              <w:rPr>
                <w:rFonts w:ascii="Times New Roman" w:hAnsi="Times New Roman"/>
                <w:sz w:val="20"/>
              </w:rPr>
            </w:r>
            <w:r>
              <w:rPr>
                <w:rFonts w:ascii="Times New Roman" w:hAnsi="Times New Roman"/>
                <w:sz w:val="20"/>
              </w:rPr>
              <w:t>Chính sách thưởng doanh số đặc biệt cho nhân viên và cửa hàng cụ thể</w:t>
            </w:r>
          </w:p>
        </w:tc>
      </w:tr>
    </w:tbl>
    <w:p/>
    <w:p>
      <w:pPr>
        <w:ind w:left="567"/>
      </w:pPr>
      <w:r>
        <w:rPr>
          <w:i/>
          <w:color w:val="646464"/>
        </w:rPr>
        <w:t>Tùy thuộc vào tình hình kinh doanh của công ty, Ban Giám đốc có toàn quyền thay đổi bất cứ điểm nào quy định dưới đây tại bất cứ thời điểm nào.</w:t>
      </w:r>
    </w:p>
    <w:p>
      <w:pPr>
        <w:spacing w:before="120" w:after="120"/>
        <w:pBdr>
          <w:bottom w:val="single" w:sz="4" w:space="1" w:color="999999"/>
        </w:pBdr>
      </w:pPr>
    </w:p>
    <w:p>
      <w:pPr>
        <w:pStyle w:val="Heading3"/>
      </w:pPr>
      <w:r>
        <w:t>PHẦN I — MỤC ĐÍCH VÀ PHẠM VI</w:t>
      </w:r>
    </w:p>
    <w:p>
      <w:pPr>
        <w:pStyle w:val="Heading4"/>
      </w:pPr>
      <w:r>
        <w:t>Điều 1. Mục đích</w:t>
      </w:r>
    </w:p>
    <w:p>
      <w:r>
        <w:t xml:space="preserve">Tài liệu này quy định các chính sách thưởng doanh số </w:t>
      </w:r>
      <w:r>
        <w:rPr>
          <w:b/>
        </w:rPr>
        <w:t>ngoại lệ</w:t>
      </w:r>
      <w:r>
        <w:t xml:space="preserve">, áp dụng cho một số nhân viên và cửa hàng cụ thể có tính chất kinh doanh đặc thù. Các quy định trong tài liệu này </w:t>
      </w:r>
      <w:r>
        <w:rPr>
          <w:b/>
        </w:rPr>
        <w:t>bổ sung và ghi đè</w:t>
      </w:r>
      <w:r>
        <w:t xml:space="preserve"> các quy định tương ứng trong Chính sách Thưởng Doanh số Cửa hàng (GL02/2020) và Chính sách Thưởng Doanh số Cá nhân (GL03/2020) khi áp dụng cho các đối tượng được chỉ định.</w:t>
      </w:r>
    </w:p>
    <w:p>
      <w:pPr>
        <w:pStyle w:val="Heading4"/>
      </w:pPr>
      <w:r>
        <w:t>Điều 2. Phạm vi</w:t>
      </w:r>
    </w:p>
    <w:p>
      <w:r>
        <w:t>Chính sách này chỉ áp dụng cho các nhân viên và cửa hàng được liệt kê cụ thể trong từng phần bên dưới. Tất cả nhân viên và cửa hàng không được đề cập sẽ tiếp tục áp dụng chính sách thưởng tiêu chuẩn.</w:t>
      </w:r>
    </w:p>
    <w:p>
      <w:pPr>
        <w:spacing w:before="120" w:after="120"/>
        <w:pBdr>
          <w:bottom w:val="single" w:sz="4" w:space="1" w:color="999999"/>
        </w:pBdr>
      </w:pPr>
    </w:p>
    <w:p>
      <w:pPr>
        <w:pStyle w:val="Heading3"/>
      </w:pPr>
      <w:r>
        <w:t>PHẦN II — CHÍNH SÁCH THƯỞNG ĐẶC BIỆT THEO CỬA HÀNG</w:t>
      </w:r>
    </w:p>
    <w:p>
      <w:pPr>
        <w:pStyle w:val="Heading4"/>
      </w:pPr>
      <w:r>
        <w:t>Chương 1. Cửa hàng RWD — Tỷ lệ thưởng cá nhân đặc biệt</w:t>
      </w:r>
    </w:p>
    <w:p>
      <w:pPr>
        <w:pStyle w:val="Heading5"/>
      </w:pPr>
      <w:r>
        <w:t>Điều 1. Đối tượng áp dụng</w:t>
      </w:r>
    </w:p>
    <w:p>
      <w:r>
        <w:t xml:space="preserve">Tất cả nhân viên bán hàng thuộc cửa hàng </w:t>
      </w:r>
      <w:r>
        <w:rPr>
          <w:b/>
        </w:rPr>
        <w:t>RWD</w:t>
      </w:r>
      <w:r>
        <w:t xml:space="preserve"> (Rex Westside District).</w:t>
      </w:r>
    </w:p>
    <w:p>
      <w:pPr>
        <w:pStyle w:val="Heading5"/>
      </w:pPr>
      <w:r>
        <w:t>Điều 2. Nội dung</w:t>
      </w:r>
    </w:p>
    <w:p>
      <w:r>
        <w:t xml:space="preserve">Cửa hàng RWD áp dụng tỷ lệ thưởng cá nhân hàng thời trang (fashion) </w:t>
      </w:r>
      <w:r>
        <w:rPr>
          <w:b/>
        </w:rPr>
        <w:t>cao hơn</w:t>
      </w:r>
      <w:r>
        <w:t xml:space="preserve"> tỷ lệ tiêu chuẩn, với hệ số nhân </w:t>
      </w:r>
      <w:r>
        <w:rPr>
          <w:b/>
        </w:rPr>
        <w:t>1.5x</w:t>
      </w:r>
      <w:r>
        <w:t xml:space="preserve"> trên tất cả các bậc:</w:t>
      </w:r>
    </w:p>
    <w:tbl>
      <w:tblPr>
        <w:tblStyle w:val="TableGrid"/>
        <w:tblW w:type="auto" w:w="0"/>
        <w:jc w:val="center"/>
        <w:tblLayout w:type="autofit"/>
        <w:tblLook w:firstColumn="1" w:firstRow="1" w:lastColumn="0" w:lastRow="0" w:noHBand="0" w:noVBand="1" w:val="04A0"/>
      </w:tblPr>
      <w:tblGrid>
        <w:gridCol w:w="1568"/>
        <w:gridCol w:w="1568"/>
        <w:gridCol w:w="1568"/>
        <w:gridCol w:w="1568"/>
        <w:gridCol w:w="1568"/>
        <w:gridCol w:w="1568"/>
      </w:tblGrid>
      <w:tr>
        <w:tc>
          <w:tcPr>
            <w:tcW w:type="dxa" w:w="1568"/>
            <w:shd w:fill="D9E2F3"/>
          </w:tcPr>
          <w:p>
            <w:r/>
            <w:r>
              <w:rPr>
                <w:rFonts w:ascii="Times New Roman" w:hAnsi="Times New Roman"/>
                <w:b/>
                <w:sz w:val="20"/>
              </w:rPr>
              <w:t>Bậc</w:t>
            </w:r>
          </w:p>
        </w:tc>
        <w:tc>
          <w:tcPr>
            <w:tcW w:type="dxa" w:w="1568"/>
            <w:shd w:fill="D9E2F3"/>
          </w:tcPr>
          <w:p>
            <w:r/>
            <w:r>
              <w:rPr>
                <w:rFonts w:ascii="Times New Roman" w:hAnsi="Times New Roman"/>
                <w:b/>
                <w:sz w:val="20"/>
              </w:rPr>
              <w:t>Tỷ lệ đạt chỉ tiêu</w:t>
            </w:r>
          </w:p>
        </w:tc>
        <w:tc>
          <w:tcPr>
            <w:tcW w:type="dxa" w:w="1568"/>
            <w:shd w:fill="D9E2F3"/>
          </w:tcPr>
          <w:p>
            <w:r/>
            <w:r>
              <w:rPr>
                <w:rFonts w:ascii="Times New Roman" w:hAnsi="Times New Roman"/>
                <w:b/>
                <w:sz w:val="20"/>
              </w:rPr>
              <w:t>FP Tiêu chuẩn</w:t>
            </w:r>
          </w:p>
        </w:tc>
        <w:tc>
          <w:tcPr>
            <w:tcW w:type="dxa" w:w="1568"/>
            <w:shd w:fill="D9E2F3"/>
          </w:tcPr>
          <w:p>
            <w:r/>
            <w:r>
              <w:rPr>
                <w:rFonts w:ascii="Times New Roman" w:hAnsi="Times New Roman"/>
                <w:b/>
                <w:sz w:val="20"/>
              </w:rPr>
              <w:t>FP tại RWD</w:t>
            </w:r>
          </w:p>
        </w:tc>
        <w:tc>
          <w:tcPr>
            <w:tcW w:type="dxa" w:w="1568"/>
            <w:shd w:fill="D9E2F3"/>
          </w:tcPr>
          <w:p>
            <w:r/>
            <w:r>
              <w:rPr>
                <w:rFonts w:ascii="Times New Roman" w:hAnsi="Times New Roman"/>
                <w:b/>
                <w:sz w:val="20"/>
              </w:rPr>
              <w:t>MD Tiêu chuẩn</w:t>
            </w:r>
          </w:p>
        </w:tc>
        <w:tc>
          <w:tcPr>
            <w:tcW w:type="dxa" w:w="1568"/>
            <w:shd w:fill="D9E2F3"/>
          </w:tcPr>
          <w:p>
            <w:r/>
            <w:r>
              <w:rPr>
                <w:rFonts w:ascii="Times New Roman" w:hAnsi="Times New Roman"/>
                <w:b/>
                <w:sz w:val="20"/>
              </w:rPr>
              <w:t>MD tại RWD</w:t>
            </w:r>
          </w:p>
        </w:tc>
      </w:tr>
      <w:tr>
        <w:tc>
          <w:tcPr>
            <w:tcW w:type="dxa" w:w="1568"/>
          </w:tcPr>
          <w:p>
            <w:r>
              <w:rPr>
                <w:rFonts w:ascii="Times New Roman" w:hAnsi="Times New Roman"/>
                <w:sz w:val="20"/>
              </w:rPr>
            </w:r>
            <w:r>
              <w:rPr>
                <w:rFonts w:ascii="Times New Roman" w:hAnsi="Times New Roman"/>
                <w:sz w:val="20"/>
              </w:rPr>
              <w:t>1</w:t>
            </w:r>
          </w:p>
        </w:tc>
        <w:tc>
          <w:tcPr>
            <w:tcW w:type="dxa" w:w="1568"/>
          </w:tcPr>
          <w:p>
            <w:r>
              <w:rPr>
                <w:rFonts w:ascii="Times New Roman" w:hAnsi="Times New Roman"/>
                <w:sz w:val="20"/>
              </w:rPr>
            </w:r>
            <w:r>
              <w:rPr>
                <w:rFonts w:ascii="Times New Roman" w:hAnsi="Times New Roman"/>
                <w:sz w:val="20"/>
              </w:rPr>
              <w:t>50% - &lt;70%</w:t>
            </w:r>
          </w:p>
        </w:tc>
        <w:tc>
          <w:tcPr>
            <w:tcW w:type="dxa" w:w="1568"/>
          </w:tcPr>
          <w:p>
            <w:r>
              <w:rPr>
                <w:rFonts w:ascii="Times New Roman" w:hAnsi="Times New Roman"/>
                <w:sz w:val="20"/>
              </w:rPr>
            </w:r>
            <w:r>
              <w:rPr>
                <w:rFonts w:ascii="Times New Roman" w:hAnsi="Times New Roman"/>
                <w:sz w:val="20"/>
              </w:rPr>
              <w:t>0.25%</w:t>
            </w:r>
          </w:p>
        </w:tc>
        <w:tc>
          <w:tcPr>
            <w:tcW w:type="dxa" w:w="1568"/>
          </w:tcPr>
          <w:p>
            <w:r>
              <w:rPr>
                <w:rFonts w:ascii="Times New Roman" w:hAnsi="Times New Roman"/>
                <w:sz w:val="20"/>
              </w:rPr>
            </w:r>
            <w:r>
              <w:rPr>
                <w:rFonts w:ascii="Times New Roman" w:hAnsi="Times New Roman"/>
                <w:b/>
                <w:sz w:val="20"/>
              </w:rPr>
              <w:t>0.375%</w:t>
            </w:r>
          </w:p>
        </w:tc>
        <w:tc>
          <w:tcPr>
            <w:tcW w:type="dxa" w:w="1568"/>
          </w:tcPr>
          <w:p>
            <w:r>
              <w:rPr>
                <w:rFonts w:ascii="Times New Roman" w:hAnsi="Times New Roman"/>
                <w:sz w:val="20"/>
              </w:rPr>
            </w:r>
            <w:r>
              <w:rPr>
                <w:rFonts w:ascii="Times New Roman" w:hAnsi="Times New Roman"/>
                <w:sz w:val="20"/>
              </w:rPr>
              <w:t>0.125%</w:t>
            </w:r>
          </w:p>
        </w:tc>
        <w:tc>
          <w:tcPr>
            <w:tcW w:type="dxa" w:w="1568"/>
          </w:tcPr>
          <w:p>
            <w:r>
              <w:rPr>
                <w:rFonts w:ascii="Times New Roman" w:hAnsi="Times New Roman"/>
                <w:sz w:val="20"/>
              </w:rPr>
            </w:r>
            <w:r>
              <w:rPr>
                <w:rFonts w:ascii="Times New Roman" w:hAnsi="Times New Roman"/>
                <w:b/>
                <w:sz w:val="20"/>
              </w:rPr>
              <w:t>0.1875%</w:t>
            </w:r>
          </w:p>
        </w:tc>
      </w:tr>
      <w:tr>
        <w:tc>
          <w:tcPr>
            <w:tcW w:type="dxa" w:w="1568"/>
          </w:tcPr>
          <w:p>
            <w:r>
              <w:rPr>
                <w:rFonts w:ascii="Times New Roman" w:hAnsi="Times New Roman"/>
                <w:sz w:val="20"/>
              </w:rPr>
            </w:r>
            <w:r>
              <w:rPr>
                <w:rFonts w:ascii="Times New Roman" w:hAnsi="Times New Roman"/>
                <w:sz w:val="20"/>
              </w:rPr>
              <w:t>2</w:t>
            </w:r>
          </w:p>
        </w:tc>
        <w:tc>
          <w:tcPr>
            <w:tcW w:type="dxa" w:w="1568"/>
          </w:tcPr>
          <w:p>
            <w:r>
              <w:rPr>
                <w:rFonts w:ascii="Times New Roman" w:hAnsi="Times New Roman"/>
                <w:sz w:val="20"/>
              </w:rPr>
            </w:r>
            <w:r>
              <w:rPr>
                <w:rFonts w:ascii="Times New Roman" w:hAnsi="Times New Roman"/>
                <w:sz w:val="20"/>
              </w:rPr>
              <w:t>70% - &lt;100%</w:t>
            </w:r>
          </w:p>
        </w:tc>
        <w:tc>
          <w:tcPr>
            <w:tcW w:type="dxa" w:w="1568"/>
          </w:tcPr>
          <w:p>
            <w:r>
              <w:rPr>
                <w:rFonts w:ascii="Times New Roman" w:hAnsi="Times New Roman"/>
                <w:sz w:val="20"/>
              </w:rPr>
            </w:r>
            <w:r>
              <w:rPr>
                <w:rFonts w:ascii="Times New Roman" w:hAnsi="Times New Roman"/>
                <w:sz w:val="20"/>
              </w:rPr>
              <w:t>0.5%</w:t>
            </w:r>
          </w:p>
        </w:tc>
        <w:tc>
          <w:tcPr>
            <w:tcW w:type="dxa" w:w="1568"/>
          </w:tcPr>
          <w:p>
            <w:r>
              <w:rPr>
                <w:rFonts w:ascii="Times New Roman" w:hAnsi="Times New Roman"/>
                <w:sz w:val="20"/>
              </w:rPr>
            </w:r>
            <w:r>
              <w:rPr>
                <w:rFonts w:ascii="Times New Roman" w:hAnsi="Times New Roman"/>
                <w:b/>
                <w:sz w:val="20"/>
              </w:rPr>
              <w:t>0.75%</w:t>
            </w:r>
          </w:p>
        </w:tc>
        <w:tc>
          <w:tcPr>
            <w:tcW w:type="dxa" w:w="1568"/>
          </w:tcPr>
          <w:p>
            <w:r>
              <w:rPr>
                <w:rFonts w:ascii="Times New Roman" w:hAnsi="Times New Roman"/>
                <w:sz w:val="20"/>
              </w:rPr>
            </w:r>
            <w:r>
              <w:rPr>
                <w:rFonts w:ascii="Times New Roman" w:hAnsi="Times New Roman"/>
                <w:sz w:val="20"/>
              </w:rPr>
              <w:t>0.25%</w:t>
            </w:r>
          </w:p>
        </w:tc>
        <w:tc>
          <w:tcPr>
            <w:tcW w:type="dxa" w:w="1568"/>
          </w:tcPr>
          <w:p>
            <w:r>
              <w:rPr>
                <w:rFonts w:ascii="Times New Roman" w:hAnsi="Times New Roman"/>
                <w:sz w:val="20"/>
              </w:rPr>
            </w:r>
            <w:r>
              <w:rPr>
                <w:rFonts w:ascii="Times New Roman" w:hAnsi="Times New Roman"/>
                <w:b/>
                <w:sz w:val="20"/>
              </w:rPr>
              <w:t>0.375%</w:t>
            </w:r>
          </w:p>
        </w:tc>
      </w:tr>
      <w:tr>
        <w:tc>
          <w:tcPr>
            <w:tcW w:type="dxa" w:w="1568"/>
          </w:tcPr>
          <w:p>
            <w:r>
              <w:rPr>
                <w:rFonts w:ascii="Times New Roman" w:hAnsi="Times New Roman"/>
                <w:sz w:val="20"/>
              </w:rPr>
            </w:r>
            <w:r>
              <w:rPr>
                <w:rFonts w:ascii="Times New Roman" w:hAnsi="Times New Roman"/>
                <w:sz w:val="20"/>
              </w:rPr>
              <w:t>3</w:t>
            </w:r>
          </w:p>
        </w:tc>
        <w:tc>
          <w:tcPr>
            <w:tcW w:type="dxa" w:w="1568"/>
          </w:tcPr>
          <w:p>
            <w:r>
              <w:rPr>
                <w:rFonts w:ascii="Times New Roman" w:hAnsi="Times New Roman"/>
                <w:sz w:val="20"/>
              </w:rPr>
            </w:r>
            <w:r>
              <w:rPr>
                <w:rFonts w:ascii="Times New Roman" w:hAnsi="Times New Roman"/>
                <w:sz w:val="20"/>
              </w:rPr>
              <w:t>&gt;= 100%</w:t>
            </w:r>
          </w:p>
        </w:tc>
        <w:tc>
          <w:tcPr>
            <w:tcW w:type="dxa" w:w="1568"/>
          </w:tcPr>
          <w:p>
            <w:r>
              <w:rPr>
                <w:rFonts w:ascii="Times New Roman" w:hAnsi="Times New Roman"/>
                <w:sz w:val="20"/>
              </w:rPr>
            </w:r>
            <w:r>
              <w:rPr>
                <w:rFonts w:ascii="Times New Roman" w:hAnsi="Times New Roman"/>
                <w:sz w:val="20"/>
              </w:rPr>
              <w:t>1%</w:t>
            </w:r>
          </w:p>
        </w:tc>
        <w:tc>
          <w:tcPr>
            <w:tcW w:type="dxa" w:w="1568"/>
          </w:tcPr>
          <w:p>
            <w:r>
              <w:rPr>
                <w:rFonts w:ascii="Times New Roman" w:hAnsi="Times New Roman"/>
                <w:sz w:val="20"/>
              </w:rPr>
            </w:r>
            <w:r>
              <w:rPr>
                <w:rFonts w:ascii="Times New Roman" w:hAnsi="Times New Roman"/>
                <w:b/>
                <w:sz w:val="20"/>
              </w:rPr>
              <w:t>1.5%</w:t>
            </w:r>
          </w:p>
        </w:tc>
        <w:tc>
          <w:tcPr>
            <w:tcW w:type="dxa" w:w="1568"/>
          </w:tcPr>
          <w:p>
            <w:r>
              <w:rPr>
                <w:rFonts w:ascii="Times New Roman" w:hAnsi="Times New Roman"/>
                <w:sz w:val="20"/>
              </w:rPr>
            </w:r>
            <w:r>
              <w:rPr>
                <w:rFonts w:ascii="Times New Roman" w:hAnsi="Times New Roman"/>
                <w:sz w:val="20"/>
              </w:rPr>
              <w:t>0.5%</w:t>
            </w:r>
          </w:p>
        </w:tc>
        <w:tc>
          <w:tcPr>
            <w:tcW w:type="dxa" w:w="1568"/>
          </w:tcPr>
          <w:p>
            <w:r>
              <w:rPr>
                <w:rFonts w:ascii="Times New Roman" w:hAnsi="Times New Roman"/>
                <w:sz w:val="20"/>
              </w:rPr>
            </w:r>
            <w:r>
              <w:rPr>
                <w:rFonts w:ascii="Times New Roman" w:hAnsi="Times New Roman"/>
                <w:b/>
                <w:sz w:val="20"/>
              </w:rPr>
              <w:t>0.75%</w:t>
            </w:r>
          </w:p>
        </w:tc>
      </w:tr>
      <w:tr>
        <w:tc>
          <w:tcPr>
            <w:tcW w:type="dxa" w:w="1568"/>
          </w:tcPr>
          <w:p>
            <w:r>
              <w:rPr>
                <w:rFonts w:ascii="Times New Roman" w:hAnsi="Times New Roman"/>
                <w:sz w:val="20"/>
              </w:rPr>
            </w:r>
            <w:r>
              <w:rPr>
                <w:rFonts w:ascii="Times New Roman" w:hAnsi="Times New Roman"/>
                <w:sz w:val="20"/>
              </w:rPr>
              <w:t>4 (vượt)</w:t>
            </w:r>
          </w:p>
        </w:tc>
        <w:tc>
          <w:tcPr>
            <w:tcW w:type="dxa" w:w="1568"/>
          </w:tcPr>
          <w:p>
            <w:r>
              <w:rPr>
                <w:rFonts w:ascii="Times New Roman" w:hAnsi="Times New Roman"/>
                <w:sz w:val="20"/>
              </w:rPr>
            </w:r>
            <w:r>
              <w:rPr>
                <w:rFonts w:ascii="Times New Roman" w:hAnsi="Times New Roman"/>
                <w:sz w:val="20"/>
              </w:rPr>
              <w:t>&gt; 100%</w:t>
            </w:r>
          </w:p>
        </w:tc>
        <w:tc>
          <w:tcPr>
            <w:tcW w:type="dxa" w:w="1568"/>
          </w:tcPr>
          <w:p>
            <w:r>
              <w:rPr>
                <w:rFonts w:ascii="Times New Roman" w:hAnsi="Times New Roman"/>
                <w:sz w:val="20"/>
              </w:rPr>
            </w:r>
            <w:r>
              <w:rPr>
                <w:rFonts w:ascii="Times New Roman" w:hAnsi="Times New Roman"/>
                <w:sz w:val="20"/>
              </w:rPr>
              <w:t>1%</w:t>
            </w:r>
          </w:p>
        </w:tc>
        <w:tc>
          <w:tcPr>
            <w:tcW w:type="dxa" w:w="1568"/>
          </w:tcPr>
          <w:p>
            <w:r>
              <w:rPr>
                <w:rFonts w:ascii="Times New Roman" w:hAnsi="Times New Roman"/>
                <w:sz w:val="20"/>
              </w:rPr>
            </w:r>
            <w:r>
              <w:rPr>
                <w:rFonts w:ascii="Times New Roman" w:hAnsi="Times New Roman"/>
                <w:b/>
                <w:sz w:val="20"/>
              </w:rPr>
              <w:t>1.5%</w:t>
            </w:r>
          </w:p>
        </w:tc>
        <w:tc>
          <w:tcPr>
            <w:tcW w:type="dxa" w:w="1568"/>
          </w:tcPr>
          <w:p>
            <w:r>
              <w:rPr>
                <w:rFonts w:ascii="Times New Roman" w:hAnsi="Times New Roman"/>
                <w:sz w:val="20"/>
              </w:rPr>
            </w:r>
            <w:r>
              <w:rPr>
                <w:rFonts w:ascii="Times New Roman" w:hAnsi="Times New Roman"/>
                <w:sz w:val="20"/>
              </w:rPr>
              <w:t>—</w:t>
            </w:r>
          </w:p>
        </w:tc>
        <w:tc>
          <w:tcPr>
            <w:tcW w:type="dxa" w:w="1568"/>
          </w:tcPr>
          <w:p>
            <w:r>
              <w:rPr>
                <w:rFonts w:ascii="Times New Roman" w:hAnsi="Times New Roman"/>
                <w:sz w:val="20"/>
              </w:rPr>
            </w:r>
            <w:r>
              <w:rPr>
                <w:rFonts w:ascii="Times New Roman" w:hAnsi="Times New Roman"/>
                <w:sz w:val="20"/>
              </w:rPr>
              <w:t>—</w:t>
            </w:r>
          </w:p>
        </w:tc>
      </w:tr>
    </w:tbl>
    <w:p/>
    <w:p>
      <w:pPr>
        <w:pStyle w:val="Heading5"/>
      </w:pPr>
      <w:r>
        <w:t>Điều 3. Phạm vi ảnh hưởng</w:t>
      </w:r>
    </w:p>
    <w:p>
      <w:pPr>
        <w:pStyle w:val="ListBullet"/>
      </w:pPr>
      <w:r>
        <w:t xml:space="preserve">Tỷ lệ đặc biệt </w:t>
      </w:r>
      <w:r>
        <w:rPr>
          <w:b/>
        </w:rPr>
        <w:t>chỉ</w:t>
      </w:r>
      <w:r>
        <w:t xml:space="preserve"> áp dụng cho thưởng cá nhân hàng thời trang (fashion FP/MD và over-target bonus).</w:t>
      </w:r>
    </w:p>
    <w:p>
      <w:pPr>
        <w:pStyle w:val="ListBullet"/>
      </w:pPr>
      <w:r>
        <w:t>Thưởng trang sức, hand carry, suitcase, home decor áp dụng tỷ lệ tiêu chuẩn như các cửa hàng khác.</w:t>
      </w:r>
    </w:p>
    <w:p>
      <w:pPr>
        <w:pStyle w:val="ListBullet"/>
      </w:pPr>
      <w:r>
        <w:t>Thưởng cửa hàng (store commission) áp dụng chính sách tiêu chuẩn, không thay đổi.</w:t>
      </w:r>
    </w:p>
    <w:p>
      <w:pPr>
        <w:pStyle w:val="Heading5"/>
      </w:pPr>
      <w:r>
        <w:t>Điều 4. Tính chất</w:t>
      </w:r>
    </w:p>
    <w:p>
      <w:r>
        <w:t xml:space="preserve">Chính sách đặc biệt cho RWD có tính chất </w:t>
      </w:r>
      <w:r>
        <w:rPr>
          <w:b/>
        </w:rPr>
        <w:t>tạm thời</w:t>
      </w:r>
      <w:r>
        <w:t xml:space="preserve"> và có thể được Ban Giám đốc bật hoặc tắt tùy theo tình hình kinh doanh.</w:t>
      </w:r>
    </w:p>
    <w:p>
      <w:pPr>
        <w:spacing w:before="120" w:after="120"/>
        <w:pBdr>
          <w:bottom w:val="single" w:sz="4" w:space="1" w:color="999999"/>
        </w:pBdr>
      </w:pPr>
    </w:p>
    <w:p>
      <w:pPr>
        <w:pStyle w:val="Heading4"/>
      </w:pPr>
      <w:r>
        <w:t>Chương 2. Cửa hàng RHN và RWP — Quy chế liên cửa hàng</w:t>
      </w:r>
    </w:p>
    <w:p>
      <w:pPr>
        <w:pStyle w:val="Heading5"/>
      </w:pPr>
      <w:r>
        <w:t>Điều 1. Đối tượng áp dụng</w:t>
      </w:r>
    </w:p>
    <w:p>
      <w:r>
        <w:t xml:space="preserve">Tất cả nhân viên thuộc cửa hàng </w:t>
      </w:r>
      <w:r>
        <w:rPr>
          <w:b/>
        </w:rPr>
        <w:t>RHN</w:t>
      </w:r>
      <w:r>
        <w:t xml:space="preserve"> (Rex Hai Ba Trung) và </w:t>
      </w:r>
      <w:r>
        <w:rPr>
          <w:b/>
        </w:rPr>
        <w:t>RWP</w:t>
      </w:r>
      <w:r>
        <w:t xml:space="preserve"> (Rex Westside Premier).</w:t>
      </w:r>
    </w:p>
    <w:p>
      <w:pPr>
        <w:pStyle w:val="Heading5"/>
      </w:pPr>
      <w:r>
        <w:t>Điều 2. Quy chế bán hàng liên cửa hàng</w:t>
      </w:r>
    </w:p>
    <w:p>
      <w:r>
        <w:t xml:space="preserve">Nhân viên thuộc RHN hoặc RWP được phép bán hàng tại </w:t>
      </w:r>
      <w:r>
        <w:rPr>
          <w:b/>
        </w:rPr>
        <w:t>cả hai</w:t>
      </w:r>
      <w:r>
        <w:t xml:space="preserve"> cửa hàng. Doanh số của nhân viên được ghi nhận khi đáp ứng đồng thời hai điều kiện:</w:t>
      </w:r>
    </w:p>
    <w:p>
      <w:pPr>
        <w:pStyle w:val="ListNumber"/>
      </w:pPr>
      <w:r>
        <w:t>Nhân viên thuộc biên chế RHN hoặc RWP (</w:t>
      </w:r>
      <w:r>
        <w:rPr>
          <w:rFonts w:ascii="Courier New" w:hAnsi="Courier New"/>
          <w:sz w:val="20"/>
        </w:rPr>
        <w:t>store_code</w:t>
      </w:r>
      <w:r>
        <w:t xml:space="preserve"> là RHN hoặc RWP).</w:t>
      </w:r>
    </w:p>
    <w:p>
      <w:pPr>
        <w:pStyle w:val="ListNumber"/>
      </w:pPr>
      <w:r>
        <w:t>Giao dịch bán hàng phát sinh tại RHN hoặc RWP (</w:t>
      </w:r>
      <w:r>
        <w:rPr>
          <w:rFonts w:ascii="Courier New" w:hAnsi="Courier New"/>
          <w:sz w:val="20"/>
        </w:rPr>
        <w:t>doc_store_code</w:t>
      </w:r>
      <w:r>
        <w:t xml:space="preserve"> là RHN hoặc RWP).</w:t>
      </w:r>
    </w:p>
    <w:p>
      <w:pPr>
        <w:pStyle w:val="Heading5"/>
      </w:pPr>
      <w:r>
        <w:t>Điều 3. Ảnh hưởng đến thưởng cửa hàng</w:t>
      </w:r>
    </w:p>
    <w:p>
      <w:r>
        <w:t xml:space="preserve">a) </w:t>
      </w:r>
      <w:r>
        <w:rPr>
          <w:b/>
        </w:rPr>
        <w:t>Doanh số cửa hàng:</w:t>
      </w:r>
      <w:r>
        <w:t xml:space="preserve"> Giao dịch phát sinh tại cửa hàng nào được tính vào doanh số cửa hàng đó.</w:t>
      </w:r>
    </w:p>
    <w:p>
      <w:r>
        <w:t xml:space="preserve">b) </w:t>
      </w:r>
      <w:r>
        <w:rPr>
          <w:b/>
        </w:rPr>
        <w:t>Đóng góp nhân viên vào quỹ thưởng:</w:t>
      </w:r>
      <w:r>
        <w:t xml:space="preserve"> Nhân viên RHN/RWP đóng góp vào quỹ thưởng dựa trên doanh số bán tại cả hai cửa hàng, với điều kiện nhân viên thuộc biên chế một trong hai cửa hàng VÀ giao dịch tại một trong hai cửa hàng.</w:t>
      </w:r>
    </w:p>
    <w:p>
      <w:r>
        <w:t xml:space="preserve">c) </w:t>
      </w:r>
      <w:r>
        <w:rPr>
          <w:b/>
        </w:rPr>
        <w:t>Phân phối phần chia đều (30%):</w:t>
      </w:r>
      <w:r>
        <w:t xml:space="preserve"> Thay vì chia đều theo đầu người, phần 30% quỹ thưởng được phân phối theo </w:t>
      </w:r>
      <w:r>
        <w:rPr>
          <w:b/>
        </w:rPr>
        <w:t>tỷ lệ ngày công làm việc</w:t>
      </w:r>
      <w:r>
        <w:t xml:space="preserve"> của từng nhân viên:</w:t>
      </w:r>
    </w:p>
    <w:p>
      <w:pPr>
        <w:spacing w:after="0" w:before="0"/>
        <w:ind w:left="567"/>
      </w:pPr>
      <w:r>
        <w:rPr>
          <w:rFonts w:ascii="Courier New" w:hAnsi="Courier New"/>
          <w:sz w:val="20"/>
        </w:rPr>
        <w:t>Thưởng chia đều = 30% × Tổng quỹ × (Ngày công cá nhân / Tổng ngày công toàn bộ nhân viên)</w:t>
      </w:r>
    </w:p>
    <w:p>
      <w:pPr>
        <w:pStyle w:val="Heading5"/>
      </w:pPr>
      <w:r>
        <w:t>Điều 4. Ảnh hưởng đến thưởng cá nhân</w:t>
      </w:r>
    </w:p>
    <w:p>
      <w:r>
        <w:t xml:space="preserve">Thưởng cá nhân không bị ảnh hưởng — nhân viên vẫn được tính thưởng trên </w:t>
      </w:r>
      <w:r>
        <w:rPr>
          <w:b/>
        </w:rPr>
        <w:t>toàn bộ</w:t>
      </w:r>
      <w:r>
        <w:t xml:space="preserve"> doanh số cá nhân tại tất cả cửa hàng, theo quy định tại GL03/2020.</w:t>
      </w:r>
    </w:p>
    <w:p>
      <w:pPr>
        <w:spacing w:before="120" w:after="120"/>
        <w:pBdr>
          <w:bottom w:val="single" w:sz="4" w:space="1" w:color="999999"/>
        </w:pBdr>
      </w:pPr>
    </w:p>
    <w:p>
      <w:pPr>
        <w:pStyle w:val="Heading3"/>
      </w:pPr>
      <w:r>
        <w:t>PHẦN III — CHÍNH SÁCH THƯỞNG ĐẶC BIỆT THEO NHÂN VIÊN</w:t>
      </w:r>
    </w:p>
    <w:p>
      <w:pPr>
        <w:pStyle w:val="Heading4"/>
      </w:pPr>
      <w:r>
        <w:t>Chương 1. Nhân viên có cơ chế thưởng theo khách hàng chỉ định</w:t>
      </w:r>
    </w:p>
    <w:p>
      <w:pPr>
        <w:pStyle w:val="Heading5"/>
      </w:pPr>
      <w:r>
        <w:t>Điều 1. Đối tượng áp dụng</w:t>
      </w:r>
    </w:p>
    <w:p>
      <w:r>
        <w:t>Nhân viên được chỉ định bởi Ban Giám đốc, có trách nhiệm phục vụ một hoặc nhiều khách hàng cụ thể với cơ chế thưởng riêng biệt. Danh sách nhân viên và khách hàng chỉ định được quản lý nội bộ bởi phòng nhân sự.</w:t>
      </w:r>
    </w:p>
    <w:p>
      <w:pPr>
        <w:pStyle w:val="Heading5"/>
      </w:pPr>
      <w:r>
        <w:t>Điều 2. Cơ chế thưởng</w:t>
      </w:r>
    </w:p>
    <w:p>
      <w:r>
        <w:t xml:space="preserve">Nhân viên thuộc diện này áp dụng cơ chế thưởng </w:t>
      </w:r>
      <w:r>
        <w:rPr>
          <w:b/>
        </w:rPr>
        <w:t>đặc biệt</w:t>
      </w:r>
      <w:r>
        <w:t xml:space="preserve"> như sau:</w:t>
      </w:r>
    </w:p>
    <w:p>
      <w:r>
        <w:t xml:space="preserve">a) </w:t>
      </w:r>
      <w:r>
        <w:rPr>
          <w:b/>
        </w:rPr>
        <w:t>Thưởng hàng thời trang (Fashion):</w:t>
      </w:r>
    </w:p>
    <w:p>
      <w:pPr>
        <w:pStyle w:val="ListBullet"/>
      </w:pPr>
      <w:r>
        <w:t xml:space="preserve">Áp dụng tỷ lệ thưởng </w:t>
      </w:r>
      <w:r>
        <w:rPr>
          <w:b/>
        </w:rPr>
        <w:t>cố định 0.7%</w:t>
      </w:r>
      <w:r>
        <w:t xml:space="preserve"> trên doanh thu trước thuế cho </w:t>
      </w:r>
      <w:r>
        <w:rPr>
          <w:b/>
        </w:rPr>
        <w:t>tất cả</w:t>
      </w:r>
      <w:r>
        <w:t xml:space="preserve"> mặt hàng thời trang (không phân biệt FP/MD).</w:t>
      </w:r>
    </w:p>
    <w:p>
      <w:pPr>
        <w:pStyle w:val="ListBullet"/>
      </w:pPr>
      <w:r>
        <w:t xml:space="preserve">Tỷ lệ thưởng cố định </w:t>
      </w:r>
      <w:r>
        <w:rPr>
          <w:b/>
        </w:rPr>
        <w:t>chỉ</w:t>
      </w:r>
      <w:r>
        <w:t xml:space="preserve"> áp dụng cho doanh số bán cho </w:t>
      </w:r>
      <w:r>
        <w:rPr>
          <w:b/>
        </w:rPr>
        <w:t>khách hàng chỉ định</w:t>
      </w:r>
      <w:r>
        <w:t xml:space="preserve"> trong hệ thống.</w:t>
      </w:r>
    </w:p>
    <w:p>
      <w:pPr>
        <w:pStyle w:val="ListBullet"/>
      </w:pPr>
      <w:r>
        <w:t xml:space="preserve">Doanh số bán cho khách hàng khác </w:t>
      </w:r>
      <w:r>
        <w:rPr>
          <w:b/>
        </w:rPr>
        <w:t>không</w:t>
      </w:r>
      <w:r>
        <w:t xml:space="preserve"> được tính thưởng thời trang.</w:t>
      </w:r>
    </w:p>
    <w:p>
      <w:r>
        <w:t xml:space="preserve">b) </w:t>
      </w:r>
      <w:r>
        <w:rPr>
          <w:b/>
        </w:rPr>
        <w:t>Miễn trừ chỉ tiêu cá nhân:</w:t>
      </w:r>
    </w:p>
    <w:p>
      <w:pPr>
        <w:pStyle w:val="ListBullet"/>
      </w:pPr>
      <w:r>
        <w:t xml:space="preserve">Nhân viên </w:t>
      </w:r>
      <w:r>
        <w:rPr>
          <w:b/>
        </w:rPr>
        <w:t>không</w:t>
      </w:r>
      <w:r>
        <w:t xml:space="preserve"> bị ràng buộc bởi chỉ tiêu doanh số cá nhân.</w:t>
      </w:r>
    </w:p>
    <w:p>
      <w:pPr>
        <w:pStyle w:val="ListBullet"/>
      </w:pPr>
      <w:r>
        <w:rPr>
          <w:b/>
        </w:rPr>
        <w:t>Không</w:t>
      </w:r>
      <w:r>
        <w:t xml:space="preserve"> áp dụng hệ thống bậc thưởng (Tier 1-4).</w:t>
      </w:r>
    </w:p>
    <w:p>
      <w:pPr>
        <w:pStyle w:val="ListBullet"/>
      </w:pPr>
      <w:r>
        <w:rPr>
          <w:b/>
        </w:rPr>
        <w:t>Không</w:t>
      </w:r>
      <w:r>
        <w:t xml:space="preserve"> áp dụng thưởng vượt chỉ tiêu (Over-Target Bonus).</w:t>
      </w:r>
    </w:p>
    <w:p>
      <w:r>
        <w:t xml:space="preserve">c) </w:t>
      </w:r>
      <w:r>
        <w:rPr>
          <w:b/>
        </w:rPr>
        <w:t>Các loại thưởng khác:</w:t>
      </w:r>
    </w:p>
    <w:p>
      <w:pPr>
        <w:pStyle w:val="ListBullet"/>
      </w:pPr>
      <w:r>
        <w:t xml:space="preserve">Thưởng </w:t>
      </w:r>
      <w:r>
        <w:rPr>
          <w:b/>
        </w:rPr>
        <w:t>trang sức</w:t>
      </w:r>
      <w:r>
        <w:t xml:space="preserve"> (jewelry, vhernier, rosa maria): Áp dụng tỷ lệ tiêu chuẩn, </w:t>
      </w:r>
      <w:r>
        <w:rPr>
          <w:b/>
        </w:rPr>
        <w:t>không</w:t>
      </w:r>
      <w:r>
        <w:t xml:space="preserve"> giới hạn khách hàng.</w:t>
      </w:r>
    </w:p>
    <w:p>
      <w:pPr>
        <w:pStyle w:val="ListBullet"/>
      </w:pPr>
      <w:r>
        <w:t xml:space="preserve">Thưởng </w:t>
      </w:r>
      <w:r>
        <w:rPr>
          <w:b/>
        </w:rPr>
        <w:t>hand carry</w:t>
      </w:r>
      <w:r>
        <w:t xml:space="preserve">: Áp dụng tỷ lệ tiêu chuẩn, </w:t>
      </w:r>
      <w:r>
        <w:rPr>
          <w:b/>
        </w:rPr>
        <w:t>không</w:t>
      </w:r>
      <w:r>
        <w:t xml:space="preserve"> giới hạn khách hàng.</w:t>
      </w:r>
    </w:p>
    <w:p>
      <w:pPr>
        <w:pStyle w:val="ListBullet"/>
      </w:pPr>
      <w:r>
        <w:t xml:space="preserve">Thưởng </w:t>
      </w:r>
      <w:r>
        <w:rPr>
          <w:b/>
        </w:rPr>
        <w:t>suitcase</w:t>
      </w:r>
      <w:r>
        <w:t xml:space="preserve">: Áp dụng mức 500,000 VND/sản phẩm, </w:t>
      </w:r>
      <w:r>
        <w:rPr>
          <w:b/>
        </w:rPr>
        <w:t>không</w:t>
      </w:r>
      <w:r>
        <w:t xml:space="preserve"> giới hạn khách hàng.</w:t>
      </w:r>
    </w:p>
    <w:p>
      <w:pPr>
        <w:pStyle w:val="ListBullet"/>
      </w:pPr>
      <w:r>
        <w:t xml:space="preserve">Thưởng </w:t>
      </w:r>
      <w:r>
        <w:rPr>
          <w:b/>
        </w:rPr>
        <w:t>home decor</w:t>
      </w:r>
      <w:r>
        <w:t xml:space="preserve">: Áp dụng tỷ lệ 1% tiêu chuẩn, </w:t>
      </w:r>
      <w:r>
        <w:rPr>
          <w:b/>
        </w:rPr>
        <w:t>không</w:t>
      </w:r>
      <w:r>
        <w:t xml:space="preserve"> giới hạn khách hàng.</w:t>
      </w:r>
    </w:p>
    <w:p>
      <w:r>
        <w:t xml:space="preserve">d) </w:t>
      </w:r>
      <w:r>
        <w:rPr>
          <w:b/>
        </w:rPr>
        <w:t>Loại trừ:</w:t>
      </w:r>
    </w:p>
    <w:p>
      <w:pPr>
        <w:pStyle w:val="ListBullet"/>
      </w:pPr>
      <w:r>
        <w:t xml:space="preserve">Mặt hàng thuộc bộ phận COSM với vendor HEA vẫn </w:t>
      </w:r>
      <w:r>
        <w:rPr>
          <w:b/>
        </w:rPr>
        <w:t>không</w:t>
      </w:r>
      <w:r>
        <w:t xml:space="preserve"> được tính thưởng (chuyển SYSADMIN), giống quy định tiêu chuẩn.</w:t>
      </w:r>
    </w:p>
    <w:p>
      <w:pPr>
        <w:pStyle w:val="Heading5"/>
      </w:pPr>
      <w:r>
        <w:t>Điều 3. Tính chất</w:t>
      </w:r>
    </w:p>
    <w:p>
      <w:r>
        <w:t>Cơ chế thưởng theo khách hàng chỉ định có thể được thêm, sửa đổi, hoặc hủy bỏ bởi Ban Giám đốc vào bất kỳ thời điểm nào.</w:t>
      </w:r>
    </w:p>
    <w:p>
      <w:pPr>
        <w:spacing w:before="120" w:after="120"/>
        <w:pBdr>
          <w:bottom w:val="single" w:sz="4" w:space="1" w:color="999999"/>
        </w:pBdr>
      </w:pPr>
    </w:p>
    <w:p>
      <w:pPr>
        <w:pStyle w:val="Heading3"/>
      </w:pPr>
      <w:r>
        <w:t>PHẦN IV — QUY ĐỊNH VỀ BỘ PHẬN MỸ PHẨM (COSM)</w:t>
      </w:r>
    </w:p>
    <w:p>
      <w:pPr>
        <w:pStyle w:val="Heading4"/>
      </w:pPr>
      <w:r>
        <w:t>Điều 1. Mặt hàng COSM + Vendor HEA</w:t>
      </w:r>
    </w:p>
    <w:p>
      <w:r>
        <w:t xml:space="preserve">Mặt hàng thuộc bộ phận </w:t>
      </w:r>
      <w:r>
        <w:rPr>
          <w:b/>
        </w:rPr>
        <w:t>COSM</w:t>
      </w:r>
      <w:r>
        <w:t xml:space="preserve"> và vendor </w:t>
      </w:r>
      <w:r>
        <w:rPr>
          <w:b/>
        </w:rPr>
        <w:t>HEA</w:t>
      </w:r>
      <w:r>
        <w:t xml:space="preserve"> được </w:t>
      </w:r>
      <w:r>
        <w:rPr>
          <w:b/>
        </w:rPr>
        <w:t>tự động chuyển</w:t>
      </w:r>
      <w:r>
        <w:t xml:space="preserve"> về tài khoản SYSADMIN. Nhân viên bán hàng </w:t>
      </w:r>
      <w:r>
        <w:rPr>
          <w:b/>
        </w:rPr>
        <w:t>không</w:t>
      </w:r>
      <w:r>
        <w:t xml:space="preserve"> nhận bất kỳ khoản thưởng nào cho loại doanh số này.</w:t>
      </w:r>
    </w:p>
    <w:p>
      <w:r>
        <w:rPr>
          <w:b/>
        </w:rPr>
        <w:t>Lưu ý:</w:t>
      </w:r>
      <w:r>
        <w:t xml:space="preserve"> Doanh số COSM+HEA vẫn được </w:t>
      </w:r>
      <w:r>
        <w:rPr>
          <w:b/>
        </w:rPr>
        <w:t>tính vào tổng doanh thu</w:t>
      </w:r>
      <w:r>
        <w:t xml:space="preserve"> để xác định tỷ lệ đạt chỉ tiêu cá nhân (achievement rate). Nhân viên vẫn được hưởng lợi gián tiếp từ việc bán hàng COSM+HEA thông qua việc nâng cao tỷ lệ đạt chỉ tiêu.</w:t>
      </w:r>
    </w:p>
    <w:p>
      <w:pPr>
        <w:pStyle w:val="Heading4"/>
      </w:pPr>
      <w:r>
        <w:t>Điều 2. Mặt hàng COSM + Vendor khác (không phải HEA)</w:t>
      </w:r>
    </w:p>
    <w:p>
      <w:r>
        <w:t xml:space="preserve">Mặt hàng COSM với vendor </w:t>
      </w:r>
      <w:r>
        <w:rPr>
          <w:b/>
        </w:rPr>
        <w:t>không phải HEA</w:t>
      </w:r>
      <w:r>
        <w:t xml:space="preserve"> (ví dụ: NBP, AQU) được phân loại là </w:t>
      </w:r>
      <w:r>
        <w:rPr>
          <w:b/>
        </w:rPr>
        <w:t>hàng thời trang</w:t>
      </w:r>
      <w:r>
        <w:t xml:space="preserve"> (Fashion) và áp dụng cơ chế thưởng theo bậc tiêu chuẩn. Các mặt hàng này </w:t>
      </w:r>
      <w:r>
        <w:rPr>
          <w:b/>
        </w:rPr>
        <w:t>được</w:t>
      </w:r>
      <w:r>
        <w:t xml:space="preserve"> tính vào thưởng vượt chỉ tiêu (Over-Target Bonus) nếu đủ điều kiện.</w:t>
      </w:r>
    </w:p>
    <w:p>
      <w:pPr>
        <w:spacing w:before="120" w:after="120"/>
        <w:pBdr>
          <w:bottom w:val="single" w:sz="4" w:space="1" w:color="999999"/>
        </w:pBdr>
      </w:pPr>
    </w:p>
    <w:p>
      <w:pPr>
        <w:pStyle w:val="Heading3"/>
      </w:pPr>
      <w:r>
        <w:t>PHẦN V — QUY ĐỊNH VỀ BỘ PHẬN NỘI THẤT (HOME)</w:t>
      </w:r>
    </w:p>
    <w:p>
      <w:pPr>
        <w:pStyle w:val="Heading4"/>
      </w:pPr>
      <w:r>
        <w:t>Điều 1. Tỷ lệ thưởng</w:t>
      </w:r>
    </w:p>
    <w:p>
      <w:r>
        <w:t xml:space="preserve">Mặt hàng thuộc bộ phận </w:t>
      </w:r>
      <w:r>
        <w:rPr>
          <w:b/>
        </w:rPr>
        <w:t>HOME</w:t>
      </w:r>
      <w:r>
        <w:t xml:space="preserve"> áp dụng tỷ lệ thưởng cố định </w:t>
      </w:r>
      <w:r>
        <w:rPr>
          <w:b/>
        </w:rPr>
        <w:t>1%</w:t>
      </w:r>
      <w:r>
        <w:t xml:space="preserve"> trên doanh thu trước thuế, </w:t>
      </w:r>
      <w:r>
        <w:rPr>
          <w:b/>
        </w:rPr>
        <w:t>không</w:t>
      </w:r>
      <w:r>
        <w:t xml:space="preserve"> phụ thuộc vào tỷ lệ đạt chỉ tiêu cá nhân.</w:t>
      </w:r>
    </w:p>
    <w:p>
      <w:pPr>
        <w:pStyle w:val="Heading4"/>
      </w:pPr>
      <w:r>
        <w:t>Điều 2. Loại trừ khỏi thưởng vượt chỉ tiêu</w:t>
      </w:r>
    </w:p>
    <w:p>
      <w:r>
        <w:t xml:space="preserve">Mặt hàng HOME </w:t>
      </w:r>
      <w:r>
        <w:rPr>
          <w:b/>
        </w:rPr>
        <w:t>không</w:t>
      </w:r>
      <w:r>
        <w:t xml:space="preserve"> được tính vào phần doanh số đủ điều kiện nhận thưởng vượt chỉ tiêu (Over-Target Bonus), ngay cả khi nhân viên đã vượt 100% chỉ tiêu.</w:t>
      </w:r>
    </w:p>
    <w:p>
      <w:pPr>
        <w:pStyle w:val="Heading4"/>
      </w:pPr>
      <w:r>
        <w:t>Điều 3. Tính vào doanh số tổng</w:t>
      </w:r>
    </w:p>
    <w:p>
      <w:r>
        <w:t xml:space="preserve">Doanh số HOME vẫn được </w:t>
      </w:r>
      <w:r>
        <w:rPr>
          <w:b/>
        </w:rPr>
        <w:t>tính đầy đủ</w:t>
      </w:r>
      <w:r>
        <w:t xml:space="preserve"> vào tổng doanh thu để xác định tỷ lệ đạt chỉ tiêu cá nhân.</w:t>
      </w:r>
    </w:p>
    <w:p>
      <w:pPr>
        <w:spacing w:before="120" w:after="120"/>
        <w:pBdr>
          <w:bottom w:val="single" w:sz="4" w:space="1" w:color="999999"/>
        </w:pBdr>
      </w:pPr>
    </w:p>
    <w:p>
      <w:pPr>
        <w:pStyle w:val="Heading3"/>
      </w:pPr>
      <w:r>
        <w:t>PHẦN VI — QUY ĐỊNH VỀ NHÂN VIÊN THỬ VIỆC</w:t>
      </w:r>
    </w:p>
    <w:p>
      <w:pPr>
        <w:pStyle w:val="Heading4"/>
      </w:pPr>
      <w:r>
        <w:t>Điều 1. Thưởng cửa hàng</w:t>
      </w:r>
    </w:p>
    <w:p>
      <w:r>
        <w:t xml:space="preserve">Nhân viên trong thời gian thử việc (hợp đồng Probation) chỉ được nhận </w:t>
      </w:r>
      <w:r>
        <w:rPr>
          <w:b/>
        </w:rPr>
        <w:t>phần chia đều (30%)</w:t>
      </w:r>
      <w:r>
        <w:t xml:space="preserve"> của quỹ thưởng cửa hàng. Cụ thể:</w:t>
      </w:r>
    </w:p>
    <w:p>
      <w:pPr>
        <w:pStyle w:val="ListBullet"/>
      </w:pPr>
      <w:r>
        <w:rPr>
          <w:b/>
        </w:rPr>
        <w:t>Không</w:t>
      </w:r>
      <w:r>
        <w:t xml:space="preserve"> nhận phần thưởng cá nhân (70% đóng góp).</w:t>
      </w:r>
    </w:p>
    <w:p>
      <w:pPr>
        <w:pStyle w:val="ListBullet"/>
      </w:pPr>
      <w:r>
        <w:rPr>
          <w:b/>
        </w:rPr>
        <w:t>Không</w:t>
      </w:r>
      <w:r>
        <w:t xml:space="preserve"> nhận thưởng quản lý (Manager Bonus).</w:t>
      </w:r>
    </w:p>
    <w:p>
      <w:pPr>
        <w:pStyle w:val="Heading4"/>
      </w:pPr>
      <w:r>
        <w:t>Điều 2. Thưởng cá nhân</w:t>
      </w:r>
    </w:p>
    <w:p>
      <w:r>
        <w:t>Nhân viên thử việc vẫn được tính thưởng cá nhân theo chính sách tiêu chuẩn (GL03/2020), bao gồm thưởng thời trang theo bậc, trang sức, hand carry, suitcase, và home decor, miễn là nhân viên có tài khoản POS và phát sinh doanh số.</w:t>
      </w:r>
    </w:p>
    <w:p>
      <w:pPr>
        <w:spacing w:before="120" w:after="120"/>
        <w:pBdr>
          <w:bottom w:val="single" w:sz="4" w:space="1" w:color="999999"/>
        </w:pBdr>
      </w:pPr>
    </w:p>
    <w:p>
      <w:pPr>
        <w:pStyle w:val="Heading3"/>
      </w:pPr>
      <w:r>
        <w:t>PHẦN VII — BẢNG TỔNG HỢP CÁC NGOẠI LỆ</w:t>
      </w:r>
    </w:p>
    <w:tbl>
      <w:tblPr>
        <w:tblStyle w:val="TableGrid"/>
        <w:tblW w:type="auto" w:w="0"/>
        <w:jc w:val="center"/>
        <w:tblLayout w:type="autofit"/>
        <w:tblLook w:firstColumn="1" w:firstRow="1" w:lastColumn="0" w:lastRow="0" w:noHBand="0" w:noVBand="1" w:val="04A0"/>
      </w:tblPr>
      <w:tblGrid>
        <w:gridCol w:w="2351"/>
        <w:gridCol w:w="2351"/>
        <w:gridCol w:w="2351"/>
        <w:gridCol w:w="2351"/>
      </w:tblGrid>
      <w:tr>
        <w:tc>
          <w:tcPr>
            <w:tcW w:type="dxa" w:w="2351"/>
            <w:shd w:fill="D9E2F3"/>
          </w:tcPr>
          <w:p>
            <w:r/>
            <w:r>
              <w:rPr>
                <w:rFonts w:ascii="Times New Roman" w:hAnsi="Times New Roman"/>
                <w:b/>
                <w:sz w:val="20"/>
              </w:rPr>
              <w:t>Đối tượng</w:t>
            </w:r>
          </w:p>
        </w:tc>
        <w:tc>
          <w:tcPr>
            <w:tcW w:type="dxa" w:w="2351"/>
            <w:shd w:fill="D9E2F3"/>
          </w:tcPr>
          <w:p>
            <w:r/>
            <w:r>
              <w:rPr>
                <w:rFonts w:ascii="Times New Roman" w:hAnsi="Times New Roman"/>
                <w:b/>
                <w:sz w:val="20"/>
              </w:rPr>
              <w:t>Loại ngoại lệ</w:t>
            </w:r>
          </w:p>
        </w:tc>
        <w:tc>
          <w:tcPr>
            <w:tcW w:type="dxa" w:w="2351"/>
            <w:shd w:fill="D9E2F3"/>
          </w:tcPr>
          <w:p>
            <w:r/>
            <w:r>
              <w:rPr>
                <w:rFonts w:ascii="Times New Roman" w:hAnsi="Times New Roman"/>
                <w:b/>
                <w:sz w:val="20"/>
              </w:rPr>
              <w:t>Nội dung</w:t>
            </w:r>
          </w:p>
        </w:tc>
        <w:tc>
          <w:tcPr>
            <w:tcW w:type="dxa" w:w="2351"/>
            <w:shd w:fill="D9E2F3"/>
          </w:tcPr>
          <w:p>
            <w:r/>
            <w:r>
              <w:rPr>
                <w:rFonts w:ascii="Times New Roman" w:hAnsi="Times New Roman"/>
                <w:b/>
                <w:sz w:val="20"/>
              </w:rPr>
              <w:t>Tham chiếu</w:t>
            </w:r>
          </w:p>
        </w:tc>
      </w:tr>
      <w:tr>
        <w:tc>
          <w:tcPr>
            <w:tcW w:type="dxa" w:w="2351"/>
          </w:tcPr>
          <w:p>
            <w:r>
              <w:rPr>
                <w:rFonts w:ascii="Times New Roman" w:hAnsi="Times New Roman"/>
                <w:sz w:val="20"/>
              </w:rPr>
            </w:r>
            <w:r>
              <w:rPr>
                <w:rFonts w:ascii="Times New Roman" w:hAnsi="Times New Roman"/>
                <w:sz w:val="20"/>
              </w:rPr>
              <w:t>Cửa hàng RWD</w:t>
            </w:r>
          </w:p>
        </w:tc>
        <w:tc>
          <w:tcPr>
            <w:tcW w:type="dxa" w:w="2351"/>
          </w:tcPr>
          <w:p>
            <w:r>
              <w:rPr>
                <w:rFonts w:ascii="Times New Roman" w:hAnsi="Times New Roman"/>
                <w:sz w:val="20"/>
              </w:rPr>
            </w:r>
            <w:r>
              <w:rPr>
                <w:rFonts w:ascii="Times New Roman" w:hAnsi="Times New Roman"/>
                <w:sz w:val="20"/>
              </w:rPr>
              <w:t>Tỷ lệ thưởng cá nhân</w:t>
            </w:r>
          </w:p>
        </w:tc>
        <w:tc>
          <w:tcPr>
            <w:tcW w:type="dxa" w:w="2351"/>
          </w:tcPr>
          <w:p>
            <w:r>
              <w:rPr>
                <w:rFonts w:ascii="Times New Roman" w:hAnsi="Times New Roman"/>
                <w:sz w:val="20"/>
              </w:rPr>
            </w:r>
            <w:r>
              <w:rPr>
                <w:rFonts w:ascii="Times New Roman" w:hAnsi="Times New Roman"/>
                <w:sz w:val="20"/>
              </w:rPr>
              <w:t>Hệ số 1.5x trên thưởng fashion FP/MD/OT</w:t>
            </w:r>
          </w:p>
        </w:tc>
        <w:tc>
          <w:tcPr>
            <w:tcW w:type="dxa" w:w="2351"/>
          </w:tcPr>
          <w:p>
            <w:r>
              <w:rPr>
                <w:rFonts w:ascii="Times New Roman" w:hAnsi="Times New Roman"/>
                <w:sz w:val="20"/>
              </w:rPr>
            </w:r>
            <w:r>
              <w:rPr>
                <w:rFonts w:ascii="Times New Roman" w:hAnsi="Times New Roman"/>
                <w:sz w:val="20"/>
              </w:rPr>
              <w:t>Phần II, Chương 1</w:t>
            </w:r>
          </w:p>
        </w:tc>
      </w:tr>
      <w:tr>
        <w:tc>
          <w:tcPr>
            <w:tcW w:type="dxa" w:w="2351"/>
          </w:tcPr>
          <w:p>
            <w:r>
              <w:rPr>
                <w:rFonts w:ascii="Times New Roman" w:hAnsi="Times New Roman"/>
                <w:sz w:val="20"/>
              </w:rPr>
            </w:r>
            <w:r>
              <w:rPr>
                <w:rFonts w:ascii="Times New Roman" w:hAnsi="Times New Roman"/>
                <w:sz w:val="20"/>
              </w:rPr>
              <w:t>Cửa hàng RHN/RWP</w:t>
            </w:r>
          </w:p>
        </w:tc>
        <w:tc>
          <w:tcPr>
            <w:tcW w:type="dxa" w:w="2351"/>
          </w:tcPr>
          <w:p>
            <w:r>
              <w:rPr>
                <w:rFonts w:ascii="Times New Roman" w:hAnsi="Times New Roman"/>
                <w:sz w:val="20"/>
              </w:rPr>
            </w:r>
            <w:r>
              <w:rPr>
                <w:rFonts w:ascii="Times New Roman" w:hAnsi="Times New Roman"/>
                <w:sz w:val="20"/>
              </w:rPr>
              <w:t>Liên cửa hàng</w:t>
            </w:r>
          </w:p>
        </w:tc>
        <w:tc>
          <w:tcPr>
            <w:tcW w:type="dxa" w:w="2351"/>
          </w:tcPr>
          <w:p>
            <w:r>
              <w:rPr>
                <w:rFonts w:ascii="Times New Roman" w:hAnsi="Times New Roman"/>
                <w:sz w:val="20"/>
              </w:rPr>
            </w:r>
            <w:r>
              <w:rPr>
                <w:rFonts w:ascii="Times New Roman" w:hAnsi="Times New Roman"/>
                <w:sz w:val="20"/>
              </w:rPr>
              <w:t>Bán hàng tại cả 2 CH; chia đều theo ngày công</w:t>
            </w:r>
          </w:p>
        </w:tc>
        <w:tc>
          <w:tcPr>
            <w:tcW w:type="dxa" w:w="2351"/>
          </w:tcPr>
          <w:p>
            <w:r>
              <w:rPr>
                <w:rFonts w:ascii="Times New Roman" w:hAnsi="Times New Roman"/>
                <w:sz w:val="20"/>
              </w:rPr>
            </w:r>
            <w:r>
              <w:rPr>
                <w:rFonts w:ascii="Times New Roman" w:hAnsi="Times New Roman"/>
                <w:sz w:val="20"/>
              </w:rPr>
              <w:t>Phần II, Chương 2</w:t>
            </w:r>
          </w:p>
        </w:tc>
      </w:tr>
      <w:tr>
        <w:tc>
          <w:tcPr>
            <w:tcW w:type="dxa" w:w="2351"/>
          </w:tcPr>
          <w:p>
            <w:r>
              <w:rPr>
                <w:rFonts w:ascii="Times New Roman" w:hAnsi="Times New Roman"/>
                <w:sz w:val="20"/>
              </w:rPr>
            </w:r>
            <w:r>
              <w:rPr>
                <w:rFonts w:ascii="Times New Roman" w:hAnsi="Times New Roman"/>
                <w:sz w:val="20"/>
              </w:rPr>
              <w:t>NV chỉ định</w:t>
            </w:r>
          </w:p>
        </w:tc>
        <w:tc>
          <w:tcPr>
            <w:tcW w:type="dxa" w:w="2351"/>
          </w:tcPr>
          <w:p>
            <w:r>
              <w:rPr>
                <w:rFonts w:ascii="Times New Roman" w:hAnsi="Times New Roman"/>
                <w:sz w:val="20"/>
              </w:rPr>
            </w:r>
            <w:r>
              <w:rPr>
                <w:rFonts w:ascii="Times New Roman" w:hAnsi="Times New Roman"/>
                <w:sz w:val="20"/>
              </w:rPr>
              <w:t>Thưởng theo khách hàng</w:t>
            </w:r>
          </w:p>
        </w:tc>
        <w:tc>
          <w:tcPr>
            <w:tcW w:type="dxa" w:w="2351"/>
          </w:tcPr>
          <w:p>
            <w:r>
              <w:rPr>
                <w:rFonts w:ascii="Times New Roman" w:hAnsi="Times New Roman"/>
                <w:sz w:val="20"/>
              </w:rPr>
            </w:r>
            <w:r>
              <w:rPr>
                <w:rFonts w:ascii="Times New Roman" w:hAnsi="Times New Roman"/>
                <w:sz w:val="20"/>
              </w:rPr>
              <w:t>0.7% cố định, không chỉ tiêu, chỉ KH chỉ định</w:t>
            </w:r>
          </w:p>
        </w:tc>
        <w:tc>
          <w:tcPr>
            <w:tcW w:type="dxa" w:w="2351"/>
          </w:tcPr>
          <w:p>
            <w:r>
              <w:rPr>
                <w:rFonts w:ascii="Times New Roman" w:hAnsi="Times New Roman"/>
                <w:sz w:val="20"/>
              </w:rPr>
            </w:r>
            <w:r>
              <w:rPr>
                <w:rFonts w:ascii="Times New Roman" w:hAnsi="Times New Roman"/>
                <w:sz w:val="20"/>
              </w:rPr>
              <w:t>Phần III, Chương 1</w:t>
            </w:r>
          </w:p>
        </w:tc>
      </w:tr>
      <w:tr>
        <w:tc>
          <w:tcPr>
            <w:tcW w:type="dxa" w:w="2351"/>
          </w:tcPr>
          <w:p>
            <w:r>
              <w:rPr>
                <w:rFonts w:ascii="Times New Roman" w:hAnsi="Times New Roman"/>
                <w:sz w:val="20"/>
              </w:rPr>
            </w:r>
            <w:r>
              <w:rPr>
                <w:rFonts w:ascii="Times New Roman" w:hAnsi="Times New Roman"/>
                <w:sz w:val="20"/>
              </w:rPr>
              <w:t>Bộ phận COSM+HEA</w:t>
            </w:r>
          </w:p>
        </w:tc>
        <w:tc>
          <w:tcPr>
            <w:tcW w:type="dxa" w:w="2351"/>
          </w:tcPr>
          <w:p>
            <w:r>
              <w:rPr>
                <w:rFonts w:ascii="Times New Roman" w:hAnsi="Times New Roman"/>
                <w:sz w:val="20"/>
              </w:rPr>
            </w:r>
            <w:r>
              <w:rPr>
                <w:rFonts w:ascii="Times New Roman" w:hAnsi="Times New Roman"/>
                <w:sz w:val="20"/>
              </w:rPr>
              <w:t>Loại trừ thưởng</w:t>
            </w:r>
          </w:p>
        </w:tc>
        <w:tc>
          <w:tcPr>
            <w:tcW w:type="dxa" w:w="2351"/>
          </w:tcPr>
          <w:p>
            <w:r>
              <w:rPr>
                <w:rFonts w:ascii="Times New Roman" w:hAnsi="Times New Roman"/>
                <w:sz w:val="20"/>
              </w:rPr>
            </w:r>
            <w:r>
              <w:rPr>
                <w:rFonts w:ascii="Times New Roman" w:hAnsi="Times New Roman"/>
                <w:sz w:val="20"/>
              </w:rPr>
              <w:t>0% — chuyển SYSADMIN</w:t>
            </w:r>
          </w:p>
        </w:tc>
        <w:tc>
          <w:tcPr>
            <w:tcW w:type="dxa" w:w="2351"/>
          </w:tcPr>
          <w:p>
            <w:r>
              <w:rPr>
                <w:rFonts w:ascii="Times New Roman" w:hAnsi="Times New Roman"/>
                <w:sz w:val="20"/>
              </w:rPr>
            </w:r>
            <w:r>
              <w:rPr>
                <w:rFonts w:ascii="Times New Roman" w:hAnsi="Times New Roman"/>
                <w:sz w:val="20"/>
              </w:rPr>
              <w:t>Phần IV, Điều 1</w:t>
            </w:r>
          </w:p>
        </w:tc>
      </w:tr>
      <w:tr>
        <w:tc>
          <w:tcPr>
            <w:tcW w:type="dxa" w:w="2351"/>
          </w:tcPr>
          <w:p>
            <w:r>
              <w:rPr>
                <w:rFonts w:ascii="Times New Roman" w:hAnsi="Times New Roman"/>
                <w:sz w:val="20"/>
              </w:rPr>
            </w:r>
            <w:r>
              <w:rPr>
                <w:rFonts w:ascii="Times New Roman" w:hAnsi="Times New Roman"/>
                <w:sz w:val="20"/>
              </w:rPr>
              <w:t>Bộ phận COSM (non-HEA)</w:t>
            </w:r>
          </w:p>
        </w:tc>
        <w:tc>
          <w:tcPr>
            <w:tcW w:type="dxa" w:w="2351"/>
          </w:tcPr>
          <w:p>
            <w:r>
              <w:rPr>
                <w:rFonts w:ascii="Times New Roman" w:hAnsi="Times New Roman"/>
                <w:sz w:val="20"/>
              </w:rPr>
            </w:r>
            <w:r>
              <w:rPr>
                <w:rFonts w:ascii="Times New Roman" w:hAnsi="Times New Roman"/>
                <w:sz w:val="20"/>
              </w:rPr>
              <w:t>Phân loại lại</w:t>
            </w:r>
          </w:p>
        </w:tc>
        <w:tc>
          <w:tcPr>
            <w:tcW w:type="dxa" w:w="2351"/>
          </w:tcPr>
          <w:p>
            <w:r>
              <w:rPr>
                <w:rFonts w:ascii="Times New Roman" w:hAnsi="Times New Roman"/>
                <w:sz w:val="20"/>
              </w:rPr>
            </w:r>
            <w:r>
              <w:rPr>
                <w:rFonts w:ascii="Times New Roman" w:hAnsi="Times New Roman"/>
                <w:sz w:val="20"/>
              </w:rPr>
              <w:t>Tính như hàng thời trang</w:t>
            </w:r>
          </w:p>
        </w:tc>
        <w:tc>
          <w:tcPr>
            <w:tcW w:type="dxa" w:w="2351"/>
          </w:tcPr>
          <w:p>
            <w:r>
              <w:rPr>
                <w:rFonts w:ascii="Times New Roman" w:hAnsi="Times New Roman"/>
                <w:sz w:val="20"/>
              </w:rPr>
            </w:r>
            <w:r>
              <w:rPr>
                <w:rFonts w:ascii="Times New Roman" w:hAnsi="Times New Roman"/>
                <w:sz w:val="20"/>
              </w:rPr>
              <w:t>Phần IV, Điều 2</w:t>
            </w:r>
          </w:p>
        </w:tc>
      </w:tr>
      <w:tr>
        <w:tc>
          <w:tcPr>
            <w:tcW w:type="dxa" w:w="2351"/>
          </w:tcPr>
          <w:p>
            <w:r>
              <w:rPr>
                <w:rFonts w:ascii="Times New Roman" w:hAnsi="Times New Roman"/>
                <w:sz w:val="20"/>
              </w:rPr>
            </w:r>
            <w:r>
              <w:rPr>
                <w:rFonts w:ascii="Times New Roman" w:hAnsi="Times New Roman"/>
                <w:sz w:val="20"/>
              </w:rPr>
              <w:t>Bộ phận HOME</w:t>
            </w:r>
          </w:p>
        </w:tc>
        <w:tc>
          <w:tcPr>
            <w:tcW w:type="dxa" w:w="2351"/>
          </w:tcPr>
          <w:p>
            <w:r>
              <w:rPr>
                <w:rFonts w:ascii="Times New Roman" w:hAnsi="Times New Roman"/>
                <w:sz w:val="20"/>
              </w:rPr>
            </w:r>
            <w:r>
              <w:rPr>
                <w:rFonts w:ascii="Times New Roman" w:hAnsi="Times New Roman"/>
                <w:sz w:val="20"/>
              </w:rPr>
              <w:t>Tỷ lệ cố định</w:t>
            </w:r>
          </w:p>
        </w:tc>
        <w:tc>
          <w:tcPr>
            <w:tcW w:type="dxa" w:w="2351"/>
          </w:tcPr>
          <w:p>
            <w:r>
              <w:rPr>
                <w:rFonts w:ascii="Times New Roman" w:hAnsi="Times New Roman"/>
                <w:sz w:val="20"/>
              </w:rPr>
            </w:r>
            <w:r>
              <w:rPr>
                <w:rFonts w:ascii="Times New Roman" w:hAnsi="Times New Roman"/>
                <w:sz w:val="20"/>
              </w:rPr>
              <w:t>1% cố định, không OT bonus</w:t>
            </w:r>
          </w:p>
        </w:tc>
        <w:tc>
          <w:tcPr>
            <w:tcW w:type="dxa" w:w="2351"/>
          </w:tcPr>
          <w:p>
            <w:r>
              <w:rPr>
                <w:rFonts w:ascii="Times New Roman" w:hAnsi="Times New Roman"/>
                <w:sz w:val="20"/>
              </w:rPr>
            </w:r>
            <w:r>
              <w:rPr>
                <w:rFonts w:ascii="Times New Roman" w:hAnsi="Times New Roman"/>
                <w:sz w:val="20"/>
              </w:rPr>
              <w:t>Phần V</w:t>
            </w:r>
          </w:p>
        </w:tc>
      </w:tr>
      <w:tr>
        <w:tc>
          <w:tcPr>
            <w:tcW w:type="dxa" w:w="2351"/>
          </w:tcPr>
          <w:p>
            <w:r>
              <w:rPr>
                <w:rFonts w:ascii="Times New Roman" w:hAnsi="Times New Roman"/>
                <w:sz w:val="20"/>
              </w:rPr>
            </w:r>
            <w:r>
              <w:rPr>
                <w:rFonts w:ascii="Times New Roman" w:hAnsi="Times New Roman"/>
                <w:sz w:val="20"/>
              </w:rPr>
              <w:t>NV thử việc</w:t>
            </w:r>
          </w:p>
        </w:tc>
        <w:tc>
          <w:tcPr>
            <w:tcW w:type="dxa" w:w="2351"/>
          </w:tcPr>
          <w:p>
            <w:r>
              <w:rPr>
                <w:rFonts w:ascii="Times New Roman" w:hAnsi="Times New Roman"/>
                <w:sz w:val="20"/>
              </w:rPr>
            </w:r>
            <w:r>
              <w:rPr>
                <w:rFonts w:ascii="Times New Roman" w:hAnsi="Times New Roman"/>
                <w:sz w:val="20"/>
              </w:rPr>
              <w:t>Giới hạn thưởng CH</w:t>
            </w:r>
          </w:p>
        </w:tc>
        <w:tc>
          <w:tcPr>
            <w:tcW w:type="dxa" w:w="2351"/>
          </w:tcPr>
          <w:p>
            <w:r>
              <w:rPr>
                <w:rFonts w:ascii="Times New Roman" w:hAnsi="Times New Roman"/>
                <w:sz w:val="20"/>
              </w:rPr>
            </w:r>
            <w:r>
              <w:rPr>
                <w:rFonts w:ascii="Times New Roman" w:hAnsi="Times New Roman"/>
                <w:sz w:val="20"/>
              </w:rPr>
              <w:t>Chỉ nhận phần chia đều 30%</w:t>
            </w:r>
          </w:p>
        </w:tc>
        <w:tc>
          <w:tcPr>
            <w:tcW w:type="dxa" w:w="2351"/>
          </w:tcPr>
          <w:p>
            <w:r>
              <w:rPr>
                <w:rFonts w:ascii="Times New Roman" w:hAnsi="Times New Roman"/>
                <w:sz w:val="20"/>
              </w:rPr>
            </w:r>
            <w:r>
              <w:rPr>
                <w:rFonts w:ascii="Times New Roman" w:hAnsi="Times New Roman"/>
                <w:sz w:val="20"/>
              </w:rPr>
              <w:t>Phần VI</w:t>
            </w:r>
          </w:p>
        </w:tc>
      </w:tr>
    </w:tbl>
    <w:p/>
    <w:p>
      <w:pPr>
        <w:spacing w:before="120" w:after="120"/>
        <w:pBdr>
          <w:bottom w:val="single" w:sz="4" w:space="1" w:color="999999"/>
        </w:pBdr>
      </w:pPr>
    </w:p>
    <w:p>
      <w:pPr>
        <w:pStyle w:val="Heading3"/>
      </w:pPr>
      <w:r>
        <w:t>PHẦN VIII — BẢO MẬT THÔNG TIN</w:t>
      </w:r>
    </w:p>
    <w:p>
      <w:r>
        <w:t xml:space="preserve">Danh sách nhân viên và khách hàng thuộc diện áp dụng chính sách đặc biệt là thông tin </w:t>
      </w:r>
      <w:r>
        <w:rPr>
          <w:b/>
        </w:rPr>
        <w:t>mật</w:t>
      </w:r>
      <w:r>
        <w:t xml:space="preserve"> của công ty. Nghiêm cấm tiết lộ danh tính, tỷ lệ thưởng, hoặc bất kỳ chi tiết nào trong tài liệu này cho các cá nhân không liên quan.</w:t>
      </w:r>
    </w:p>
    <w:p>
      <w:pPr>
        <w:spacing w:before="120" w:after="120"/>
        <w:pBdr>
          <w:bottom w:val="single" w:sz="4" w:space="1" w:color="999999"/>
        </w:pBdr>
      </w:pPr>
    </w:p>
    <w:p>
      <w:r>
        <w:rPr>
          <w:i/>
        </w:rPr>
        <w:t>Tài liệu này được cập nhật dựa trên chính sách hiện hành của Công ty Cổ phần Global Link.</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4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Times New Roman" w:hAnsi="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Times New Roman" w:hAnsi="Times New Roman"/>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Times New Roman" w:hAnsi="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160" w:after="80"/>
      <w:outlineLvl w:val="4"/>
    </w:pPr>
    <w:rPr>
      <w:rFonts w:asciiTheme="majorHAnsi" w:eastAsiaTheme="majorEastAsia" w:hAnsiTheme="majorHAnsi" w:cstheme="majorBidi" w:ascii="Times New Roman" w:hAnsi="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