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CÔNG TY CỔ PHẦN GLOBAL LINK</w:t>
      </w:r>
    </w:p>
    <w:p>
      <w:pPr>
        <w:spacing w:before="120" w:after="120"/>
        <w:pBdr>
          <w:bottom w:val="single" w:sz="4" w:space="1" w:color="999999"/>
        </w:pBdr>
      </w:pPr>
    </w:p>
    <w:p>
      <w:pPr>
        <w:pStyle w:val="Heading2"/>
      </w:pPr>
      <w:r>
        <w:t>CHÍNH SÁCH CHỈ TIÊU DOANH SỐ &amp; THƯỞNG DOANH SỐ CÁ NHÂN</w:t>
      </w:r>
    </w:p>
    <w:tbl>
      <w:tblPr>
        <w:tblStyle w:val="TableGrid"/>
        <w:tblW w:type="auto" w:w="0"/>
        <w:jc w:val="center"/>
        <w:tblLayout w:type="autofit"/>
        <w:tblLook w:firstColumn="1" w:firstRow="1" w:lastColumn="0" w:lastRow="0" w:noHBand="0" w:noVBand="1" w:val="04A0"/>
      </w:tblPr>
      <w:tblGrid>
        <w:gridCol w:w="4703"/>
        <w:gridCol w:w="4703"/>
      </w:tblGrid>
      <w:tr>
        <w:tc>
          <w:tcPr>
            <w:tcW w:type="dxa" w:w="4703"/>
            <w:shd w:fill="D9E2F3"/>
          </w:tcPr>
          <w:p>
            <w:r/>
            <w:r>
              <w:rPr>
                <w:rFonts w:ascii="Times New Roman" w:hAnsi="Times New Roman"/>
                <w:b/>
                <w:sz w:val="20"/>
              </w:rPr>
              <w:t>**Nội quy số:**</w:t>
            </w:r>
          </w:p>
        </w:tc>
        <w:tc>
          <w:tcPr>
            <w:tcW w:type="dxa" w:w="4703"/>
            <w:shd w:fill="D9E2F3"/>
          </w:tcPr>
          <w:p>
            <w:r/>
            <w:r>
              <w:rPr>
                <w:rFonts w:ascii="Times New Roman" w:hAnsi="Times New Roman"/>
                <w:b/>
                <w:sz w:val="20"/>
              </w:rPr>
              <w:t>GL03/2020 (Bản cập nhật)</w:t>
            </w:r>
          </w:p>
        </w:tc>
      </w:tr>
      <w:tr>
        <w:tc>
          <w:tcPr>
            <w:tcW w:type="dxa" w:w="4703"/>
          </w:tcPr>
          <w:p>
            <w:r>
              <w:rPr>
                <w:rFonts w:ascii="Times New Roman" w:hAnsi="Times New Roman"/>
                <w:sz w:val="20"/>
              </w:rPr>
            </w:r>
            <w:r>
              <w:rPr>
                <w:rFonts w:ascii="Times New Roman" w:hAnsi="Times New Roman"/>
                <w:b/>
                <w:sz w:val="20"/>
              </w:rPr>
              <w:t>Lĩnh vực:</w:t>
            </w:r>
          </w:p>
        </w:tc>
        <w:tc>
          <w:tcPr>
            <w:tcW w:type="dxa" w:w="4703"/>
          </w:tcPr>
          <w:p>
            <w:r>
              <w:rPr>
                <w:rFonts w:ascii="Times New Roman" w:hAnsi="Times New Roman"/>
                <w:sz w:val="20"/>
              </w:rPr>
            </w:r>
            <w:r>
              <w:rPr>
                <w:rFonts w:ascii="Times New Roman" w:hAnsi="Times New Roman"/>
                <w:sz w:val="20"/>
              </w:rPr>
              <w:t>Chỉ tiêu doanh số và thưởng doanh số cho cá nhân</w:t>
            </w:r>
          </w:p>
        </w:tc>
      </w:tr>
    </w:tbl>
    <w:p/>
    <w:p>
      <w:pPr>
        <w:ind w:left="567"/>
      </w:pPr>
      <w:r>
        <w:rPr>
          <w:i/>
          <w:color w:val="646464"/>
        </w:rPr>
        <w:t>Tùy thuộc vào tình hình kinh doanh của công ty, Ban Giám đốc có toàn quyền thay đổi bất cứ điểm nào quy định dưới đây tại bất cứ thời điểm nào.</w:t>
      </w:r>
    </w:p>
    <w:p>
      <w:pPr>
        <w:spacing w:before="120" w:after="120"/>
        <w:pBdr>
          <w:bottom w:val="single" w:sz="4" w:space="1" w:color="999999"/>
        </w:pBdr>
      </w:pPr>
    </w:p>
    <w:p>
      <w:pPr>
        <w:pStyle w:val="Heading3"/>
      </w:pPr>
      <w:r>
        <w:t>PHẦN I — PHẠM VI ÁP DỤNG</w:t>
      </w:r>
    </w:p>
    <w:p>
      <w:r>
        <w:t>Chính sách này áp dụng cho toàn bộ nhân viên bán hàng chính thức trong hệ thống cửa hàng của Global Link có tài khoản trên hệ thống POS (RetailPro). Nhân viên không có tài khoản POS sẽ không phát sinh doanh số cá nhân nhưng vẫn được hưởng thưởng cửa hàng theo chính sách riêng.</w:t>
      </w:r>
    </w:p>
    <w:p>
      <w:pPr>
        <w:spacing w:before="120" w:after="120"/>
        <w:pBdr>
          <w:bottom w:val="single" w:sz="4" w:space="1" w:color="999999"/>
        </w:pBdr>
      </w:pPr>
    </w:p>
    <w:p>
      <w:pPr>
        <w:pStyle w:val="Heading3"/>
      </w:pPr>
      <w:r>
        <w:t>PHẦN II — CHỈ TIÊU DOANH SỐ CÁ NHÂN</w:t>
      </w:r>
    </w:p>
    <w:p>
      <w:pPr>
        <w:pStyle w:val="Heading4"/>
      </w:pPr>
      <w:r>
        <w:t>Điều 1. Giao chỉ tiêu</w:t>
      </w:r>
    </w:p>
    <w:p>
      <w:r>
        <w:t>Chỉ tiêu doanh số của cá nhân sẽ được giao cho mỗi kỳ 06 tháng, mỗi tháng sẽ tạm tính theo bình quân của kỳ đó. Phòng nhân sự sẽ thông báo đến từng nhân viên vào tuần đầu tiên của tháng đầu kỳ.</w:t>
      </w:r>
    </w:p>
    <w:p>
      <w:pPr>
        <w:pStyle w:val="Heading4"/>
      </w:pPr>
      <w:r>
        <w:t>Điều 2. Định nghĩa chỉ tiêu doanh số cá nhân</w:t>
      </w:r>
    </w:p>
    <w:p>
      <w:r>
        <w:t xml:space="preserve">Chỉ tiêu doanh số cá nhân là </w:t>
      </w:r>
      <w:r>
        <w:rPr>
          <w:b/>
        </w:rPr>
        <w:t>Tổng doanh thu sau thuế GTGT</w:t>
      </w:r>
      <w:r>
        <w:t xml:space="preserve"> (thể hiện trên POS). Căn cứ để tính thưởng là </w:t>
      </w:r>
      <w:r>
        <w:rPr>
          <w:b/>
        </w:rPr>
        <w:t>Tổng doanh thu trước thuế GTGT</w:t>
      </w:r>
      <w:r>
        <w:t xml:space="preserve"> (được hiểu là Tổng doanh thu trên POS trừ thuế GTGT, và bao gồm cả doanh số bán hàng trả chậm) được giao.</w:t>
      </w:r>
    </w:p>
    <w:p>
      <w:pPr>
        <w:pStyle w:val="Heading4"/>
      </w:pPr>
      <w:r>
        <w:t>Điều 3. Xác định doanh số cá nhân</w:t>
      </w:r>
    </w:p>
    <w:p>
      <w:r>
        <w:t xml:space="preserve">Doanh số cá nhân được ghi nhận dựa trên </w:t>
      </w:r>
      <w:r>
        <w:rPr>
          <w:b/>
        </w:rPr>
        <w:t>mã nhân viên bán hàng</w:t>
      </w:r>
      <w:r>
        <w:t xml:space="preserve"> trên hệ thống POS. Doanh số cá nhân bao gồm </w:t>
      </w:r>
      <w:r>
        <w:rPr>
          <w:b/>
        </w:rPr>
        <w:t>tất cả giao dịch</w:t>
      </w:r>
      <w:r>
        <w:t xml:space="preserve"> mà nhân viên đó thực hiện, </w:t>
      </w:r>
      <w:r>
        <w:rPr>
          <w:b/>
        </w:rPr>
        <w:t>tại tất cả cửa hàng</w:t>
      </w:r>
      <w:r>
        <w:t>, không giới hạn ở cửa hàng gốc.</w:t>
      </w:r>
    </w:p>
    <w:p>
      <w:pPr>
        <w:pStyle w:val="Heading4"/>
      </w:pPr>
      <w:r>
        <w:t>Điều 4. Tỷ lệ đạt chỉ tiêu (Achievement Rate)</w:t>
      </w:r>
    </w:p>
    <w:p>
      <w:r>
        <w:t>Tỷ lệ đạt chỉ tiêu được tính theo công thức:</w:t>
      </w:r>
    </w:p>
    <w:p>
      <w:pPr>
        <w:spacing w:after="0" w:before="0"/>
        <w:ind w:left="567"/>
      </w:pPr>
      <w:r>
        <w:rPr>
          <w:rFonts w:ascii="Courier New" w:hAnsi="Courier New"/>
          <w:sz w:val="20"/>
        </w:rPr>
        <w:t>Tỷ lệ đạt (%) = (Tổng doanh thu có thuế / Chỉ tiêu cá nhân) × 100%</w:t>
      </w:r>
    </w:p>
    <w:p>
      <w:r>
        <w:rPr>
          <w:b/>
        </w:rPr>
        <w:t>Lưu ý quan trọng:</w:t>
      </w:r>
    </w:p>
    <w:p>
      <w:pPr>
        <w:pStyle w:val="ListBullet"/>
      </w:pPr>
      <w:r>
        <w:t xml:space="preserve">Tổng doanh thu có thuế dùng để xác định tỷ lệ đạt bao gồm </w:t>
      </w:r>
      <w:r>
        <w:rPr>
          <w:b/>
        </w:rPr>
        <w:t>tất cả</w:t>
      </w:r>
      <w:r>
        <w:t xml:space="preserve"> loại doanh số: thời trang, trang sức, hand carry, suitcase, home decor, và mỹ phẩm.</w:t>
      </w:r>
    </w:p>
    <w:p>
      <w:pPr>
        <w:pStyle w:val="ListBullet"/>
      </w:pPr>
      <w:r>
        <w:t xml:space="preserve">Tỷ lệ thưởng được tính trên </w:t>
      </w:r>
      <w:r>
        <w:rPr>
          <w:b/>
        </w:rPr>
        <w:t>doanh thu trước thuế</w:t>
      </w:r>
      <w:r>
        <w:t xml:space="preserve"> (revenue before VAT).</w:t>
      </w:r>
    </w:p>
    <w:p>
      <w:pPr>
        <w:pStyle w:val="Heading4"/>
      </w:pPr>
      <w:r>
        <w:t>Điều 5. Theo dõi và cảnh báo</w:t>
      </w:r>
    </w:p>
    <w:p>
      <w:r>
        <w:t>Phòng nhân sự sẽ theo dõi và gửi thư cảnh báo tới nhân viên nếu trong 3 tháng liền nhân viên đó không đạt 70% chỉ tiêu doanh số được giao. Đồng thời sẽ xem xét việc cắt hoặc giảm thưởng KPI từ tháng thứ 4 của cá nhân đó. Công ty có quyền đơn phương chấm dứt Hợp đồng lao động của những nhân viên liên tục không đạt 70% chỉ tiêu doanh số trong 6 tháng.</w:t>
      </w:r>
    </w:p>
    <w:p>
      <w:pPr>
        <w:pStyle w:val="Heading4"/>
      </w:pPr>
      <w:r>
        <w:t>Điều 6. Cộng dồn chỉ tiêu</w:t>
      </w:r>
    </w:p>
    <w:p>
      <w:r>
        <w:t>Vào tháng 7 và tháng 1 hàng năm, doanh số của cá nhân sẽ được cộng dồn để xem xét lại mức thưởng cho cả giai đoạn 6 tháng liền trước.</w:t>
      </w:r>
    </w:p>
    <w:p>
      <w:pPr>
        <w:spacing w:before="120" w:after="120"/>
        <w:pBdr>
          <w:bottom w:val="single" w:sz="4" w:space="1" w:color="999999"/>
        </w:pBdr>
      </w:pPr>
    </w:p>
    <w:p>
      <w:pPr>
        <w:pStyle w:val="Heading3"/>
      </w:pPr>
      <w:r>
        <w:t>PHẦN III — PHÂN LOẠI DOANH SỐ</w:t>
      </w:r>
    </w:p>
    <w:p>
      <w:r>
        <w:t xml:space="preserve">Doanh số cá nhân được phân thành </w:t>
      </w:r>
      <w:r>
        <w:rPr>
          <w:b/>
        </w:rPr>
        <w:t>8 loại</w:t>
      </w:r>
      <w:r>
        <w:t>, mỗi loại có cơ chế tính thưởng riêng biệt. Thứ tự ưu tiên phân loại như sau:</w:t>
      </w:r>
    </w:p>
    <w:p>
      <w:pPr>
        <w:pStyle w:val="Heading4"/>
      </w:pPr>
      <w:r>
        <w:t>Điều 1. Hand Carry (Hàng xách tay) — Ưu tiên 1</w:t>
      </w:r>
    </w:p>
    <w:p>
      <w:r>
        <w:rPr>
          <w:b/>
        </w:rPr>
        <w:t>Điều kiện:</w:t>
      </w:r>
      <w:r>
        <w:t xml:space="preserve"> Mặt hàng có mã UPC nằm trong danh sách hàng xách tay trên hệ thống.</w:t>
      </w:r>
    </w:p>
    <w:p>
      <w:r>
        <w:rPr>
          <w:b/>
        </w:rPr>
        <w:t>Tỷ lệ thưởng:</w:t>
      </w:r>
      <w:r>
        <w:t xml:space="preserve"> Phụ thuộc vào nhà cung cấp (vendor):</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D9E2F3"/>
          </w:tcPr>
          <w:p>
            <w:r/>
            <w:r>
              <w:rPr>
                <w:rFonts w:ascii="Times New Roman" w:hAnsi="Times New Roman"/>
                <w:b/>
                <w:sz w:val="20"/>
              </w:rPr>
              <w:t>Nhóm nhà cung cấp</w:t>
            </w:r>
          </w:p>
        </w:tc>
        <w:tc>
          <w:tcPr>
            <w:tcW w:type="dxa" w:w="2351"/>
            <w:shd w:fill="D9E2F3"/>
          </w:tcPr>
          <w:p>
            <w:r/>
            <w:r>
              <w:rPr>
                <w:rFonts w:ascii="Times New Roman" w:hAnsi="Times New Roman"/>
                <w:b/>
                <w:sz w:val="20"/>
              </w:rPr>
              <w:t>Vendor codes</w:t>
            </w:r>
          </w:p>
        </w:tc>
        <w:tc>
          <w:tcPr>
            <w:tcW w:type="dxa" w:w="2351"/>
            <w:shd w:fill="D9E2F3"/>
          </w:tcPr>
          <w:p>
            <w:r/>
            <w:r>
              <w:rPr>
                <w:rFonts w:ascii="Times New Roman" w:hAnsi="Times New Roman"/>
                <w:b/>
                <w:sz w:val="20"/>
              </w:rPr>
              <w:t>Tỷ lệ</w:t>
            </w:r>
          </w:p>
        </w:tc>
        <w:tc>
          <w:tcPr>
            <w:tcW w:type="dxa" w:w="2351"/>
            <w:shd w:fill="D9E2F3"/>
          </w:tcPr>
          <w:p>
            <w:r/>
            <w:r>
              <w:rPr>
                <w:rFonts w:ascii="Times New Roman" w:hAnsi="Times New Roman"/>
                <w:b/>
                <w:sz w:val="20"/>
              </w:rPr>
              <w:t>Cơ sở tính</w:t>
            </w:r>
          </w:p>
        </w:tc>
      </w:tr>
      <w:tr>
        <w:tc>
          <w:tcPr>
            <w:tcW w:type="dxa" w:w="2351"/>
          </w:tcPr>
          <w:p>
            <w:r>
              <w:rPr>
                <w:rFonts w:ascii="Times New Roman" w:hAnsi="Times New Roman"/>
                <w:sz w:val="20"/>
              </w:rPr>
            </w:r>
            <w:r>
              <w:rPr>
                <w:rFonts w:ascii="Times New Roman" w:hAnsi="Times New Roman"/>
                <w:sz w:val="20"/>
              </w:rPr>
              <w:t>ROM (Khuyên tai)</w:t>
            </w:r>
          </w:p>
        </w:tc>
        <w:tc>
          <w:tcPr>
            <w:tcW w:type="dxa" w:w="2351"/>
          </w:tcPr>
          <w:p>
            <w:r>
              <w:rPr>
                <w:rFonts w:ascii="Times New Roman" w:hAnsi="Times New Roman"/>
                <w:sz w:val="20"/>
              </w:rPr>
            </w:r>
            <w:r>
              <w:rPr>
                <w:rFonts w:ascii="Times New Roman" w:hAnsi="Times New Roman"/>
                <w:sz w:val="20"/>
              </w:rPr>
              <w:t>ROM + Loại: EARRINGS</w:t>
            </w:r>
          </w:p>
        </w:tc>
        <w:tc>
          <w:tcPr>
            <w:tcW w:type="dxa" w:w="2351"/>
          </w:tcPr>
          <w:p>
            <w:r>
              <w:rPr>
                <w:rFonts w:ascii="Times New Roman" w:hAnsi="Times New Roman"/>
                <w:sz w:val="20"/>
              </w:rPr>
            </w:r>
            <w:r>
              <w:rPr>
                <w:rFonts w:ascii="Times New Roman" w:hAnsi="Times New Roman"/>
                <w:sz w:val="20"/>
              </w:rPr>
              <w:t>3%</w:t>
            </w:r>
          </w:p>
        </w:tc>
        <w:tc>
          <w:tcPr>
            <w:tcW w:type="dxa" w:w="2351"/>
          </w:tcPr>
          <w:p>
            <w:r>
              <w:rPr>
                <w:rFonts w:ascii="Times New Roman" w:hAnsi="Times New Roman"/>
                <w:sz w:val="20"/>
              </w:rPr>
            </w:r>
            <w:r>
              <w:rPr>
                <w:rFonts w:ascii="Times New Roman" w:hAnsi="Times New Roman"/>
                <w:sz w:val="20"/>
              </w:rPr>
              <w:t>Doanh thu có thuế</w:t>
            </w:r>
          </w:p>
        </w:tc>
      </w:tr>
      <w:tr>
        <w:tc>
          <w:tcPr>
            <w:tcW w:type="dxa" w:w="2351"/>
          </w:tcPr>
          <w:p>
            <w:r>
              <w:rPr>
                <w:rFonts w:ascii="Times New Roman" w:hAnsi="Times New Roman"/>
                <w:sz w:val="20"/>
              </w:rPr>
            </w:r>
            <w:r>
              <w:rPr>
                <w:rFonts w:ascii="Times New Roman" w:hAnsi="Times New Roman"/>
                <w:sz w:val="20"/>
              </w:rPr>
              <w:t>Nhóm 2%</w:t>
            </w:r>
          </w:p>
        </w:tc>
        <w:tc>
          <w:tcPr>
            <w:tcW w:type="dxa" w:w="2351"/>
          </w:tcPr>
          <w:p>
            <w:r>
              <w:rPr>
                <w:rFonts w:ascii="Times New Roman" w:hAnsi="Times New Roman"/>
                <w:sz w:val="20"/>
              </w:rPr>
            </w:r>
            <w:r>
              <w:rPr>
                <w:rFonts w:ascii="Times New Roman" w:hAnsi="Times New Roman"/>
                <w:sz w:val="20"/>
              </w:rPr>
              <w:t>CGI, ATS, VIS, LUI, NAN, NAK, ROM (khác), SPK, TED, BRT</w:t>
            </w:r>
          </w:p>
        </w:tc>
        <w:tc>
          <w:tcPr>
            <w:tcW w:type="dxa" w:w="2351"/>
          </w:tcPr>
          <w:p>
            <w:r>
              <w:rPr>
                <w:rFonts w:ascii="Times New Roman" w:hAnsi="Times New Roman"/>
                <w:sz w:val="20"/>
              </w:rPr>
            </w:r>
            <w:r>
              <w:rPr>
                <w:rFonts w:ascii="Times New Roman" w:hAnsi="Times New Roman"/>
                <w:sz w:val="20"/>
              </w:rPr>
              <w:t>2%</w:t>
            </w:r>
          </w:p>
        </w:tc>
        <w:tc>
          <w:tcPr>
            <w:tcW w:type="dxa" w:w="2351"/>
          </w:tcPr>
          <w:p>
            <w:r>
              <w:rPr>
                <w:rFonts w:ascii="Times New Roman" w:hAnsi="Times New Roman"/>
                <w:sz w:val="20"/>
              </w:rPr>
            </w:r>
            <w:r>
              <w:rPr>
                <w:rFonts w:ascii="Times New Roman" w:hAnsi="Times New Roman"/>
                <w:sz w:val="20"/>
              </w:rPr>
              <w:t>Doanh thu có thuế</w:t>
            </w:r>
          </w:p>
        </w:tc>
      </w:tr>
      <w:tr>
        <w:tc>
          <w:tcPr>
            <w:tcW w:type="dxa" w:w="2351"/>
          </w:tcPr>
          <w:p>
            <w:r>
              <w:rPr>
                <w:rFonts w:ascii="Times New Roman" w:hAnsi="Times New Roman"/>
                <w:sz w:val="20"/>
              </w:rPr>
            </w:r>
            <w:r>
              <w:rPr>
                <w:rFonts w:ascii="Times New Roman" w:hAnsi="Times New Roman"/>
                <w:sz w:val="20"/>
              </w:rPr>
              <w:t>Nhóm 1%</w:t>
            </w:r>
          </w:p>
        </w:tc>
        <w:tc>
          <w:tcPr>
            <w:tcW w:type="dxa" w:w="2351"/>
          </w:tcPr>
          <w:p>
            <w:r>
              <w:rPr>
                <w:rFonts w:ascii="Times New Roman" w:hAnsi="Times New Roman"/>
                <w:sz w:val="20"/>
              </w:rPr>
            </w:r>
            <w:r>
              <w:rPr>
                <w:rFonts w:ascii="Times New Roman" w:hAnsi="Times New Roman"/>
                <w:sz w:val="20"/>
              </w:rPr>
              <w:t>ATQ, AQU, ERE, GEO, GDC, BDA, SKY, CHI, MNC, DAP</w:t>
            </w:r>
          </w:p>
        </w:tc>
        <w:tc>
          <w:tcPr>
            <w:tcW w:type="dxa" w:w="2351"/>
          </w:tcPr>
          <w:p>
            <w:r>
              <w:rPr>
                <w:rFonts w:ascii="Times New Roman" w:hAnsi="Times New Roman"/>
                <w:sz w:val="20"/>
              </w:rPr>
            </w:r>
            <w:r>
              <w:rPr>
                <w:rFonts w:ascii="Times New Roman" w:hAnsi="Times New Roman"/>
                <w:sz w:val="20"/>
              </w:rPr>
              <w:t>1%</w:t>
            </w:r>
          </w:p>
        </w:tc>
        <w:tc>
          <w:tcPr>
            <w:tcW w:type="dxa" w:w="2351"/>
          </w:tcPr>
          <w:p>
            <w:r>
              <w:rPr>
                <w:rFonts w:ascii="Times New Roman" w:hAnsi="Times New Roman"/>
                <w:sz w:val="20"/>
              </w:rPr>
            </w:r>
            <w:r>
              <w:rPr>
                <w:rFonts w:ascii="Times New Roman" w:hAnsi="Times New Roman"/>
                <w:sz w:val="20"/>
              </w:rPr>
              <w:t>Doanh thu có thuế</w:t>
            </w:r>
          </w:p>
        </w:tc>
      </w:tr>
      <w:tr>
        <w:tc>
          <w:tcPr>
            <w:tcW w:type="dxa" w:w="2351"/>
          </w:tcPr>
          <w:p>
            <w:r>
              <w:rPr>
                <w:rFonts w:ascii="Times New Roman" w:hAnsi="Times New Roman"/>
                <w:sz w:val="20"/>
              </w:rPr>
            </w:r>
            <w:r>
              <w:rPr>
                <w:rFonts w:ascii="Times New Roman" w:hAnsi="Times New Roman"/>
                <w:sz w:val="20"/>
              </w:rPr>
              <w:t>Mặc định</w:t>
            </w:r>
          </w:p>
        </w:tc>
        <w:tc>
          <w:tcPr>
            <w:tcW w:type="dxa" w:w="2351"/>
          </w:tcPr>
          <w:p>
            <w:r>
              <w:rPr>
                <w:rFonts w:ascii="Times New Roman" w:hAnsi="Times New Roman"/>
                <w:sz w:val="20"/>
              </w:rPr>
            </w:r>
            <w:r>
              <w:rPr>
                <w:rFonts w:ascii="Times New Roman" w:hAnsi="Times New Roman"/>
                <w:sz w:val="20"/>
              </w:rPr>
              <w:t>Các vendor còn lại</w:t>
            </w:r>
          </w:p>
        </w:tc>
        <w:tc>
          <w:tcPr>
            <w:tcW w:type="dxa" w:w="2351"/>
          </w:tcPr>
          <w:p>
            <w:r>
              <w:rPr>
                <w:rFonts w:ascii="Times New Roman" w:hAnsi="Times New Roman"/>
                <w:sz w:val="20"/>
              </w:rPr>
            </w:r>
            <w:r>
              <w:rPr>
                <w:rFonts w:ascii="Times New Roman" w:hAnsi="Times New Roman"/>
                <w:sz w:val="20"/>
              </w:rPr>
              <w:t>1%</w:t>
            </w:r>
          </w:p>
        </w:tc>
        <w:tc>
          <w:tcPr>
            <w:tcW w:type="dxa" w:w="2351"/>
          </w:tcPr>
          <w:p>
            <w:r>
              <w:rPr>
                <w:rFonts w:ascii="Times New Roman" w:hAnsi="Times New Roman"/>
                <w:sz w:val="20"/>
              </w:rPr>
            </w:r>
            <w:r>
              <w:rPr>
                <w:rFonts w:ascii="Times New Roman" w:hAnsi="Times New Roman"/>
                <w:sz w:val="20"/>
              </w:rPr>
              <w:t>Doanh thu có thuế</w:t>
            </w:r>
          </w:p>
        </w:tc>
      </w:tr>
    </w:tbl>
    <w:p/>
    <w:p>
      <w:r>
        <w:rPr>
          <w:b/>
        </w:rPr>
        <w:t>Lưu ý:</w:t>
      </w:r>
      <w:r>
        <w:t xml:space="preserve"> Thưởng hand carry được trả </w:t>
      </w:r>
      <w:r>
        <w:rPr>
          <w:b/>
        </w:rPr>
        <w:t>bất kể</w:t>
      </w:r>
      <w:r>
        <w:t xml:space="preserve"> tỷ lệ đạt chỉ tiêu cá nhân.</w:t>
      </w:r>
    </w:p>
    <w:p>
      <w:pPr>
        <w:pStyle w:val="Heading4"/>
      </w:pPr>
      <w:r>
        <w:t>Điều 2. Suitcase (Hàng vali) — Ưu tiên 2</w:t>
      </w:r>
    </w:p>
    <w:p>
      <w:r>
        <w:rPr>
          <w:b/>
        </w:rPr>
        <w:t>Điều kiện:</w:t>
      </w:r>
      <w:r>
        <w:t xml:space="preserve"> Mặt hàng thuộc vendor </w:t>
      </w:r>
      <w:r>
        <w:rPr>
          <w:b/>
        </w:rPr>
        <w:t>TVL</w:t>
      </w:r>
      <w:r>
        <w:t xml:space="preserve"> hoặc </w:t>
      </w:r>
      <w:r>
        <w:rPr>
          <w:b/>
        </w:rPr>
        <w:t>TIT</w:t>
      </w:r>
      <w:r>
        <w:t>.</w:t>
      </w:r>
    </w:p>
    <w:p>
      <w:r>
        <w:rPr>
          <w:b/>
        </w:rPr>
        <w:t>Tỷ lệ thưởng:</w:t>
      </w:r>
      <w:r>
        <w:t xml:space="preserve"> Thưởng cố định </w:t>
      </w:r>
      <w:r>
        <w:rPr>
          <w:b/>
        </w:rPr>
        <w:t>500,000 VND</w:t>
      </w:r>
      <w:r>
        <w:t xml:space="preserve"> cho mỗi sản phẩm bán được.</w:t>
      </w:r>
    </w:p>
    <w:p>
      <w:r>
        <w:rPr>
          <w:b/>
        </w:rPr>
        <w:t>Lưu ý:</w:t>
      </w:r>
      <w:r>
        <w:t xml:space="preserve"> Thưởng suitcase được trả </w:t>
      </w:r>
      <w:r>
        <w:rPr>
          <w:b/>
        </w:rPr>
        <w:t>bất kể</w:t>
      </w:r>
      <w:r>
        <w:t xml:space="preserve"> tỷ lệ đạt chỉ tiêu cá nhân.</w:t>
      </w:r>
    </w:p>
    <w:p>
      <w:pPr>
        <w:pStyle w:val="Heading4"/>
      </w:pPr>
      <w:r>
        <w:t>Điều 3. Other / Mỹ phẩm COSM+HEA — Ưu tiên 3</w:t>
      </w:r>
    </w:p>
    <w:p>
      <w:r>
        <w:rPr>
          <w:b/>
        </w:rPr>
        <w:t>Điều kiện:</w:t>
      </w:r>
      <w:r>
        <w:t xml:space="preserve"> Mặt hàng thuộc bộ phận </w:t>
      </w:r>
      <w:r>
        <w:rPr>
          <w:b/>
        </w:rPr>
        <w:t>COSM</w:t>
      </w:r>
      <w:r>
        <w:t xml:space="preserve"> và vendor </w:t>
      </w:r>
      <w:r>
        <w:rPr>
          <w:b/>
        </w:rPr>
        <w:t>HEA</w:t>
      </w:r>
      <w:r>
        <w:t>.</w:t>
      </w:r>
    </w:p>
    <w:p>
      <w:r>
        <w:rPr>
          <w:b/>
        </w:rPr>
        <w:t>Xử lý:</w:t>
      </w:r>
      <w:r>
        <w:t xml:space="preserve"> Doanh số được chuyển về tài khoản SYSADMIN. Nhân viên bán hàng </w:t>
      </w:r>
      <w:r>
        <w:rPr>
          <w:b/>
        </w:rPr>
        <w:t>không</w:t>
      </w:r>
      <w:r>
        <w:t xml:space="preserve"> nhận thưởng cho loại doanh số này.</w:t>
      </w:r>
    </w:p>
    <w:p>
      <w:r>
        <w:rPr>
          <w:b/>
        </w:rPr>
        <w:t>Lưu ý quan trọng:</w:t>
      </w:r>
      <w:r>
        <w:t xml:space="preserve"> Mặt hàng COSM nhưng </w:t>
      </w:r>
      <w:r>
        <w:rPr>
          <w:b/>
        </w:rPr>
        <w:t>không phải</w:t>
      </w:r>
      <w:r>
        <w:t xml:space="preserve"> vendor HEA (ví dụ: NBP, AQU) </w:t>
      </w:r>
      <w:r>
        <w:rPr>
          <w:b/>
        </w:rPr>
        <w:t>không</w:t>
      </w:r>
      <w:r>
        <w:t xml:space="preserve"> thuộc loại này — chúng được phân loại là hàng thời trang (Fashion) và áp dụng thưởng theo bậc thông thường.</w:t>
      </w:r>
    </w:p>
    <w:p>
      <w:pPr>
        <w:pStyle w:val="Heading4"/>
      </w:pPr>
      <w:r>
        <w:t>Điều 4. Home Decor (Trang trí nội thất) — Ưu tiên 4</w:t>
      </w:r>
    </w:p>
    <w:p>
      <w:r>
        <w:rPr>
          <w:b/>
        </w:rPr>
        <w:t>Điều kiện:</w:t>
      </w:r>
      <w:r>
        <w:t xml:space="preserve"> Mặt hàng thuộc bộ phận </w:t>
      </w:r>
      <w:r>
        <w:rPr>
          <w:b/>
        </w:rPr>
        <w:t>HOME</w:t>
      </w:r>
      <w:r>
        <w:t>.</w:t>
      </w:r>
    </w:p>
    <w:p>
      <w:r>
        <w:rPr>
          <w:b/>
        </w:rPr>
        <w:t>Tỷ lệ thưởng:</w:t>
      </w:r>
      <w:r>
        <w:t xml:space="preserve"> Thưởng cố định </w:t>
      </w:r>
      <w:r>
        <w:rPr>
          <w:b/>
        </w:rPr>
        <w:t>1%</w:t>
      </w:r>
      <w:r>
        <w:t xml:space="preserve"> trên doanh thu trước thuế.</w:t>
      </w:r>
    </w:p>
    <w:p>
      <w:r>
        <w:rPr>
          <w:b/>
        </w:rPr>
        <w:t>Lưu ý:</w:t>
      </w:r>
    </w:p>
    <w:p>
      <w:pPr>
        <w:pStyle w:val="ListBullet"/>
      </w:pPr>
      <w:r>
        <w:t xml:space="preserve">Thưởng home decor được trả </w:t>
      </w:r>
      <w:r>
        <w:rPr>
          <w:b/>
        </w:rPr>
        <w:t>bất kể</w:t>
      </w:r>
      <w:r>
        <w:t xml:space="preserve"> tỷ lệ đạt chỉ tiêu cá nhân.</w:t>
      </w:r>
    </w:p>
    <w:p>
      <w:pPr>
        <w:pStyle w:val="ListBullet"/>
      </w:pPr>
      <w:r>
        <w:t xml:space="preserve">Mặt hàng HOME </w:t>
      </w:r>
      <w:r>
        <w:rPr>
          <w:b/>
        </w:rPr>
        <w:t>không</w:t>
      </w:r>
      <w:r>
        <w:t xml:space="preserve"> được tính vào thưởng vượt chỉ tiêu (Over-Target Bonus).</w:t>
      </w:r>
    </w:p>
    <w:p>
      <w:pPr>
        <w:pStyle w:val="Heading4"/>
      </w:pPr>
      <w:r>
        <w:t>Điều 5. Trang sức (Jewelry) — Ưu tiên 5</w:t>
      </w:r>
    </w:p>
    <w:p>
      <w:r>
        <w:t>Mặt hàng được xác định là trang sức dựa trên trường trong hệ thống POS. Trang sức được chia thành 3 nhóm:</w:t>
      </w:r>
    </w:p>
    <w:p>
      <w:pPr>
        <w:pStyle w:val="Heading5"/>
      </w:pPr>
      <w:r>
        <w:t>a) Rosa Maria (ROM — Khuyên tai)</w:t>
      </w:r>
    </w:p>
    <w:p>
      <w:r>
        <w:rPr>
          <w:b/>
        </w:rPr>
        <w:t>Điều kiện:</w:t>
      </w:r>
      <w:r>
        <w:t xml:space="preserve"> Vendor </w:t>
      </w:r>
      <w:r>
        <w:rPr>
          <w:b/>
        </w:rPr>
        <w:t>ROM</w:t>
      </w:r>
      <w:r>
        <w:t xml:space="preserve">, loại sản phẩm </w:t>
      </w:r>
      <w:r>
        <w:rPr>
          <w:b/>
        </w:rPr>
        <w:t>EARRINGS</w:t>
      </w:r>
      <w:r>
        <w:t>.</w:t>
      </w:r>
    </w:p>
    <w:p>
      <w:r>
        <w:rPr>
          <w:b/>
        </w:rPr>
        <w:t>Tỷ lệ thưởng:</w:t>
      </w:r>
      <w:r>
        <w:t xml:space="preserve"> </w:t>
      </w:r>
      <w:r>
        <w:rPr>
          <w:b/>
        </w:rPr>
        <w:t>3%</w:t>
      </w:r>
      <w:r>
        <w:t xml:space="preserve"> trên doanh thu trước thuế.</w:t>
      </w:r>
    </w:p>
    <w:p>
      <w:pPr>
        <w:pStyle w:val="Heading5"/>
      </w:pPr>
      <w:r>
        <w:t>b) Vhernier (VHN)</w:t>
      </w:r>
    </w:p>
    <w:p>
      <w:r>
        <w:rPr>
          <w:b/>
        </w:rPr>
        <w:t>Điều kiện:</w:t>
      </w:r>
      <w:r>
        <w:t xml:space="preserve"> Vendor </w:t>
      </w:r>
      <w:r>
        <w:rPr>
          <w:b/>
        </w:rPr>
        <w:t>VHN</w:t>
      </w:r>
      <w:r>
        <w:t>.</w:t>
      </w:r>
    </w:p>
    <w:p>
      <w:r>
        <w:rPr>
          <w:b/>
        </w:rPr>
        <w:t>Tỷ lệ thưởng:</w:t>
      </w:r>
      <w:r>
        <w:t xml:space="preserve"> </w:t>
      </w:r>
      <w:r>
        <w:rPr>
          <w:b/>
        </w:rPr>
        <w:t>1%</w:t>
      </w:r>
      <w:r>
        <w:t xml:space="preserve"> trên doanh thu trước thuế.</w:t>
      </w:r>
    </w:p>
    <w:p>
      <w:pPr>
        <w:pStyle w:val="Heading5"/>
      </w:pPr>
      <w:r>
        <w:t>c) Trang sức khác</w:t>
      </w:r>
    </w:p>
    <w:p>
      <w:r>
        <w:rPr>
          <w:b/>
        </w:rPr>
        <w:t>Điều kiện:</w:t>
      </w:r>
      <w:r>
        <w:t xml:space="preserve"> Các vendor trang sức còn lại: ATS, VIS, LUI, NAN, NAK, SPK, TED, BRT (bao gồm ROM không phải EARRINGS).</w:t>
      </w:r>
    </w:p>
    <w:p>
      <w:r>
        <w:rPr>
          <w:b/>
        </w:rPr>
        <w:t>Tỷ lệ thưởng:</w:t>
      </w:r>
      <w:r>
        <w:t xml:space="preserve"> </w:t>
      </w:r>
      <w:r>
        <w:rPr>
          <w:b/>
        </w:rPr>
        <w:t>2%</w:t>
      </w:r>
      <w:r>
        <w:t xml:space="preserve"> trên doanh thu trước thuế.</w:t>
      </w:r>
    </w:p>
    <w:p>
      <w:r>
        <w:rPr>
          <w:b/>
        </w:rPr>
        <w:t>Lưu ý:</w:t>
      </w:r>
      <w:r>
        <w:t xml:space="preserve"> Thưởng trang sức được trả </w:t>
      </w:r>
      <w:r>
        <w:rPr>
          <w:b/>
        </w:rPr>
        <w:t>bất kể</w:t>
      </w:r>
      <w:r>
        <w:t xml:space="preserve"> tỷ lệ đạt chỉ tiêu cá nhân.</w:t>
      </w:r>
    </w:p>
    <w:p>
      <w:pPr>
        <w:pStyle w:val="Heading4"/>
      </w:pPr>
      <w:r>
        <w:t>Điều 6. Thời trang (Fashion) — Phần còn lại</w:t>
      </w:r>
    </w:p>
    <w:p>
      <w:r>
        <w:rPr>
          <w:b/>
        </w:rPr>
        <w:t>Điều kiện:</w:t>
      </w:r>
      <w:r>
        <w:t xml:space="preserve"> Tất cả mặt hàng không thuộc 5 loại trên (không phải hand carry, suitcase, COSM+HEA, home decor, hoặc trang sức).</w:t>
      </w:r>
    </w:p>
    <w:p>
      <w:r>
        <w:rPr>
          <w:b/>
        </w:rPr>
        <w:t>Tỷ lệ thưởng:</w:t>
      </w:r>
      <w:r>
        <w:t xml:space="preserve"> Áp dụng theo bậc doanh số, được quy định chi tiết tại </w:t>
      </w:r>
      <w:r>
        <w:rPr>
          <w:b/>
        </w:rPr>
        <w:t>Phần IV</w:t>
      </w:r>
      <w:r>
        <w:t>.</w:t>
      </w:r>
    </w:p>
    <w:p>
      <w:pPr>
        <w:spacing w:before="120" w:after="120"/>
        <w:pBdr>
          <w:bottom w:val="single" w:sz="4" w:space="1" w:color="999999"/>
        </w:pBdr>
      </w:pPr>
    </w:p>
    <w:p>
      <w:pPr>
        <w:pStyle w:val="Heading3"/>
      </w:pPr>
      <w:r>
        <w:t>PHẦN IV — CÁCH TÍNH THƯỞNG CÁ NHÂN (HÀNG THỜI TRANG)</w:t>
      </w:r>
    </w:p>
    <w:p>
      <w:r>
        <w:t xml:space="preserve">Thưởng cá nhân cho hàng thời trang được tính theo </w:t>
      </w:r>
      <w:r>
        <w:rPr>
          <w:b/>
        </w:rPr>
        <w:t>bậc không cộng dồn</w:t>
      </w:r>
      <w:r>
        <w:t xml:space="preserve"> (non-cumulative), dựa trên tỷ lệ đạt chỉ tiêu cá nhân. Điều kiện tối thiểu để nhận thưởng: đạt </w:t>
      </w:r>
      <w:r>
        <w:rPr>
          <w:b/>
        </w:rPr>
        <w:t>50%</w:t>
      </w:r>
      <w:r>
        <w:t xml:space="preserve"> chỉ tiêu doanh số.</w:t>
      </w:r>
    </w:p>
    <w:p>
      <w:pPr>
        <w:pStyle w:val="Heading4"/>
      </w:pPr>
      <w:r>
        <w:t>Điều 1. Bảng tỷ lệ thưởng tiêu chuẩn</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D9E2F3"/>
          </w:tcPr>
          <w:p>
            <w:r/>
            <w:r>
              <w:rPr>
                <w:rFonts w:ascii="Times New Roman" w:hAnsi="Times New Roman"/>
                <w:b/>
                <w:sz w:val="20"/>
              </w:rPr>
              <w:t>Bậc</w:t>
            </w:r>
          </w:p>
        </w:tc>
        <w:tc>
          <w:tcPr>
            <w:tcW w:type="dxa" w:w="2351"/>
            <w:shd w:fill="D9E2F3"/>
          </w:tcPr>
          <w:p>
            <w:r/>
            <w:r>
              <w:rPr>
                <w:rFonts w:ascii="Times New Roman" w:hAnsi="Times New Roman"/>
                <w:b/>
                <w:sz w:val="20"/>
              </w:rPr>
              <w:t>Tỷ lệ đạt chỉ tiêu</w:t>
            </w:r>
          </w:p>
        </w:tc>
        <w:tc>
          <w:tcPr>
            <w:tcW w:type="dxa" w:w="2351"/>
            <w:shd w:fill="D9E2F3"/>
          </w:tcPr>
          <w:p>
            <w:r/>
            <w:r>
              <w:rPr>
                <w:rFonts w:ascii="Times New Roman" w:hAnsi="Times New Roman"/>
                <w:b/>
                <w:sz w:val="20"/>
              </w:rPr>
              <w:t>Hàng Full Price (FP)</w:t>
            </w:r>
          </w:p>
        </w:tc>
        <w:tc>
          <w:tcPr>
            <w:tcW w:type="dxa" w:w="2351"/>
            <w:shd w:fill="D9E2F3"/>
          </w:tcPr>
          <w:p>
            <w:r/>
            <w:r>
              <w:rPr>
                <w:rFonts w:ascii="Times New Roman" w:hAnsi="Times New Roman"/>
                <w:b/>
                <w:sz w:val="20"/>
              </w:rPr>
              <w:t>Hàng Giảm Giá (MD)</w:t>
            </w:r>
          </w:p>
        </w:tc>
      </w:tr>
      <w:tr>
        <w:tc>
          <w:tcPr>
            <w:tcW w:type="dxa" w:w="2351"/>
          </w:tcPr>
          <w:p>
            <w:r>
              <w:rPr>
                <w:rFonts w:ascii="Times New Roman" w:hAnsi="Times New Roman"/>
                <w:sz w:val="20"/>
              </w:rPr>
            </w:r>
            <w:r>
              <w:rPr>
                <w:rFonts w:ascii="Times New Roman" w:hAnsi="Times New Roman"/>
                <w:sz w:val="20"/>
              </w:rPr>
              <w:t>1</w:t>
            </w:r>
          </w:p>
        </w:tc>
        <w:tc>
          <w:tcPr>
            <w:tcW w:type="dxa" w:w="2351"/>
          </w:tcPr>
          <w:p>
            <w:r>
              <w:rPr>
                <w:rFonts w:ascii="Times New Roman" w:hAnsi="Times New Roman"/>
                <w:sz w:val="20"/>
              </w:rPr>
            </w:r>
            <w:r>
              <w:rPr>
                <w:rFonts w:ascii="Times New Roman" w:hAnsi="Times New Roman"/>
                <w:sz w:val="20"/>
              </w:rPr>
              <w:t>50% đến dưới 70%</w:t>
            </w:r>
          </w:p>
        </w:tc>
        <w:tc>
          <w:tcPr>
            <w:tcW w:type="dxa" w:w="2351"/>
          </w:tcPr>
          <w:p>
            <w:r>
              <w:rPr>
                <w:rFonts w:ascii="Times New Roman" w:hAnsi="Times New Roman"/>
                <w:sz w:val="20"/>
              </w:rPr>
            </w:r>
            <w:r>
              <w:rPr>
                <w:rFonts w:ascii="Times New Roman" w:hAnsi="Times New Roman"/>
                <w:sz w:val="20"/>
              </w:rPr>
              <w:t>0.25% doanh số FP trước thuế</w:t>
            </w:r>
          </w:p>
        </w:tc>
        <w:tc>
          <w:tcPr>
            <w:tcW w:type="dxa" w:w="2351"/>
          </w:tcPr>
          <w:p>
            <w:r>
              <w:rPr>
                <w:rFonts w:ascii="Times New Roman" w:hAnsi="Times New Roman"/>
                <w:sz w:val="20"/>
              </w:rPr>
            </w:r>
            <w:r>
              <w:rPr>
                <w:rFonts w:ascii="Times New Roman" w:hAnsi="Times New Roman"/>
                <w:sz w:val="20"/>
              </w:rPr>
              <w:t>0.125% doanh số MD trước thuế</w:t>
            </w:r>
          </w:p>
        </w:tc>
      </w:tr>
      <w:tr>
        <w:tc>
          <w:tcPr>
            <w:tcW w:type="dxa" w:w="2351"/>
          </w:tcPr>
          <w:p>
            <w:r>
              <w:rPr>
                <w:rFonts w:ascii="Times New Roman" w:hAnsi="Times New Roman"/>
                <w:sz w:val="20"/>
              </w:rPr>
            </w:r>
            <w:r>
              <w:rPr>
                <w:rFonts w:ascii="Times New Roman" w:hAnsi="Times New Roman"/>
                <w:sz w:val="20"/>
              </w:rPr>
              <w:t>2</w:t>
            </w:r>
          </w:p>
        </w:tc>
        <w:tc>
          <w:tcPr>
            <w:tcW w:type="dxa" w:w="2351"/>
          </w:tcPr>
          <w:p>
            <w:r>
              <w:rPr>
                <w:rFonts w:ascii="Times New Roman" w:hAnsi="Times New Roman"/>
                <w:sz w:val="20"/>
              </w:rPr>
            </w:r>
            <w:r>
              <w:rPr>
                <w:rFonts w:ascii="Times New Roman" w:hAnsi="Times New Roman"/>
                <w:sz w:val="20"/>
              </w:rPr>
              <w:t>70% đến dưới 100%</w:t>
            </w:r>
          </w:p>
        </w:tc>
        <w:tc>
          <w:tcPr>
            <w:tcW w:type="dxa" w:w="2351"/>
          </w:tcPr>
          <w:p>
            <w:r>
              <w:rPr>
                <w:rFonts w:ascii="Times New Roman" w:hAnsi="Times New Roman"/>
                <w:sz w:val="20"/>
              </w:rPr>
            </w:r>
            <w:r>
              <w:rPr>
                <w:rFonts w:ascii="Times New Roman" w:hAnsi="Times New Roman"/>
                <w:sz w:val="20"/>
              </w:rPr>
              <w:t>0.5% doanh số FP trước thuế</w:t>
            </w:r>
          </w:p>
        </w:tc>
        <w:tc>
          <w:tcPr>
            <w:tcW w:type="dxa" w:w="2351"/>
          </w:tcPr>
          <w:p>
            <w:r>
              <w:rPr>
                <w:rFonts w:ascii="Times New Roman" w:hAnsi="Times New Roman"/>
                <w:sz w:val="20"/>
              </w:rPr>
            </w:r>
            <w:r>
              <w:rPr>
                <w:rFonts w:ascii="Times New Roman" w:hAnsi="Times New Roman"/>
                <w:sz w:val="20"/>
              </w:rPr>
              <w:t>0.25% doanh số MD trước thuế</w:t>
            </w:r>
          </w:p>
        </w:tc>
      </w:tr>
      <w:tr>
        <w:tc>
          <w:tcPr>
            <w:tcW w:type="dxa" w:w="2351"/>
          </w:tcPr>
          <w:p>
            <w:r>
              <w:rPr>
                <w:rFonts w:ascii="Times New Roman" w:hAnsi="Times New Roman"/>
                <w:sz w:val="20"/>
              </w:rPr>
            </w:r>
            <w:r>
              <w:rPr>
                <w:rFonts w:ascii="Times New Roman" w:hAnsi="Times New Roman"/>
                <w:sz w:val="20"/>
              </w:rPr>
              <w:t>3</w:t>
            </w:r>
          </w:p>
        </w:tc>
        <w:tc>
          <w:tcPr>
            <w:tcW w:type="dxa" w:w="2351"/>
          </w:tcPr>
          <w:p>
            <w:r>
              <w:rPr>
                <w:rFonts w:ascii="Times New Roman" w:hAnsi="Times New Roman"/>
                <w:sz w:val="20"/>
              </w:rPr>
            </w:r>
            <w:r>
              <w:rPr>
                <w:rFonts w:ascii="Times New Roman" w:hAnsi="Times New Roman"/>
                <w:sz w:val="20"/>
              </w:rPr>
              <w:t>Từ 100% trở lên</w:t>
            </w:r>
          </w:p>
        </w:tc>
        <w:tc>
          <w:tcPr>
            <w:tcW w:type="dxa" w:w="2351"/>
          </w:tcPr>
          <w:p>
            <w:r>
              <w:rPr>
                <w:rFonts w:ascii="Times New Roman" w:hAnsi="Times New Roman"/>
                <w:sz w:val="20"/>
              </w:rPr>
            </w:r>
            <w:r>
              <w:rPr>
                <w:rFonts w:ascii="Times New Roman" w:hAnsi="Times New Roman"/>
                <w:sz w:val="20"/>
              </w:rPr>
              <w:t>1% doanh số FP trước thuế</w:t>
            </w:r>
          </w:p>
        </w:tc>
        <w:tc>
          <w:tcPr>
            <w:tcW w:type="dxa" w:w="2351"/>
          </w:tcPr>
          <w:p>
            <w:r>
              <w:rPr>
                <w:rFonts w:ascii="Times New Roman" w:hAnsi="Times New Roman"/>
                <w:sz w:val="20"/>
              </w:rPr>
            </w:r>
            <w:r>
              <w:rPr>
                <w:rFonts w:ascii="Times New Roman" w:hAnsi="Times New Roman"/>
                <w:sz w:val="20"/>
              </w:rPr>
              <w:t>0.5% doanh số MD trước thuế</w:t>
            </w:r>
          </w:p>
        </w:tc>
      </w:tr>
    </w:tbl>
    <w:p/>
    <w:p>
      <w:r>
        <w:rPr>
          <w:b/>
        </w:rPr>
        <w:t>Cách tính:</w:t>
      </w:r>
      <w:r>
        <w:t xml:space="preserve"> Nhân viên chỉ nhận tỷ lệ thưởng của </w:t>
      </w:r>
      <w:r>
        <w:rPr>
          <w:b/>
        </w:rPr>
        <w:t>một bậc duy nhất</w:t>
      </w:r>
      <w:r>
        <w:t xml:space="preserve"> tương ứng với tỷ lệ đạt chỉ tiêu, </w:t>
      </w:r>
      <w:r>
        <w:rPr>
          <w:b/>
        </w:rPr>
        <w:t>không</w:t>
      </w:r>
      <w:r>
        <w:t xml:space="preserve"> cộng dồn thưởng từ các bậc thấp hơn.</w:t>
      </w:r>
    </w:p>
    <w:p>
      <w:pPr>
        <w:pStyle w:val="Heading4"/>
      </w:pPr>
      <w:r>
        <w:t>Điều 2. Tỷ lệ thưởng đặc biệt cho cửa hàng RWD</w:t>
      </w:r>
    </w:p>
    <w:p>
      <w:r>
        <w:t>Cửa hàng RWD áp dụng tỷ lệ thưởng cao hơn tiêu chuẩn (hệ số 1.5x):</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D9E2F3"/>
          </w:tcPr>
          <w:p>
            <w:r/>
            <w:r>
              <w:rPr>
                <w:rFonts w:ascii="Times New Roman" w:hAnsi="Times New Roman"/>
                <w:b/>
                <w:sz w:val="20"/>
              </w:rPr>
              <w:t>Bậc</w:t>
            </w:r>
          </w:p>
        </w:tc>
        <w:tc>
          <w:tcPr>
            <w:tcW w:type="dxa" w:w="2351"/>
            <w:shd w:fill="D9E2F3"/>
          </w:tcPr>
          <w:p>
            <w:r/>
            <w:r>
              <w:rPr>
                <w:rFonts w:ascii="Times New Roman" w:hAnsi="Times New Roman"/>
                <w:b/>
                <w:sz w:val="20"/>
              </w:rPr>
              <w:t>Tỷ lệ đạt chỉ tiêu</w:t>
            </w:r>
          </w:p>
        </w:tc>
        <w:tc>
          <w:tcPr>
            <w:tcW w:type="dxa" w:w="2351"/>
            <w:shd w:fill="D9E2F3"/>
          </w:tcPr>
          <w:p>
            <w:r/>
            <w:r>
              <w:rPr>
                <w:rFonts w:ascii="Times New Roman" w:hAnsi="Times New Roman"/>
                <w:b/>
                <w:sz w:val="20"/>
              </w:rPr>
              <w:t>Hàng Full Price (FP)</w:t>
            </w:r>
          </w:p>
        </w:tc>
        <w:tc>
          <w:tcPr>
            <w:tcW w:type="dxa" w:w="2351"/>
            <w:shd w:fill="D9E2F3"/>
          </w:tcPr>
          <w:p>
            <w:r/>
            <w:r>
              <w:rPr>
                <w:rFonts w:ascii="Times New Roman" w:hAnsi="Times New Roman"/>
                <w:b/>
                <w:sz w:val="20"/>
              </w:rPr>
              <w:t>Hàng Giảm Giá (MD)</w:t>
            </w:r>
          </w:p>
        </w:tc>
      </w:tr>
      <w:tr>
        <w:tc>
          <w:tcPr>
            <w:tcW w:type="dxa" w:w="2351"/>
          </w:tcPr>
          <w:p>
            <w:r>
              <w:rPr>
                <w:rFonts w:ascii="Times New Roman" w:hAnsi="Times New Roman"/>
                <w:sz w:val="20"/>
              </w:rPr>
            </w:r>
            <w:r>
              <w:rPr>
                <w:rFonts w:ascii="Times New Roman" w:hAnsi="Times New Roman"/>
                <w:sz w:val="20"/>
              </w:rPr>
              <w:t>1</w:t>
            </w:r>
          </w:p>
        </w:tc>
        <w:tc>
          <w:tcPr>
            <w:tcW w:type="dxa" w:w="2351"/>
          </w:tcPr>
          <w:p>
            <w:r>
              <w:rPr>
                <w:rFonts w:ascii="Times New Roman" w:hAnsi="Times New Roman"/>
                <w:sz w:val="20"/>
              </w:rPr>
            </w:r>
            <w:r>
              <w:rPr>
                <w:rFonts w:ascii="Times New Roman" w:hAnsi="Times New Roman"/>
                <w:sz w:val="20"/>
              </w:rPr>
              <w:t>50% đến dưới 70%</w:t>
            </w:r>
          </w:p>
        </w:tc>
        <w:tc>
          <w:tcPr>
            <w:tcW w:type="dxa" w:w="2351"/>
          </w:tcPr>
          <w:p>
            <w:r>
              <w:rPr>
                <w:rFonts w:ascii="Times New Roman" w:hAnsi="Times New Roman"/>
                <w:sz w:val="20"/>
              </w:rPr>
            </w:r>
            <w:r>
              <w:rPr>
                <w:rFonts w:ascii="Times New Roman" w:hAnsi="Times New Roman"/>
                <w:sz w:val="20"/>
              </w:rPr>
              <w:t>0.375%</w:t>
            </w:r>
          </w:p>
        </w:tc>
        <w:tc>
          <w:tcPr>
            <w:tcW w:type="dxa" w:w="2351"/>
          </w:tcPr>
          <w:p>
            <w:r>
              <w:rPr>
                <w:rFonts w:ascii="Times New Roman" w:hAnsi="Times New Roman"/>
                <w:sz w:val="20"/>
              </w:rPr>
            </w:r>
            <w:r>
              <w:rPr>
                <w:rFonts w:ascii="Times New Roman" w:hAnsi="Times New Roman"/>
                <w:sz w:val="20"/>
              </w:rPr>
              <w:t>0.1875%</w:t>
            </w:r>
          </w:p>
        </w:tc>
      </w:tr>
      <w:tr>
        <w:tc>
          <w:tcPr>
            <w:tcW w:type="dxa" w:w="2351"/>
          </w:tcPr>
          <w:p>
            <w:r>
              <w:rPr>
                <w:rFonts w:ascii="Times New Roman" w:hAnsi="Times New Roman"/>
                <w:sz w:val="20"/>
              </w:rPr>
            </w:r>
            <w:r>
              <w:rPr>
                <w:rFonts w:ascii="Times New Roman" w:hAnsi="Times New Roman"/>
                <w:sz w:val="20"/>
              </w:rPr>
              <w:t>2</w:t>
            </w:r>
          </w:p>
        </w:tc>
        <w:tc>
          <w:tcPr>
            <w:tcW w:type="dxa" w:w="2351"/>
          </w:tcPr>
          <w:p>
            <w:r>
              <w:rPr>
                <w:rFonts w:ascii="Times New Roman" w:hAnsi="Times New Roman"/>
                <w:sz w:val="20"/>
              </w:rPr>
            </w:r>
            <w:r>
              <w:rPr>
                <w:rFonts w:ascii="Times New Roman" w:hAnsi="Times New Roman"/>
                <w:sz w:val="20"/>
              </w:rPr>
              <w:t>70% đến dưới 100%</w:t>
            </w:r>
          </w:p>
        </w:tc>
        <w:tc>
          <w:tcPr>
            <w:tcW w:type="dxa" w:w="2351"/>
          </w:tcPr>
          <w:p>
            <w:r>
              <w:rPr>
                <w:rFonts w:ascii="Times New Roman" w:hAnsi="Times New Roman"/>
                <w:sz w:val="20"/>
              </w:rPr>
            </w:r>
            <w:r>
              <w:rPr>
                <w:rFonts w:ascii="Times New Roman" w:hAnsi="Times New Roman"/>
                <w:sz w:val="20"/>
              </w:rPr>
              <w:t>0.75%</w:t>
            </w:r>
          </w:p>
        </w:tc>
        <w:tc>
          <w:tcPr>
            <w:tcW w:type="dxa" w:w="2351"/>
          </w:tcPr>
          <w:p>
            <w:r>
              <w:rPr>
                <w:rFonts w:ascii="Times New Roman" w:hAnsi="Times New Roman"/>
                <w:sz w:val="20"/>
              </w:rPr>
            </w:r>
            <w:r>
              <w:rPr>
                <w:rFonts w:ascii="Times New Roman" w:hAnsi="Times New Roman"/>
                <w:sz w:val="20"/>
              </w:rPr>
              <w:t>0.375%</w:t>
            </w:r>
          </w:p>
        </w:tc>
      </w:tr>
      <w:tr>
        <w:tc>
          <w:tcPr>
            <w:tcW w:type="dxa" w:w="2351"/>
          </w:tcPr>
          <w:p>
            <w:r>
              <w:rPr>
                <w:rFonts w:ascii="Times New Roman" w:hAnsi="Times New Roman"/>
                <w:sz w:val="20"/>
              </w:rPr>
            </w:r>
            <w:r>
              <w:rPr>
                <w:rFonts w:ascii="Times New Roman" w:hAnsi="Times New Roman"/>
                <w:sz w:val="20"/>
              </w:rPr>
              <w:t>3</w:t>
            </w:r>
          </w:p>
        </w:tc>
        <w:tc>
          <w:tcPr>
            <w:tcW w:type="dxa" w:w="2351"/>
          </w:tcPr>
          <w:p>
            <w:r>
              <w:rPr>
                <w:rFonts w:ascii="Times New Roman" w:hAnsi="Times New Roman"/>
                <w:sz w:val="20"/>
              </w:rPr>
            </w:r>
            <w:r>
              <w:rPr>
                <w:rFonts w:ascii="Times New Roman" w:hAnsi="Times New Roman"/>
                <w:sz w:val="20"/>
              </w:rPr>
              <w:t>Từ 100% trở lên</w:t>
            </w:r>
          </w:p>
        </w:tc>
        <w:tc>
          <w:tcPr>
            <w:tcW w:type="dxa" w:w="2351"/>
          </w:tcPr>
          <w:p>
            <w:r>
              <w:rPr>
                <w:rFonts w:ascii="Times New Roman" w:hAnsi="Times New Roman"/>
                <w:sz w:val="20"/>
              </w:rPr>
            </w:r>
            <w:r>
              <w:rPr>
                <w:rFonts w:ascii="Times New Roman" w:hAnsi="Times New Roman"/>
                <w:sz w:val="20"/>
              </w:rPr>
              <w:t>1.5%</w:t>
            </w:r>
          </w:p>
        </w:tc>
        <w:tc>
          <w:tcPr>
            <w:tcW w:type="dxa" w:w="2351"/>
          </w:tcPr>
          <w:p>
            <w:r>
              <w:rPr>
                <w:rFonts w:ascii="Times New Roman" w:hAnsi="Times New Roman"/>
                <w:sz w:val="20"/>
              </w:rPr>
            </w:r>
            <w:r>
              <w:rPr>
                <w:rFonts w:ascii="Times New Roman" w:hAnsi="Times New Roman"/>
                <w:sz w:val="20"/>
              </w:rPr>
              <w:t>0.75%</w:t>
            </w:r>
          </w:p>
        </w:tc>
      </w:tr>
    </w:tbl>
    <w:p/>
    <w:p>
      <w:r>
        <w:rPr>
          <w:i/>
        </w:rPr>
        <w:t>Lưu ý: Tỷ lệ đặc biệt cho RWD có thể được bật/tắt bởi Ban Giám đốc.</w:t>
      </w:r>
    </w:p>
    <w:p>
      <w:pPr>
        <w:pStyle w:val="Heading4"/>
      </w:pPr>
      <w:r>
        <w:t>Điều 3. Thưởng vượt chỉ tiêu (Over-Target Bonus) — Bậc 4</w:t>
      </w:r>
    </w:p>
    <w:p>
      <w:r>
        <w:t xml:space="preserve">Khi nhân viên đạt </w:t>
      </w:r>
      <w:r>
        <w:rPr>
          <w:b/>
        </w:rPr>
        <w:t>trên 100%</w:t>
      </w:r>
      <w:r>
        <w:t xml:space="preserve"> chỉ tiêu doanh số, một khoản thưởng bổ sung được trích trên </w:t>
      </w:r>
      <w:r>
        <w:rPr>
          <w:b/>
        </w:rPr>
        <w:t>phần doanh số FP vượt mức</w:t>
      </w:r>
      <w:r>
        <w:t xml:space="preserve"> chỉ tiêu, với tỷ lệ:</w:t>
      </w:r>
    </w:p>
    <w:tbl>
      <w:tblPr>
        <w:tblStyle w:val="TableGrid"/>
        <w:tblW w:type="auto" w:w="0"/>
        <w:jc w:val="center"/>
        <w:tblLayout w:type="autofit"/>
        <w:tblLook w:firstColumn="1" w:firstRow="1" w:lastColumn="0" w:lastRow="0" w:noHBand="0" w:noVBand="1" w:val="04A0"/>
      </w:tblPr>
      <w:tblGrid>
        <w:gridCol w:w="4703"/>
        <w:gridCol w:w="4703"/>
      </w:tblGrid>
      <w:tr>
        <w:tc>
          <w:tcPr>
            <w:tcW w:type="dxa" w:w="4703"/>
            <w:shd w:fill="D9E2F3"/>
          </w:tcPr>
          <w:p>
            <w:r/>
            <w:r>
              <w:rPr>
                <w:rFonts w:ascii="Times New Roman" w:hAnsi="Times New Roman"/>
                <w:b/>
                <w:sz w:val="20"/>
              </w:rPr>
              <w:t>Cửa hàng</w:t>
            </w:r>
          </w:p>
        </w:tc>
        <w:tc>
          <w:tcPr>
            <w:tcW w:type="dxa" w:w="4703"/>
            <w:shd w:fill="D9E2F3"/>
          </w:tcPr>
          <w:p>
            <w:r/>
            <w:r>
              <w:rPr>
                <w:rFonts w:ascii="Times New Roman" w:hAnsi="Times New Roman"/>
                <w:b/>
                <w:sz w:val="20"/>
              </w:rPr>
              <w:t>Tỷ lệ thưởng vượt chỉ tiêu</w:t>
            </w:r>
          </w:p>
        </w:tc>
      </w:tr>
      <w:tr>
        <w:tc>
          <w:tcPr>
            <w:tcW w:type="dxa" w:w="4703"/>
          </w:tcPr>
          <w:p>
            <w:r>
              <w:rPr>
                <w:rFonts w:ascii="Times New Roman" w:hAnsi="Times New Roman"/>
                <w:sz w:val="20"/>
              </w:rPr>
            </w:r>
            <w:r>
              <w:rPr>
                <w:rFonts w:ascii="Times New Roman" w:hAnsi="Times New Roman"/>
                <w:sz w:val="20"/>
              </w:rPr>
              <w:t>Tiêu chuẩn</w:t>
            </w:r>
          </w:p>
        </w:tc>
        <w:tc>
          <w:tcPr>
            <w:tcW w:type="dxa" w:w="4703"/>
          </w:tcPr>
          <w:p>
            <w:r>
              <w:rPr>
                <w:rFonts w:ascii="Times New Roman" w:hAnsi="Times New Roman"/>
                <w:sz w:val="20"/>
              </w:rPr>
            </w:r>
            <w:r>
              <w:rPr>
                <w:rFonts w:ascii="Times New Roman" w:hAnsi="Times New Roman"/>
                <w:sz w:val="20"/>
              </w:rPr>
              <w:t>1% trên doanh số FP vượt chỉ tiêu (trước thuế)</w:t>
            </w:r>
          </w:p>
        </w:tc>
      </w:tr>
      <w:tr>
        <w:tc>
          <w:tcPr>
            <w:tcW w:type="dxa" w:w="4703"/>
          </w:tcPr>
          <w:p>
            <w:r>
              <w:rPr>
                <w:rFonts w:ascii="Times New Roman" w:hAnsi="Times New Roman"/>
                <w:sz w:val="20"/>
              </w:rPr>
            </w:r>
            <w:r>
              <w:rPr>
                <w:rFonts w:ascii="Times New Roman" w:hAnsi="Times New Roman"/>
                <w:sz w:val="20"/>
              </w:rPr>
              <w:t>RWD</w:t>
            </w:r>
          </w:p>
        </w:tc>
        <w:tc>
          <w:tcPr>
            <w:tcW w:type="dxa" w:w="4703"/>
          </w:tcPr>
          <w:p>
            <w:r>
              <w:rPr>
                <w:rFonts w:ascii="Times New Roman" w:hAnsi="Times New Roman"/>
                <w:sz w:val="20"/>
              </w:rPr>
            </w:r>
            <w:r>
              <w:rPr>
                <w:rFonts w:ascii="Times New Roman" w:hAnsi="Times New Roman"/>
                <w:sz w:val="20"/>
              </w:rPr>
              <w:t>1.5% trên doanh số FP vượt chỉ tiêu (trước thuế)</w:t>
            </w:r>
          </w:p>
        </w:tc>
      </w:tr>
    </w:tbl>
    <w:p/>
    <w:p>
      <w:pPr>
        <w:pStyle w:val="Heading5"/>
      </w:pPr>
      <w:r>
        <w:t>Điều kiện áp dụng cho mặt hàng được tính thưởng vượt chỉ tiêu:</w:t>
      </w:r>
    </w:p>
    <w:p>
      <w:r>
        <w:t xml:space="preserve">Chỉ các mặt hàng đáp ứng </w:t>
      </w:r>
      <w:r>
        <w:rPr>
          <w:b/>
        </w:rPr>
        <w:t>đồng thời tất cả</w:t>
      </w:r>
      <w:r>
        <w:t xml:space="preserve"> các điều kiện sau mới được tính vào phần doanh số vượt chỉ tiêu:</w:t>
      </w:r>
    </w:p>
    <w:p>
      <w:pPr>
        <w:pStyle w:val="ListNumber"/>
      </w:pPr>
      <w:r>
        <w:t xml:space="preserve">Là hàng </w:t>
      </w:r>
      <w:r>
        <w:rPr>
          <w:b/>
        </w:rPr>
        <w:t>full price</w:t>
      </w:r>
      <w:r>
        <w:t xml:space="preserve"> (tỷ lệ giảm giá &lt;= 30%)</w:t>
      </w:r>
    </w:p>
    <w:p>
      <w:pPr>
        <w:pStyle w:val="ListNumber"/>
      </w:pPr>
      <w:r>
        <w:rPr>
          <w:b/>
        </w:rPr>
        <w:t>Không</w:t>
      </w:r>
      <w:r>
        <w:t xml:space="preserve"> phải trang sức</w:t>
      </w:r>
    </w:p>
    <w:p>
      <w:pPr>
        <w:pStyle w:val="ListNumber"/>
      </w:pPr>
      <w:r>
        <w:rPr>
          <w:b/>
        </w:rPr>
        <w:t>Không</w:t>
      </w:r>
      <w:r>
        <w:t xml:space="preserve"> thuộc vendor TVL hoặc TIT (suitcase)</w:t>
      </w:r>
    </w:p>
    <w:p>
      <w:pPr>
        <w:pStyle w:val="ListNumber"/>
      </w:pPr>
      <w:r>
        <w:rPr>
          <w:b/>
        </w:rPr>
        <w:t>Không</w:t>
      </w:r>
      <w:r>
        <w:t xml:space="preserve"> thuộc bộ phận HOME</w:t>
      </w:r>
    </w:p>
    <w:p>
      <w:pPr>
        <w:pStyle w:val="ListNumber"/>
      </w:pPr>
      <w:r>
        <w:rPr>
          <w:b/>
        </w:rPr>
        <w:t>Không</w:t>
      </w:r>
      <w:r>
        <w:t xml:space="preserve"> thuộc bộ phận COSM với vendor HEA</w:t>
      </w:r>
    </w:p>
    <w:p>
      <w:pPr>
        <w:pStyle w:val="ListNumber"/>
      </w:pPr>
      <w:r>
        <w:rPr>
          <w:b/>
        </w:rPr>
        <w:t>Không</w:t>
      </w:r>
      <w:r>
        <w:t xml:space="preserve"> nằm trong danh sách UPC hand carry</w:t>
      </w:r>
    </w:p>
    <w:p>
      <w:pPr>
        <w:pStyle w:val="Heading5"/>
      </w:pPr>
      <w:r>
        <w:t>Cơ chế tính vượt chỉ tiêu (theo hóa đơn — Bill-by-Bill):</w:t>
      </w:r>
    </w:p>
    <w:p>
      <w:pPr>
        <w:pStyle w:val="ListNumber"/>
      </w:pPr>
      <w:r>
        <w:t xml:space="preserve">Tất cả hóa đơn trong tháng được sắp xếp theo </w:t>
      </w:r>
      <w:r>
        <w:rPr>
          <w:b/>
        </w:rPr>
        <w:t>ngày bán</w:t>
      </w:r>
      <w:r>
        <w:t xml:space="preserve"> và </w:t>
      </w:r>
      <w:r>
        <w:rPr>
          <w:b/>
        </w:rPr>
        <w:t>số hóa đơn</w:t>
      </w:r>
      <w:r>
        <w:t>.</w:t>
      </w:r>
    </w:p>
    <w:p>
      <w:pPr>
        <w:pStyle w:val="ListNumber"/>
      </w:pPr>
      <w:r>
        <w:t>Tổng doanh thu lũy kế (có thuế) được tính qua từng hóa đơn.</w:t>
      </w:r>
    </w:p>
    <w:p>
      <w:pPr>
        <w:pStyle w:val="ListNumber"/>
      </w:pPr>
      <w:r>
        <w:t xml:space="preserve">Xác định </w:t>
      </w:r>
      <w:r>
        <w:rPr>
          <w:b/>
        </w:rPr>
        <w:t>hóa đơn đầu tiên</w:t>
      </w:r>
      <w:r>
        <w:t xml:space="preserve"> mà tổng lũy kế đạt hoặc vượt chỉ tiêu cá nhân. </w:t>
      </w:r>
      <w:r>
        <w:rPr>
          <w:b/>
          <w:color w:val="FF0000"/>
          <w:sz w:val="22"/>
        </w:rPr>
        <w:t>THÔNG TIN NỘI BỘ</w:t>
      </w:r>
    </w:p>
    <w:p>
      <w:pPr>
        <w:pStyle w:val="ListNumber"/>
      </w:pPr>
      <w:r>
        <w:t xml:space="preserve">Trong hóa đơn đó, các mặt hàng đủ điều kiện được sắp xếp trước để lấp đầy phần "dưới chỉ tiêu", nhằm </w:t>
      </w:r>
      <w:r>
        <w:rPr>
          <w:b/>
        </w:rPr>
        <w:t>tối thiểu hóa</w:t>
      </w:r>
      <w:r>
        <w:t xml:space="preserve"> số tiền vượt chỉ tiêu. </w:t>
      </w:r>
      <w:r>
        <w:rPr>
          <w:b/>
          <w:color w:val="FF0000"/>
          <w:sz w:val="22"/>
        </w:rPr>
        <w:t>THÔNG TIN NỘI BỘ</w:t>
      </w:r>
    </w:p>
    <w:p>
      <w:pPr>
        <w:pStyle w:val="ListNumber"/>
      </w:pPr>
      <w:r>
        <w:t xml:space="preserve">Mặt hàng đầu tiên vượt qua mốc chỉ tiêu được chia theo tỷ lệ: chỉ phần doanh thu </w:t>
      </w:r>
      <w:r>
        <w:rPr>
          <w:b/>
        </w:rPr>
        <w:t>sau mốc chỉ tiêu</w:t>
      </w:r>
      <w:r>
        <w:t xml:space="preserve"> mới tính thưởng vượt.</w:t>
      </w:r>
    </w:p>
    <w:p>
      <w:pPr>
        <w:pStyle w:val="ListNumber"/>
      </w:pPr>
      <w:r>
        <w:t xml:space="preserve">Tất cả mặt hàng đủ điều kiện trong các hóa đơn </w:t>
      </w:r>
      <w:r>
        <w:rPr>
          <w:b/>
        </w:rPr>
        <w:t>sau</w:t>
      </w:r>
      <w:r>
        <w:t xml:space="preserve"> hóa đơn vượt chỉ tiêu đều được tính thưởng vượt.</w:t>
      </w:r>
    </w:p>
    <w:p>
      <w:pPr>
        <w:spacing w:before="120" w:after="120"/>
        <w:pBdr>
          <w:bottom w:val="single" w:sz="4" w:space="1" w:color="999999"/>
        </w:pBdr>
      </w:pPr>
    </w:p>
    <w:p>
      <w:pPr>
        <w:pStyle w:val="Heading3"/>
      </w:pPr>
      <w:r>
        <w:t>PHẦN V — TỔNG HỢP THƯỞNG CÁ NHÂN</w:t>
      </w:r>
    </w:p>
    <w:p>
      <w:r>
        <w:t>Tổng thưởng cá nhân = Thưởng thời trang (FP + MD) + Thưởng vượt chỉ tiêu + Thưởng trang sức + Thưởng hand carry + Thưởng suitcase + Thưởng home decor</w:t>
      </w:r>
    </w:p>
    <w:p>
      <w:r>
        <w:t xml:space="preserve">Nhân viên bán hàng sẽ được nhận tiền thưởng tương đương với </w:t>
      </w:r>
      <w:r>
        <w:rPr>
          <w:b/>
        </w:rPr>
        <w:t>100%</w:t>
      </w:r>
      <w:r>
        <w:t xml:space="preserve"> số tiền thưởng theo doanh số mà mình bán được.</w:t>
      </w:r>
    </w:p>
    <w:p>
      <w:pPr>
        <w:spacing w:before="120" w:after="120"/>
        <w:pBdr>
          <w:bottom w:val="single" w:sz="4" w:space="1" w:color="999999"/>
        </w:pBdr>
      </w:pPr>
    </w:p>
    <w:p>
      <w:pPr>
        <w:pStyle w:val="Heading3"/>
      </w:pPr>
      <w:r>
        <w:t>PHẦN VI — THỜI ĐIỂM TRẢ THƯỞNG</w:t>
      </w:r>
    </w:p>
    <w:p>
      <w:pPr>
        <w:pStyle w:val="ListNumber"/>
      </w:pPr>
      <w:r>
        <w:t>Tiền thưởng sẽ được trả cùng với kỳ lương của tháng liền kề.</w:t>
      </w:r>
    </w:p>
    <w:p>
      <w:pPr>
        <w:pStyle w:val="ListNumber"/>
      </w:pPr>
      <w:r>
        <w:t>Đối với tiền thưởng của khoản doanh thu bán hàng trả chậm, nhân viên chỉ được lĩnh thưởng vào kỳ thưởng của tháng sau khi thu được tiền hàng từ khách hàng.</w:t>
      </w:r>
    </w:p>
    <w:p>
      <w:pPr>
        <w:pStyle w:val="ListNumber"/>
      </w:pPr>
      <w:r>
        <w:t>Nhân viên nghỉ việc trước khi tổng kết kỳ tính thưởng thì sẽ không được nhận thưởng cuối kỳ của kỳ tính thưởng đó.</w:t>
      </w:r>
    </w:p>
    <w:p>
      <w:pPr>
        <w:spacing w:before="120" w:after="120"/>
        <w:pBdr>
          <w:bottom w:val="single" w:sz="4" w:space="1" w:color="999999"/>
        </w:pBdr>
      </w:pPr>
    </w:p>
    <w:p>
      <w:pPr>
        <w:pStyle w:val="Heading3"/>
      </w:pPr>
      <w:r>
        <w:t>PHẦN VII — BẢO MẬT THÔNG TIN</w:t>
      </w:r>
    </w:p>
    <w:p>
      <w:r>
        <w:t>Mọi khoản tiền thưởng hàng tháng sẽ do phòng nhân sự trực tiếp thông báo với từng nhân viên sau khi được Ban Giám đốc phê duyệt. Thông tin về kết quả kinh doanh cũng như các khoản tiền thưởng cá nhân phải được coi là thông tin mật của công ty và không được phép tiết lộ cho các cá nhân không liên quan.</w:t>
      </w:r>
    </w:p>
    <w:p>
      <w:pPr>
        <w:spacing w:before="120" w:after="120"/>
        <w:pBdr>
          <w:bottom w:val="single" w:sz="4" w:space="1" w:color="999999"/>
        </w:pBdr>
      </w:pPr>
    </w:p>
    <w:p>
      <w:pPr>
        <w:pStyle w:val="Heading3"/>
      </w:pPr>
      <w:r>
        <w:t>PHỤ LỤC A — BẢNG TỔNG HỢP TỶ LỆ THƯỞNG CÁ NHÂN</w:t>
      </w:r>
    </w:p>
    <w:p>
      <w:pPr>
        <w:pStyle w:val="Heading4"/>
      </w:pPr>
      <w:r>
        <w:t>A1. Thưởng thời trang (theo bậc chỉ tiêu)</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r/>
            <w:r>
              <w:rPr>
                <w:rFonts w:ascii="Times New Roman" w:hAnsi="Times New Roman"/>
                <w:b/>
                <w:sz w:val="20"/>
              </w:rPr>
              <w:t>Bậc</w:t>
            </w:r>
          </w:p>
        </w:tc>
        <w:tc>
          <w:tcPr>
            <w:tcW w:type="dxa" w:w="1344"/>
            <w:shd w:fill="D9E2F3"/>
          </w:tcPr>
          <w:p>
            <w:r/>
            <w:r>
              <w:rPr>
                <w:rFonts w:ascii="Times New Roman" w:hAnsi="Times New Roman"/>
                <w:b/>
                <w:sz w:val="20"/>
              </w:rPr>
              <w:t>Mức đạt</w:t>
            </w:r>
          </w:p>
        </w:tc>
        <w:tc>
          <w:tcPr>
            <w:tcW w:type="dxa" w:w="1344"/>
            <w:shd w:fill="D9E2F3"/>
          </w:tcPr>
          <w:p>
            <w:r/>
            <w:r>
              <w:rPr>
                <w:rFonts w:ascii="Times New Roman" w:hAnsi="Times New Roman"/>
                <w:b/>
                <w:sz w:val="20"/>
              </w:rPr>
              <w:t>FP (Tiêu chuẩn)</w:t>
            </w:r>
          </w:p>
        </w:tc>
        <w:tc>
          <w:tcPr>
            <w:tcW w:type="dxa" w:w="1344"/>
            <w:shd w:fill="D9E2F3"/>
          </w:tcPr>
          <w:p>
            <w:r/>
            <w:r>
              <w:rPr>
                <w:rFonts w:ascii="Times New Roman" w:hAnsi="Times New Roman"/>
                <w:b/>
                <w:sz w:val="20"/>
              </w:rPr>
              <w:t>MD (Tiêu chuẩn)</w:t>
            </w:r>
          </w:p>
        </w:tc>
        <w:tc>
          <w:tcPr>
            <w:tcW w:type="dxa" w:w="1344"/>
            <w:shd w:fill="D9E2F3"/>
          </w:tcPr>
          <w:p>
            <w:r/>
            <w:r>
              <w:rPr>
                <w:rFonts w:ascii="Times New Roman" w:hAnsi="Times New Roman"/>
                <w:b/>
                <w:sz w:val="20"/>
              </w:rPr>
              <w:t>FP (RWD)</w:t>
            </w:r>
          </w:p>
        </w:tc>
        <w:tc>
          <w:tcPr>
            <w:tcW w:type="dxa" w:w="1344"/>
            <w:shd w:fill="D9E2F3"/>
          </w:tcPr>
          <w:p>
            <w:r/>
            <w:r>
              <w:rPr>
                <w:rFonts w:ascii="Times New Roman" w:hAnsi="Times New Roman"/>
                <w:b/>
                <w:sz w:val="20"/>
              </w:rPr>
              <w:t>MD (RWD)</w:t>
            </w:r>
          </w:p>
        </w:tc>
        <w:tc>
          <w:tcPr>
            <w:tcW w:type="dxa" w:w="1344"/>
            <w:shd w:fill="D9E2F3"/>
          </w:tcPr>
          <w:p>
            <w:r/>
            <w:r>
              <w:rPr>
                <w:rFonts w:ascii="Times New Roman" w:hAnsi="Times New Roman"/>
                <w:b/>
                <w:sz w:val="20"/>
              </w:rPr>
              <w:t>Cơ sở tính</w:t>
            </w:r>
          </w:p>
        </w:tc>
      </w:tr>
      <w:tr>
        <w:tc>
          <w:tcPr>
            <w:tcW w:type="dxa" w:w="1344"/>
          </w:tcPr>
          <w:p>
            <w:r>
              <w:rPr>
                <w:rFonts w:ascii="Times New Roman" w:hAnsi="Times New Roman"/>
                <w:sz w:val="20"/>
              </w:rPr>
            </w:r>
            <w:r>
              <w:rPr>
                <w:rFonts w:ascii="Times New Roman" w:hAnsi="Times New Roman"/>
                <w:sz w:val="20"/>
              </w:rPr>
              <w:t>1</w:t>
            </w:r>
          </w:p>
        </w:tc>
        <w:tc>
          <w:tcPr>
            <w:tcW w:type="dxa" w:w="1344"/>
          </w:tcPr>
          <w:p>
            <w:r>
              <w:rPr>
                <w:rFonts w:ascii="Times New Roman" w:hAnsi="Times New Roman"/>
                <w:sz w:val="20"/>
              </w:rPr>
            </w:r>
            <w:r>
              <w:rPr>
                <w:rFonts w:ascii="Times New Roman" w:hAnsi="Times New Roman"/>
                <w:sz w:val="20"/>
              </w:rPr>
              <w:t>50% - &lt;70%</w:t>
            </w:r>
          </w:p>
        </w:tc>
        <w:tc>
          <w:tcPr>
            <w:tcW w:type="dxa" w:w="1344"/>
          </w:tcPr>
          <w:p>
            <w:r>
              <w:rPr>
                <w:rFonts w:ascii="Times New Roman" w:hAnsi="Times New Roman"/>
                <w:sz w:val="20"/>
              </w:rPr>
            </w:r>
            <w:r>
              <w:rPr>
                <w:rFonts w:ascii="Times New Roman" w:hAnsi="Times New Roman"/>
                <w:sz w:val="20"/>
              </w:rPr>
              <w:t>0.25%</w:t>
            </w:r>
          </w:p>
        </w:tc>
        <w:tc>
          <w:tcPr>
            <w:tcW w:type="dxa" w:w="1344"/>
          </w:tcPr>
          <w:p>
            <w:r>
              <w:rPr>
                <w:rFonts w:ascii="Times New Roman" w:hAnsi="Times New Roman"/>
                <w:sz w:val="20"/>
              </w:rPr>
            </w:r>
            <w:r>
              <w:rPr>
                <w:rFonts w:ascii="Times New Roman" w:hAnsi="Times New Roman"/>
                <w:sz w:val="20"/>
              </w:rPr>
              <w:t>0.125%</w:t>
            </w:r>
          </w:p>
        </w:tc>
        <w:tc>
          <w:tcPr>
            <w:tcW w:type="dxa" w:w="1344"/>
          </w:tcPr>
          <w:p>
            <w:r>
              <w:rPr>
                <w:rFonts w:ascii="Times New Roman" w:hAnsi="Times New Roman"/>
                <w:sz w:val="20"/>
              </w:rPr>
            </w:r>
            <w:r>
              <w:rPr>
                <w:rFonts w:ascii="Times New Roman" w:hAnsi="Times New Roman"/>
                <w:sz w:val="20"/>
              </w:rPr>
              <w:t>0.375%</w:t>
            </w:r>
          </w:p>
        </w:tc>
        <w:tc>
          <w:tcPr>
            <w:tcW w:type="dxa" w:w="1344"/>
          </w:tcPr>
          <w:p>
            <w:r>
              <w:rPr>
                <w:rFonts w:ascii="Times New Roman" w:hAnsi="Times New Roman"/>
                <w:sz w:val="20"/>
              </w:rPr>
            </w:r>
            <w:r>
              <w:rPr>
                <w:rFonts w:ascii="Times New Roman" w:hAnsi="Times New Roman"/>
                <w:sz w:val="20"/>
              </w:rPr>
              <w:t>0.1875%</w:t>
            </w:r>
          </w:p>
        </w:tc>
        <w:tc>
          <w:tcPr>
            <w:tcW w:type="dxa" w:w="1344"/>
          </w:tcPr>
          <w:p>
            <w:r>
              <w:rPr>
                <w:rFonts w:ascii="Times New Roman" w:hAnsi="Times New Roman"/>
                <w:sz w:val="20"/>
              </w:rPr>
            </w:r>
            <w:r>
              <w:rPr>
                <w:rFonts w:ascii="Times New Roman" w:hAnsi="Times New Roman"/>
                <w:sz w:val="20"/>
              </w:rPr>
              <w:t>Trước thuế</w:t>
            </w:r>
          </w:p>
        </w:tc>
      </w:tr>
      <w:tr>
        <w:tc>
          <w:tcPr>
            <w:tcW w:type="dxa" w:w="1344"/>
          </w:tcPr>
          <w:p>
            <w:r>
              <w:rPr>
                <w:rFonts w:ascii="Times New Roman" w:hAnsi="Times New Roman"/>
                <w:sz w:val="20"/>
              </w:rPr>
            </w:r>
            <w:r>
              <w:rPr>
                <w:rFonts w:ascii="Times New Roman" w:hAnsi="Times New Roman"/>
                <w:sz w:val="20"/>
              </w:rPr>
              <w:t>2</w:t>
            </w:r>
          </w:p>
        </w:tc>
        <w:tc>
          <w:tcPr>
            <w:tcW w:type="dxa" w:w="1344"/>
          </w:tcPr>
          <w:p>
            <w:r>
              <w:rPr>
                <w:rFonts w:ascii="Times New Roman" w:hAnsi="Times New Roman"/>
                <w:sz w:val="20"/>
              </w:rPr>
            </w:r>
            <w:r>
              <w:rPr>
                <w:rFonts w:ascii="Times New Roman" w:hAnsi="Times New Roman"/>
                <w:sz w:val="20"/>
              </w:rPr>
              <w:t>70% - &lt;100%</w:t>
            </w:r>
          </w:p>
        </w:tc>
        <w:tc>
          <w:tcPr>
            <w:tcW w:type="dxa" w:w="1344"/>
          </w:tcPr>
          <w:p>
            <w:r>
              <w:rPr>
                <w:rFonts w:ascii="Times New Roman" w:hAnsi="Times New Roman"/>
                <w:sz w:val="20"/>
              </w:rPr>
            </w:r>
            <w:r>
              <w:rPr>
                <w:rFonts w:ascii="Times New Roman" w:hAnsi="Times New Roman"/>
                <w:sz w:val="20"/>
              </w:rPr>
              <w:t>0.5%</w:t>
            </w:r>
          </w:p>
        </w:tc>
        <w:tc>
          <w:tcPr>
            <w:tcW w:type="dxa" w:w="1344"/>
          </w:tcPr>
          <w:p>
            <w:r>
              <w:rPr>
                <w:rFonts w:ascii="Times New Roman" w:hAnsi="Times New Roman"/>
                <w:sz w:val="20"/>
              </w:rPr>
            </w:r>
            <w:r>
              <w:rPr>
                <w:rFonts w:ascii="Times New Roman" w:hAnsi="Times New Roman"/>
                <w:sz w:val="20"/>
              </w:rPr>
              <w:t>0.25%</w:t>
            </w:r>
          </w:p>
        </w:tc>
        <w:tc>
          <w:tcPr>
            <w:tcW w:type="dxa" w:w="1344"/>
          </w:tcPr>
          <w:p>
            <w:r>
              <w:rPr>
                <w:rFonts w:ascii="Times New Roman" w:hAnsi="Times New Roman"/>
                <w:sz w:val="20"/>
              </w:rPr>
            </w:r>
            <w:r>
              <w:rPr>
                <w:rFonts w:ascii="Times New Roman" w:hAnsi="Times New Roman"/>
                <w:sz w:val="20"/>
              </w:rPr>
              <w:t>0.75%</w:t>
            </w:r>
          </w:p>
        </w:tc>
        <w:tc>
          <w:tcPr>
            <w:tcW w:type="dxa" w:w="1344"/>
          </w:tcPr>
          <w:p>
            <w:r>
              <w:rPr>
                <w:rFonts w:ascii="Times New Roman" w:hAnsi="Times New Roman"/>
                <w:sz w:val="20"/>
              </w:rPr>
            </w:r>
            <w:r>
              <w:rPr>
                <w:rFonts w:ascii="Times New Roman" w:hAnsi="Times New Roman"/>
                <w:sz w:val="20"/>
              </w:rPr>
              <w:t>0.375%</w:t>
            </w:r>
          </w:p>
        </w:tc>
        <w:tc>
          <w:tcPr>
            <w:tcW w:type="dxa" w:w="1344"/>
          </w:tcPr>
          <w:p>
            <w:r>
              <w:rPr>
                <w:rFonts w:ascii="Times New Roman" w:hAnsi="Times New Roman"/>
                <w:sz w:val="20"/>
              </w:rPr>
            </w:r>
            <w:r>
              <w:rPr>
                <w:rFonts w:ascii="Times New Roman" w:hAnsi="Times New Roman"/>
                <w:sz w:val="20"/>
              </w:rPr>
              <w:t>Trước thuế</w:t>
            </w:r>
          </w:p>
        </w:tc>
      </w:tr>
      <w:tr>
        <w:tc>
          <w:tcPr>
            <w:tcW w:type="dxa" w:w="1344"/>
          </w:tcPr>
          <w:p>
            <w:r>
              <w:rPr>
                <w:rFonts w:ascii="Times New Roman" w:hAnsi="Times New Roman"/>
                <w:sz w:val="20"/>
              </w:rPr>
            </w:r>
            <w:r>
              <w:rPr>
                <w:rFonts w:ascii="Times New Roman" w:hAnsi="Times New Roman"/>
                <w:sz w:val="20"/>
              </w:rPr>
              <w:t>3</w:t>
            </w:r>
          </w:p>
        </w:tc>
        <w:tc>
          <w:tcPr>
            <w:tcW w:type="dxa" w:w="1344"/>
          </w:tcPr>
          <w:p>
            <w:r>
              <w:rPr>
                <w:rFonts w:ascii="Times New Roman" w:hAnsi="Times New Roman"/>
                <w:sz w:val="20"/>
              </w:rPr>
            </w:r>
            <w:r>
              <w:rPr>
                <w:rFonts w:ascii="Times New Roman" w:hAnsi="Times New Roman"/>
                <w:sz w:val="20"/>
              </w:rPr>
              <w:t>&gt;= 100%</w:t>
            </w:r>
          </w:p>
        </w:tc>
        <w:tc>
          <w:tcPr>
            <w:tcW w:type="dxa" w:w="1344"/>
          </w:tcPr>
          <w:p>
            <w:r>
              <w:rPr>
                <w:rFonts w:ascii="Times New Roman" w:hAnsi="Times New Roman"/>
                <w:sz w:val="20"/>
              </w:rPr>
            </w:r>
            <w:r>
              <w:rPr>
                <w:rFonts w:ascii="Times New Roman" w:hAnsi="Times New Roman"/>
                <w:sz w:val="20"/>
              </w:rPr>
              <w:t>1%</w:t>
            </w:r>
          </w:p>
        </w:tc>
        <w:tc>
          <w:tcPr>
            <w:tcW w:type="dxa" w:w="1344"/>
          </w:tcPr>
          <w:p>
            <w:r>
              <w:rPr>
                <w:rFonts w:ascii="Times New Roman" w:hAnsi="Times New Roman"/>
                <w:sz w:val="20"/>
              </w:rPr>
            </w:r>
            <w:r>
              <w:rPr>
                <w:rFonts w:ascii="Times New Roman" w:hAnsi="Times New Roman"/>
                <w:sz w:val="20"/>
              </w:rPr>
              <w:t>0.5%</w:t>
            </w:r>
          </w:p>
        </w:tc>
        <w:tc>
          <w:tcPr>
            <w:tcW w:type="dxa" w:w="1344"/>
          </w:tcPr>
          <w:p>
            <w:r>
              <w:rPr>
                <w:rFonts w:ascii="Times New Roman" w:hAnsi="Times New Roman"/>
                <w:sz w:val="20"/>
              </w:rPr>
            </w:r>
            <w:r>
              <w:rPr>
                <w:rFonts w:ascii="Times New Roman" w:hAnsi="Times New Roman"/>
                <w:sz w:val="20"/>
              </w:rPr>
              <w:t>1.5%</w:t>
            </w:r>
          </w:p>
        </w:tc>
        <w:tc>
          <w:tcPr>
            <w:tcW w:type="dxa" w:w="1344"/>
          </w:tcPr>
          <w:p>
            <w:r>
              <w:rPr>
                <w:rFonts w:ascii="Times New Roman" w:hAnsi="Times New Roman"/>
                <w:sz w:val="20"/>
              </w:rPr>
            </w:r>
            <w:r>
              <w:rPr>
                <w:rFonts w:ascii="Times New Roman" w:hAnsi="Times New Roman"/>
                <w:sz w:val="20"/>
              </w:rPr>
              <w:t>0.75%</w:t>
            </w:r>
          </w:p>
        </w:tc>
        <w:tc>
          <w:tcPr>
            <w:tcW w:type="dxa" w:w="1344"/>
          </w:tcPr>
          <w:p>
            <w:r>
              <w:rPr>
                <w:rFonts w:ascii="Times New Roman" w:hAnsi="Times New Roman"/>
                <w:sz w:val="20"/>
              </w:rPr>
            </w:r>
            <w:r>
              <w:rPr>
                <w:rFonts w:ascii="Times New Roman" w:hAnsi="Times New Roman"/>
                <w:sz w:val="20"/>
              </w:rPr>
              <w:t>Trước thuế</w:t>
            </w:r>
          </w:p>
        </w:tc>
      </w:tr>
      <w:tr>
        <w:tc>
          <w:tcPr>
            <w:tcW w:type="dxa" w:w="1344"/>
          </w:tcPr>
          <w:p>
            <w:r>
              <w:rPr>
                <w:rFonts w:ascii="Times New Roman" w:hAnsi="Times New Roman"/>
                <w:sz w:val="20"/>
              </w:rPr>
            </w:r>
            <w:r>
              <w:rPr>
                <w:rFonts w:ascii="Times New Roman" w:hAnsi="Times New Roman"/>
                <w:sz w:val="20"/>
              </w:rPr>
              <w:t>4</w:t>
            </w:r>
          </w:p>
        </w:tc>
        <w:tc>
          <w:tcPr>
            <w:tcW w:type="dxa" w:w="1344"/>
          </w:tcPr>
          <w:p>
            <w:r>
              <w:rPr>
                <w:rFonts w:ascii="Times New Roman" w:hAnsi="Times New Roman"/>
                <w:sz w:val="20"/>
              </w:rPr>
            </w:r>
            <w:r>
              <w:rPr>
                <w:rFonts w:ascii="Times New Roman" w:hAnsi="Times New Roman"/>
                <w:sz w:val="20"/>
              </w:rPr>
              <w:t>&gt; 100% (phần vượt FP)</w:t>
            </w:r>
          </w:p>
        </w:tc>
        <w:tc>
          <w:tcPr>
            <w:tcW w:type="dxa" w:w="1344"/>
          </w:tcPr>
          <w:p>
            <w:r>
              <w:rPr>
                <w:rFonts w:ascii="Times New Roman" w:hAnsi="Times New Roman"/>
                <w:sz w:val="20"/>
              </w:rPr>
            </w:r>
            <w:r>
              <w:rPr>
                <w:rFonts w:ascii="Times New Roman" w:hAnsi="Times New Roman"/>
                <w:sz w:val="20"/>
              </w:rPr>
              <w:t>1%</w:t>
            </w:r>
          </w:p>
        </w:tc>
        <w:tc>
          <w:tcPr>
            <w:tcW w:type="dxa" w:w="1344"/>
          </w:tcPr>
          <w:p>
            <w:r>
              <w:rPr>
                <w:rFonts w:ascii="Times New Roman" w:hAnsi="Times New Roman"/>
                <w:sz w:val="20"/>
              </w:rPr>
            </w:r>
            <w:r>
              <w:rPr>
                <w:rFonts w:ascii="Times New Roman" w:hAnsi="Times New Roman"/>
                <w:sz w:val="20"/>
              </w:rPr>
              <w:t>—</w:t>
            </w:r>
          </w:p>
        </w:tc>
        <w:tc>
          <w:tcPr>
            <w:tcW w:type="dxa" w:w="1344"/>
          </w:tcPr>
          <w:p>
            <w:r>
              <w:rPr>
                <w:rFonts w:ascii="Times New Roman" w:hAnsi="Times New Roman"/>
                <w:sz w:val="20"/>
              </w:rPr>
            </w:r>
            <w:r>
              <w:rPr>
                <w:rFonts w:ascii="Times New Roman" w:hAnsi="Times New Roman"/>
                <w:sz w:val="20"/>
              </w:rPr>
              <w:t>1.5%</w:t>
            </w:r>
          </w:p>
        </w:tc>
        <w:tc>
          <w:tcPr>
            <w:tcW w:type="dxa" w:w="1344"/>
          </w:tcPr>
          <w:p>
            <w:r>
              <w:rPr>
                <w:rFonts w:ascii="Times New Roman" w:hAnsi="Times New Roman"/>
                <w:sz w:val="20"/>
              </w:rPr>
            </w:r>
            <w:r>
              <w:rPr>
                <w:rFonts w:ascii="Times New Roman" w:hAnsi="Times New Roman"/>
                <w:sz w:val="20"/>
              </w:rPr>
              <w:t>—</w:t>
            </w:r>
          </w:p>
        </w:tc>
        <w:tc>
          <w:tcPr>
            <w:tcW w:type="dxa" w:w="1344"/>
          </w:tcPr>
          <w:p>
            <w:r>
              <w:rPr>
                <w:rFonts w:ascii="Times New Roman" w:hAnsi="Times New Roman"/>
                <w:sz w:val="20"/>
              </w:rPr>
            </w:r>
            <w:r>
              <w:rPr>
                <w:rFonts w:ascii="Times New Roman" w:hAnsi="Times New Roman"/>
                <w:sz w:val="20"/>
              </w:rPr>
              <w:t>Trước thuế</w:t>
            </w:r>
          </w:p>
        </w:tc>
      </w:tr>
    </w:tbl>
    <w:p/>
    <w:p>
      <w:pPr>
        <w:pStyle w:val="Heading4"/>
      </w:pPr>
      <w:r>
        <w:t>A2. Thưởng trang sức (không phụ thuộc chỉ tiêu)</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c>
          <w:tcPr>
            <w:tcW w:type="dxa" w:w="1881"/>
            <w:shd w:fill="D9E2F3"/>
          </w:tcPr>
          <w:p>
            <w:r/>
            <w:r>
              <w:rPr>
                <w:rFonts w:ascii="Times New Roman" w:hAnsi="Times New Roman"/>
                <w:b/>
                <w:sz w:val="20"/>
              </w:rPr>
              <w:t>Loại</w:t>
            </w:r>
          </w:p>
        </w:tc>
        <w:tc>
          <w:tcPr>
            <w:tcW w:type="dxa" w:w="1881"/>
            <w:shd w:fill="D9E2F3"/>
          </w:tcPr>
          <w:p>
            <w:r/>
            <w:r>
              <w:rPr>
                <w:rFonts w:ascii="Times New Roman" w:hAnsi="Times New Roman"/>
                <w:b/>
                <w:sz w:val="20"/>
              </w:rPr>
              <w:t>Vendor</w:t>
            </w:r>
          </w:p>
        </w:tc>
        <w:tc>
          <w:tcPr>
            <w:tcW w:type="dxa" w:w="1881"/>
            <w:shd w:fill="D9E2F3"/>
          </w:tcPr>
          <w:p>
            <w:r/>
            <w:r>
              <w:rPr>
                <w:rFonts w:ascii="Times New Roman" w:hAnsi="Times New Roman"/>
                <w:b/>
                <w:sz w:val="20"/>
              </w:rPr>
              <w:t>Điều kiện</w:t>
            </w:r>
          </w:p>
        </w:tc>
        <w:tc>
          <w:tcPr>
            <w:tcW w:type="dxa" w:w="1881"/>
            <w:shd w:fill="D9E2F3"/>
          </w:tcPr>
          <w:p>
            <w:r/>
            <w:r>
              <w:rPr>
                <w:rFonts w:ascii="Times New Roman" w:hAnsi="Times New Roman"/>
                <w:b/>
                <w:sz w:val="20"/>
              </w:rPr>
              <w:t>Tỷ lệ</w:t>
            </w:r>
          </w:p>
        </w:tc>
        <w:tc>
          <w:tcPr>
            <w:tcW w:type="dxa" w:w="1881"/>
            <w:shd w:fill="D9E2F3"/>
          </w:tcPr>
          <w:p>
            <w:r/>
            <w:r>
              <w:rPr>
                <w:rFonts w:ascii="Times New Roman" w:hAnsi="Times New Roman"/>
                <w:b/>
                <w:sz w:val="20"/>
              </w:rPr>
              <w:t>Cơ sở tính</w:t>
            </w:r>
          </w:p>
        </w:tc>
      </w:tr>
      <w:tr>
        <w:tc>
          <w:tcPr>
            <w:tcW w:type="dxa" w:w="1881"/>
          </w:tcPr>
          <w:p>
            <w:r>
              <w:rPr>
                <w:rFonts w:ascii="Times New Roman" w:hAnsi="Times New Roman"/>
                <w:sz w:val="20"/>
              </w:rPr>
            </w:r>
            <w:r>
              <w:rPr>
                <w:rFonts w:ascii="Times New Roman" w:hAnsi="Times New Roman"/>
                <w:sz w:val="20"/>
              </w:rPr>
              <w:t>Rosa Maria</w:t>
            </w:r>
          </w:p>
        </w:tc>
        <w:tc>
          <w:tcPr>
            <w:tcW w:type="dxa" w:w="1881"/>
          </w:tcPr>
          <w:p>
            <w:r>
              <w:rPr>
                <w:rFonts w:ascii="Times New Roman" w:hAnsi="Times New Roman"/>
                <w:sz w:val="20"/>
              </w:rPr>
            </w:r>
            <w:r>
              <w:rPr>
                <w:rFonts w:ascii="Times New Roman" w:hAnsi="Times New Roman"/>
                <w:sz w:val="20"/>
              </w:rPr>
              <w:t>ROM</w:t>
            </w:r>
          </w:p>
        </w:tc>
        <w:tc>
          <w:tcPr>
            <w:tcW w:type="dxa" w:w="1881"/>
          </w:tcPr>
          <w:p>
            <w:r>
              <w:rPr>
                <w:rFonts w:ascii="Times New Roman" w:hAnsi="Times New Roman"/>
                <w:sz w:val="20"/>
              </w:rPr>
            </w:r>
            <w:r>
              <w:rPr>
                <w:rFonts w:ascii="Times New Roman" w:hAnsi="Times New Roman"/>
                <w:sz w:val="20"/>
              </w:rPr>
              <w:t>Loại: EARRINGS</w:t>
            </w:r>
          </w:p>
        </w:tc>
        <w:tc>
          <w:tcPr>
            <w:tcW w:type="dxa" w:w="1881"/>
          </w:tcPr>
          <w:p>
            <w:r>
              <w:rPr>
                <w:rFonts w:ascii="Times New Roman" w:hAnsi="Times New Roman"/>
                <w:sz w:val="20"/>
              </w:rPr>
            </w:r>
            <w:r>
              <w:rPr>
                <w:rFonts w:ascii="Times New Roman" w:hAnsi="Times New Roman"/>
                <w:sz w:val="20"/>
              </w:rPr>
              <w:t>3%</w:t>
            </w:r>
          </w:p>
        </w:tc>
        <w:tc>
          <w:tcPr>
            <w:tcW w:type="dxa" w:w="1881"/>
          </w:tcPr>
          <w:p>
            <w:r>
              <w:rPr>
                <w:rFonts w:ascii="Times New Roman" w:hAnsi="Times New Roman"/>
                <w:sz w:val="20"/>
              </w:rPr>
            </w:r>
            <w:r>
              <w:rPr>
                <w:rFonts w:ascii="Times New Roman" w:hAnsi="Times New Roman"/>
                <w:sz w:val="20"/>
              </w:rPr>
              <w:t>Trước thuế</w:t>
            </w:r>
          </w:p>
        </w:tc>
      </w:tr>
      <w:tr>
        <w:tc>
          <w:tcPr>
            <w:tcW w:type="dxa" w:w="1881"/>
          </w:tcPr>
          <w:p>
            <w:r>
              <w:rPr>
                <w:rFonts w:ascii="Times New Roman" w:hAnsi="Times New Roman"/>
                <w:sz w:val="20"/>
              </w:rPr>
            </w:r>
            <w:r>
              <w:rPr>
                <w:rFonts w:ascii="Times New Roman" w:hAnsi="Times New Roman"/>
                <w:sz w:val="20"/>
              </w:rPr>
              <w:t>Vhernier</w:t>
            </w:r>
          </w:p>
        </w:tc>
        <w:tc>
          <w:tcPr>
            <w:tcW w:type="dxa" w:w="1881"/>
          </w:tcPr>
          <w:p>
            <w:r>
              <w:rPr>
                <w:rFonts w:ascii="Times New Roman" w:hAnsi="Times New Roman"/>
                <w:sz w:val="20"/>
              </w:rPr>
            </w:r>
            <w:r>
              <w:rPr>
                <w:rFonts w:ascii="Times New Roman" w:hAnsi="Times New Roman"/>
                <w:sz w:val="20"/>
              </w:rPr>
              <w:t>VHN</w:t>
            </w:r>
          </w:p>
        </w:tc>
        <w:tc>
          <w:tcPr>
            <w:tcW w:type="dxa" w:w="1881"/>
          </w:tcPr>
          <w:p>
            <w:r>
              <w:rPr>
                <w:rFonts w:ascii="Times New Roman" w:hAnsi="Times New Roman"/>
                <w:sz w:val="20"/>
              </w:rPr>
            </w:r>
            <w:r>
              <w:rPr>
                <w:rFonts w:ascii="Times New Roman" w:hAnsi="Times New Roman"/>
                <w:sz w:val="20"/>
              </w:rPr>
              <w:t>—</w:t>
            </w:r>
          </w:p>
        </w:tc>
        <w:tc>
          <w:tcPr>
            <w:tcW w:type="dxa" w:w="1881"/>
          </w:tcPr>
          <w:p>
            <w:r>
              <w:rPr>
                <w:rFonts w:ascii="Times New Roman" w:hAnsi="Times New Roman"/>
                <w:sz w:val="20"/>
              </w:rPr>
            </w:r>
            <w:r>
              <w:rPr>
                <w:rFonts w:ascii="Times New Roman" w:hAnsi="Times New Roman"/>
                <w:sz w:val="20"/>
              </w:rPr>
              <w:t>1%</w:t>
            </w:r>
          </w:p>
        </w:tc>
        <w:tc>
          <w:tcPr>
            <w:tcW w:type="dxa" w:w="1881"/>
          </w:tcPr>
          <w:p>
            <w:r>
              <w:rPr>
                <w:rFonts w:ascii="Times New Roman" w:hAnsi="Times New Roman"/>
                <w:sz w:val="20"/>
              </w:rPr>
            </w:r>
            <w:r>
              <w:rPr>
                <w:rFonts w:ascii="Times New Roman" w:hAnsi="Times New Roman"/>
                <w:sz w:val="20"/>
              </w:rPr>
              <w:t>Trước thuế</w:t>
            </w:r>
          </w:p>
        </w:tc>
      </w:tr>
      <w:tr>
        <w:tc>
          <w:tcPr>
            <w:tcW w:type="dxa" w:w="1881"/>
          </w:tcPr>
          <w:p>
            <w:r>
              <w:rPr>
                <w:rFonts w:ascii="Times New Roman" w:hAnsi="Times New Roman"/>
                <w:sz w:val="20"/>
              </w:rPr>
            </w:r>
            <w:r>
              <w:rPr>
                <w:rFonts w:ascii="Times New Roman" w:hAnsi="Times New Roman"/>
                <w:sz w:val="20"/>
              </w:rPr>
              <w:t>Trang sức khác</w:t>
            </w:r>
          </w:p>
        </w:tc>
        <w:tc>
          <w:tcPr>
            <w:tcW w:type="dxa" w:w="1881"/>
          </w:tcPr>
          <w:p>
            <w:r>
              <w:rPr>
                <w:rFonts w:ascii="Times New Roman" w:hAnsi="Times New Roman"/>
                <w:sz w:val="20"/>
              </w:rPr>
            </w:r>
            <w:r>
              <w:rPr>
                <w:rFonts w:ascii="Times New Roman" w:hAnsi="Times New Roman"/>
                <w:sz w:val="20"/>
              </w:rPr>
              <w:t>ATS, VIS, LUI, NAN, NAK, SPK, TED, BRT, ROM (khác)</w:t>
            </w:r>
          </w:p>
        </w:tc>
        <w:tc>
          <w:tcPr>
            <w:tcW w:type="dxa" w:w="1881"/>
          </w:tcPr>
          <w:p>
            <w:r>
              <w:rPr>
                <w:rFonts w:ascii="Times New Roman" w:hAnsi="Times New Roman"/>
                <w:sz w:val="20"/>
              </w:rPr>
            </w:r>
            <w:r>
              <w:rPr>
                <w:rFonts w:ascii="Times New Roman" w:hAnsi="Times New Roman"/>
                <w:sz w:val="20"/>
              </w:rPr>
              <w:t>—</w:t>
            </w:r>
          </w:p>
        </w:tc>
        <w:tc>
          <w:tcPr>
            <w:tcW w:type="dxa" w:w="1881"/>
          </w:tcPr>
          <w:p>
            <w:r>
              <w:rPr>
                <w:rFonts w:ascii="Times New Roman" w:hAnsi="Times New Roman"/>
                <w:sz w:val="20"/>
              </w:rPr>
            </w:r>
            <w:r>
              <w:rPr>
                <w:rFonts w:ascii="Times New Roman" w:hAnsi="Times New Roman"/>
                <w:sz w:val="20"/>
              </w:rPr>
              <w:t>2%</w:t>
            </w:r>
          </w:p>
        </w:tc>
        <w:tc>
          <w:tcPr>
            <w:tcW w:type="dxa" w:w="1881"/>
          </w:tcPr>
          <w:p>
            <w:r>
              <w:rPr>
                <w:rFonts w:ascii="Times New Roman" w:hAnsi="Times New Roman"/>
                <w:sz w:val="20"/>
              </w:rPr>
            </w:r>
            <w:r>
              <w:rPr>
                <w:rFonts w:ascii="Times New Roman" w:hAnsi="Times New Roman"/>
                <w:sz w:val="20"/>
              </w:rPr>
              <w:t>Trước thuế</w:t>
            </w:r>
          </w:p>
        </w:tc>
      </w:tr>
    </w:tbl>
    <w:p/>
    <w:p>
      <w:pPr>
        <w:pStyle w:val="Heading4"/>
      </w:pPr>
      <w:r>
        <w:t>A3. Thưởng hand carry (không phụ thuộc chỉ tiêu)</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D9E2F3"/>
          </w:tcPr>
          <w:p>
            <w:r/>
            <w:r>
              <w:rPr>
                <w:rFonts w:ascii="Times New Roman" w:hAnsi="Times New Roman"/>
                <w:b/>
                <w:sz w:val="20"/>
              </w:rPr>
              <w:t>Nhóm</w:t>
            </w:r>
          </w:p>
        </w:tc>
        <w:tc>
          <w:tcPr>
            <w:tcW w:type="dxa" w:w="2351"/>
            <w:shd w:fill="D9E2F3"/>
          </w:tcPr>
          <w:p>
            <w:r/>
            <w:r>
              <w:rPr>
                <w:rFonts w:ascii="Times New Roman" w:hAnsi="Times New Roman"/>
                <w:b/>
                <w:sz w:val="20"/>
              </w:rPr>
              <w:t>Vendor</w:t>
            </w:r>
          </w:p>
        </w:tc>
        <w:tc>
          <w:tcPr>
            <w:tcW w:type="dxa" w:w="2351"/>
            <w:shd w:fill="D9E2F3"/>
          </w:tcPr>
          <w:p>
            <w:r/>
            <w:r>
              <w:rPr>
                <w:rFonts w:ascii="Times New Roman" w:hAnsi="Times New Roman"/>
                <w:b/>
                <w:sz w:val="20"/>
              </w:rPr>
              <w:t>Tỷ lệ</w:t>
            </w:r>
          </w:p>
        </w:tc>
        <w:tc>
          <w:tcPr>
            <w:tcW w:type="dxa" w:w="2351"/>
            <w:shd w:fill="D9E2F3"/>
          </w:tcPr>
          <w:p>
            <w:r/>
            <w:r>
              <w:rPr>
                <w:rFonts w:ascii="Times New Roman" w:hAnsi="Times New Roman"/>
                <w:b/>
                <w:sz w:val="20"/>
              </w:rPr>
              <w:t>Cơ sở tính</w:t>
            </w:r>
          </w:p>
        </w:tc>
      </w:tr>
      <w:tr>
        <w:tc>
          <w:tcPr>
            <w:tcW w:type="dxa" w:w="2351"/>
          </w:tcPr>
          <w:p>
            <w:r>
              <w:rPr>
                <w:rFonts w:ascii="Times New Roman" w:hAnsi="Times New Roman"/>
                <w:sz w:val="20"/>
              </w:rPr>
            </w:r>
            <w:r>
              <w:rPr>
                <w:rFonts w:ascii="Times New Roman" w:hAnsi="Times New Roman"/>
                <w:sz w:val="20"/>
              </w:rPr>
              <w:t>ROM Earrings</w:t>
            </w:r>
          </w:p>
        </w:tc>
        <w:tc>
          <w:tcPr>
            <w:tcW w:type="dxa" w:w="2351"/>
          </w:tcPr>
          <w:p>
            <w:r>
              <w:rPr>
                <w:rFonts w:ascii="Times New Roman" w:hAnsi="Times New Roman"/>
                <w:sz w:val="20"/>
              </w:rPr>
            </w:r>
            <w:r>
              <w:rPr>
                <w:rFonts w:ascii="Times New Roman" w:hAnsi="Times New Roman"/>
                <w:sz w:val="20"/>
              </w:rPr>
              <w:t>ROM (EARRINGS)</w:t>
            </w:r>
          </w:p>
        </w:tc>
        <w:tc>
          <w:tcPr>
            <w:tcW w:type="dxa" w:w="2351"/>
          </w:tcPr>
          <w:p>
            <w:r>
              <w:rPr>
                <w:rFonts w:ascii="Times New Roman" w:hAnsi="Times New Roman"/>
                <w:sz w:val="20"/>
              </w:rPr>
            </w:r>
            <w:r>
              <w:rPr>
                <w:rFonts w:ascii="Times New Roman" w:hAnsi="Times New Roman"/>
                <w:sz w:val="20"/>
              </w:rPr>
              <w:t>3%</w:t>
            </w:r>
          </w:p>
        </w:tc>
        <w:tc>
          <w:tcPr>
            <w:tcW w:type="dxa" w:w="2351"/>
          </w:tcPr>
          <w:p>
            <w:r>
              <w:rPr>
                <w:rFonts w:ascii="Times New Roman" w:hAnsi="Times New Roman"/>
                <w:sz w:val="20"/>
              </w:rPr>
            </w:r>
            <w:r>
              <w:rPr>
                <w:rFonts w:ascii="Times New Roman" w:hAnsi="Times New Roman"/>
                <w:sz w:val="20"/>
              </w:rPr>
              <w:t>Có thuế</w:t>
            </w:r>
          </w:p>
        </w:tc>
      </w:tr>
      <w:tr>
        <w:tc>
          <w:tcPr>
            <w:tcW w:type="dxa" w:w="2351"/>
          </w:tcPr>
          <w:p>
            <w:r>
              <w:rPr>
                <w:rFonts w:ascii="Times New Roman" w:hAnsi="Times New Roman"/>
                <w:sz w:val="20"/>
              </w:rPr>
            </w:r>
            <w:r>
              <w:rPr>
                <w:rFonts w:ascii="Times New Roman" w:hAnsi="Times New Roman"/>
                <w:sz w:val="20"/>
              </w:rPr>
              <w:t>Nhóm 2%</w:t>
            </w:r>
          </w:p>
        </w:tc>
        <w:tc>
          <w:tcPr>
            <w:tcW w:type="dxa" w:w="2351"/>
          </w:tcPr>
          <w:p>
            <w:r>
              <w:rPr>
                <w:rFonts w:ascii="Times New Roman" w:hAnsi="Times New Roman"/>
                <w:sz w:val="20"/>
              </w:rPr>
            </w:r>
            <w:r>
              <w:rPr>
                <w:rFonts w:ascii="Times New Roman" w:hAnsi="Times New Roman"/>
                <w:sz w:val="20"/>
              </w:rPr>
              <w:t>CGI, ATS, VIS, LUI, NAN, NAK, ROM (khác), SPK, TED, BRT</w:t>
            </w:r>
          </w:p>
        </w:tc>
        <w:tc>
          <w:tcPr>
            <w:tcW w:type="dxa" w:w="2351"/>
          </w:tcPr>
          <w:p>
            <w:r>
              <w:rPr>
                <w:rFonts w:ascii="Times New Roman" w:hAnsi="Times New Roman"/>
                <w:sz w:val="20"/>
              </w:rPr>
            </w:r>
            <w:r>
              <w:rPr>
                <w:rFonts w:ascii="Times New Roman" w:hAnsi="Times New Roman"/>
                <w:sz w:val="20"/>
              </w:rPr>
              <w:t>2%</w:t>
            </w:r>
          </w:p>
        </w:tc>
        <w:tc>
          <w:tcPr>
            <w:tcW w:type="dxa" w:w="2351"/>
          </w:tcPr>
          <w:p>
            <w:r>
              <w:rPr>
                <w:rFonts w:ascii="Times New Roman" w:hAnsi="Times New Roman"/>
                <w:sz w:val="20"/>
              </w:rPr>
            </w:r>
            <w:r>
              <w:rPr>
                <w:rFonts w:ascii="Times New Roman" w:hAnsi="Times New Roman"/>
                <w:sz w:val="20"/>
              </w:rPr>
              <w:t>Có thuế</w:t>
            </w:r>
          </w:p>
        </w:tc>
      </w:tr>
      <w:tr>
        <w:tc>
          <w:tcPr>
            <w:tcW w:type="dxa" w:w="2351"/>
          </w:tcPr>
          <w:p>
            <w:r>
              <w:rPr>
                <w:rFonts w:ascii="Times New Roman" w:hAnsi="Times New Roman"/>
                <w:sz w:val="20"/>
              </w:rPr>
            </w:r>
            <w:r>
              <w:rPr>
                <w:rFonts w:ascii="Times New Roman" w:hAnsi="Times New Roman"/>
                <w:sz w:val="20"/>
              </w:rPr>
              <w:t>Nhóm 1%</w:t>
            </w:r>
          </w:p>
        </w:tc>
        <w:tc>
          <w:tcPr>
            <w:tcW w:type="dxa" w:w="2351"/>
          </w:tcPr>
          <w:p>
            <w:r>
              <w:rPr>
                <w:rFonts w:ascii="Times New Roman" w:hAnsi="Times New Roman"/>
                <w:sz w:val="20"/>
              </w:rPr>
            </w:r>
            <w:r>
              <w:rPr>
                <w:rFonts w:ascii="Times New Roman" w:hAnsi="Times New Roman"/>
                <w:sz w:val="20"/>
              </w:rPr>
              <w:t>ATQ, AQU, ERE, GEO, GDC, BDA, SKY, CHI, MNC, DAP</w:t>
            </w:r>
          </w:p>
        </w:tc>
        <w:tc>
          <w:tcPr>
            <w:tcW w:type="dxa" w:w="2351"/>
          </w:tcPr>
          <w:p>
            <w:r>
              <w:rPr>
                <w:rFonts w:ascii="Times New Roman" w:hAnsi="Times New Roman"/>
                <w:sz w:val="20"/>
              </w:rPr>
            </w:r>
            <w:r>
              <w:rPr>
                <w:rFonts w:ascii="Times New Roman" w:hAnsi="Times New Roman"/>
                <w:sz w:val="20"/>
              </w:rPr>
              <w:t>1%</w:t>
            </w:r>
          </w:p>
        </w:tc>
        <w:tc>
          <w:tcPr>
            <w:tcW w:type="dxa" w:w="2351"/>
          </w:tcPr>
          <w:p>
            <w:r>
              <w:rPr>
                <w:rFonts w:ascii="Times New Roman" w:hAnsi="Times New Roman"/>
                <w:sz w:val="20"/>
              </w:rPr>
            </w:r>
            <w:r>
              <w:rPr>
                <w:rFonts w:ascii="Times New Roman" w:hAnsi="Times New Roman"/>
                <w:sz w:val="20"/>
              </w:rPr>
              <w:t>Có thuế</w:t>
            </w:r>
          </w:p>
        </w:tc>
      </w:tr>
      <w:tr>
        <w:tc>
          <w:tcPr>
            <w:tcW w:type="dxa" w:w="2351"/>
          </w:tcPr>
          <w:p>
            <w:r>
              <w:rPr>
                <w:rFonts w:ascii="Times New Roman" w:hAnsi="Times New Roman"/>
                <w:sz w:val="20"/>
              </w:rPr>
            </w:r>
            <w:r>
              <w:rPr>
                <w:rFonts w:ascii="Times New Roman" w:hAnsi="Times New Roman"/>
                <w:sz w:val="20"/>
              </w:rPr>
              <w:t>Mặc định</w:t>
            </w:r>
          </w:p>
        </w:tc>
        <w:tc>
          <w:tcPr>
            <w:tcW w:type="dxa" w:w="2351"/>
          </w:tcPr>
          <w:p>
            <w:r>
              <w:rPr>
                <w:rFonts w:ascii="Times New Roman" w:hAnsi="Times New Roman"/>
                <w:sz w:val="20"/>
              </w:rPr>
            </w:r>
            <w:r>
              <w:rPr>
                <w:rFonts w:ascii="Times New Roman" w:hAnsi="Times New Roman"/>
                <w:sz w:val="20"/>
              </w:rPr>
              <w:t>Các vendor khác</w:t>
            </w:r>
          </w:p>
        </w:tc>
        <w:tc>
          <w:tcPr>
            <w:tcW w:type="dxa" w:w="2351"/>
          </w:tcPr>
          <w:p>
            <w:r>
              <w:rPr>
                <w:rFonts w:ascii="Times New Roman" w:hAnsi="Times New Roman"/>
                <w:sz w:val="20"/>
              </w:rPr>
            </w:r>
            <w:r>
              <w:rPr>
                <w:rFonts w:ascii="Times New Roman" w:hAnsi="Times New Roman"/>
                <w:sz w:val="20"/>
              </w:rPr>
              <w:t>1%</w:t>
            </w:r>
          </w:p>
        </w:tc>
        <w:tc>
          <w:tcPr>
            <w:tcW w:type="dxa" w:w="2351"/>
          </w:tcPr>
          <w:p>
            <w:r>
              <w:rPr>
                <w:rFonts w:ascii="Times New Roman" w:hAnsi="Times New Roman"/>
                <w:sz w:val="20"/>
              </w:rPr>
            </w:r>
            <w:r>
              <w:rPr>
                <w:rFonts w:ascii="Times New Roman" w:hAnsi="Times New Roman"/>
                <w:sz w:val="20"/>
              </w:rPr>
              <w:t>Có thuế</w:t>
            </w:r>
          </w:p>
        </w:tc>
      </w:tr>
    </w:tbl>
    <w:p/>
    <w:p>
      <w:pPr>
        <w:pStyle w:val="Heading4"/>
      </w:pPr>
      <w:r>
        <w:t>A4. Thưởng khác (không phụ thuộc chỉ tiêu)</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D9E2F3"/>
          </w:tcPr>
          <w:p>
            <w:r/>
            <w:r>
              <w:rPr>
                <w:rFonts w:ascii="Times New Roman" w:hAnsi="Times New Roman"/>
                <w:b/>
                <w:sz w:val="20"/>
              </w:rPr>
              <w:t>Loại</w:t>
            </w:r>
          </w:p>
        </w:tc>
        <w:tc>
          <w:tcPr>
            <w:tcW w:type="dxa" w:w="2351"/>
            <w:shd w:fill="D9E2F3"/>
          </w:tcPr>
          <w:p>
            <w:r/>
            <w:r>
              <w:rPr>
                <w:rFonts w:ascii="Times New Roman" w:hAnsi="Times New Roman"/>
                <w:b/>
                <w:sz w:val="20"/>
              </w:rPr>
              <w:t>Điều kiện</w:t>
            </w:r>
          </w:p>
        </w:tc>
        <w:tc>
          <w:tcPr>
            <w:tcW w:type="dxa" w:w="2351"/>
            <w:shd w:fill="D9E2F3"/>
          </w:tcPr>
          <w:p>
            <w:r/>
            <w:r>
              <w:rPr>
                <w:rFonts w:ascii="Times New Roman" w:hAnsi="Times New Roman"/>
                <w:b/>
                <w:sz w:val="20"/>
              </w:rPr>
              <w:t>Tỷ lệ / Mức thưởng</w:t>
            </w:r>
          </w:p>
        </w:tc>
        <w:tc>
          <w:tcPr>
            <w:tcW w:type="dxa" w:w="2351"/>
            <w:shd w:fill="D9E2F3"/>
          </w:tcPr>
          <w:p>
            <w:r/>
            <w:r>
              <w:rPr>
                <w:rFonts w:ascii="Times New Roman" w:hAnsi="Times New Roman"/>
                <w:b/>
                <w:sz w:val="20"/>
              </w:rPr>
              <w:t>Cơ sở tính</w:t>
            </w:r>
          </w:p>
        </w:tc>
      </w:tr>
      <w:tr>
        <w:tc>
          <w:tcPr>
            <w:tcW w:type="dxa" w:w="2351"/>
          </w:tcPr>
          <w:p>
            <w:r>
              <w:rPr>
                <w:rFonts w:ascii="Times New Roman" w:hAnsi="Times New Roman"/>
                <w:sz w:val="20"/>
              </w:rPr>
            </w:r>
            <w:r>
              <w:rPr>
                <w:rFonts w:ascii="Times New Roman" w:hAnsi="Times New Roman"/>
                <w:sz w:val="20"/>
              </w:rPr>
              <w:t>Suitcase</w:t>
            </w:r>
          </w:p>
        </w:tc>
        <w:tc>
          <w:tcPr>
            <w:tcW w:type="dxa" w:w="2351"/>
          </w:tcPr>
          <w:p>
            <w:r>
              <w:rPr>
                <w:rFonts w:ascii="Times New Roman" w:hAnsi="Times New Roman"/>
                <w:sz w:val="20"/>
              </w:rPr>
            </w:r>
            <w:r>
              <w:rPr>
                <w:rFonts w:ascii="Times New Roman" w:hAnsi="Times New Roman"/>
                <w:sz w:val="20"/>
              </w:rPr>
              <w:t>Vendor TVL, TIT</w:t>
            </w:r>
          </w:p>
        </w:tc>
        <w:tc>
          <w:tcPr>
            <w:tcW w:type="dxa" w:w="2351"/>
          </w:tcPr>
          <w:p>
            <w:r>
              <w:rPr>
                <w:rFonts w:ascii="Times New Roman" w:hAnsi="Times New Roman"/>
                <w:sz w:val="20"/>
              </w:rPr>
            </w:r>
            <w:r>
              <w:rPr>
                <w:rFonts w:ascii="Times New Roman" w:hAnsi="Times New Roman"/>
                <w:sz w:val="20"/>
              </w:rPr>
              <w:t>500,000 VND / sản phẩm</w:t>
            </w:r>
          </w:p>
        </w:tc>
        <w:tc>
          <w:tcPr>
            <w:tcW w:type="dxa" w:w="2351"/>
          </w:tcPr>
          <w:p>
            <w:r>
              <w:rPr>
                <w:rFonts w:ascii="Times New Roman" w:hAnsi="Times New Roman"/>
                <w:sz w:val="20"/>
              </w:rPr>
            </w:r>
            <w:r>
              <w:rPr>
                <w:rFonts w:ascii="Times New Roman" w:hAnsi="Times New Roman"/>
                <w:sz w:val="20"/>
              </w:rPr>
              <w:t>Theo sản phẩm</w:t>
            </w:r>
          </w:p>
        </w:tc>
      </w:tr>
      <w:tr>
        <w:tc>
          <w:tcPr>
            <w:tcW w:type="dxa" w:w="2351"/>
          </w:tcPr>
          <w:p>
            <w:r>
              <w:rPr>
                <w:rFonts w:ascii="Times New Roman" w:hAnsi="Times New Roman"/>
                <w:sz w:val="20"/>
              </w:rPr>
            </w:r>
            <w:r>
              <w:rPr>
                <w:rFonts w:ascii="Times New Roman" w:hAnsi="Times New Roman"/>
                <w:sz w:val="20"/>
              </w:rPr>
              <w:t>Home Decor</w:t>
            </w:r>
          </w:p>
        </w:tc>
        <w:tc>
          <w:tcPr>
            <w:tcW w:type="dxa" w:w="2351"/>
          </w:tcPr>
          <w:p>
            <w:r>
              <w:rPr>
                <w:rFonts w:ascii="Times New Roman" w:hAnsi="Times New Roman"/>
                <w:sz w:val="20"/>
              </w:rPr>
            </w:r>
            <w:r>
              <w:rPr>
                <w:rFonts w:ascii="Times New Roman" w:hAnsi="Times New Roman"/>
                <w:sz w:val="20"/>
              </w:rPr>
              <w:t>Bộ phận HOME</w:t>
            </w:r>
          </w:p>
        </w:tc>
        <w:tc>
          <w:tcPr>
            <w:tcW w:type="dxa" w:w="2351"/>
          </w:tcPr>
          <w:p>
            <w:r>
              <w:rPr>
                <w:rFonts w:ascii="Times New Roman" w:hAnsi="Times New Roman"/>
                <w:sz w:val="20"/>
              </w:rPr>
            </w:r>
            <w:r>
              <w:rPr>
                <w:rFonts w:ascii="Times New Roman" w:hAnsi="Times New Roman"/>
                <w:sz w:val="20"/>
              </w:rPr>
              <w:t>1%</w:t>
            </w:r>
          </w:p>
        </w:tc>
        <w:tc>
          <w:tcPr>
            <w:tcW w:type="dxa" w:w="2351"/>
          </w:tcPr>
          <w:p>
            <w:r>
              <w:rPr>
                <w:rFonts w:ascii="Times New Roman" w:hAnsi="Times New Roman"/>
                <w:sz w:val="20"/>
              </w:rPr>
            </w:r>
            <w:r>
              <w:rPr>
                <w:rFonts w:ascii="Times New Roman" w:hAnsi="Times New Roman"/>
                <w:sz w:val="20"/>
              </w:rPr>
              <w:t>Trước thuế</w:t>
            </w:r>
          </w:p>
        </w:tc>
      </w:tr>
      <w:tr>
        <w:tc>
          <w:tcPr>
            <w:tcW w:type="dxa" w:w="2351"/>
          </w:tcPr>
          <w:p>
            <w:r>
              <w:rPr>
                <w:rFonts w:ascii="Times New Roman" w:hAnsi="Times New Roman"/>
                <w:sz w:val="20"/>
              </w:rPr>
            </w:r>
            <w:r>
              <w:rPr>
                <w:rFonts w:ascii="Times New Roman" w:hAnsi="Times New Roman"/>
                <w:sz w:val="20"/>
              </w:rPr>
              <w:t>COSM+HEA</w:t>
            </w:r>
          </w:p>
        </w:tc>
        <w:tc>
          <w:tcPr>
            <w:tcW w:type="dxa" w:w="2351"/>
          </w:tcPr>
          <w:p>
            <w:r>
              <w:rPr>
                <w:rFonts w:ascii="Times New Roman" w:hAnsi="Times New Roman"/>
                <w:sz w:val="20"/>
              </w:rPr>
            </w:r>
            <w:r>
              <w:rPr>
                <w:rFonts w:ascii="Times New Roman" w:hAnsi="Times New Roman"/>
                <w:sz w:val="20"/>
              </w:rPr>
              <w:t>Bộ phận COSM + Vendor HEA</w:t>
            </w:r>
          </w:p>
        </w:tc>
        <w:tc>
          <w:tcPr>
            <w:tcW w:type="dxa" w:w="2351"/>
          </w:tcPr>
          <w:p>
            <w:r>
              <w:rPr>
                <w:rFonts w:ascii="Times New Roman" w:hAnsi="Times New Roman"/>
                <w:sz w:val="20"/>
              </w:rPr>
            </w:r>
            <w:r>
              <w:rPr>
                <w:rFonts w:ascii="Times New Roman" w:hAnsi="Times New Roman"/>
                <w:sz w:val="20"/>
              </w:rPr>
              <w:t>0% (chuyển SYSADMIN)</w:t>
            </w:r>
          </w:p>
        </w:tc>
        <w:tc>
          <w:tcPr>
            <w:tcW w:type="dxa" w:w="2351"/>
          </w:tcPr>
          <w:p>
            <w:r>
              <w:rPr>
                <w:rFonts w:ascii="Times New Roman" w:hAnsi="Times New Roman"/>
                <w:sz w:val="20"/>
              </w:rPr>
            </w:r>
            <w:r>
              <w:rPr>
                <w:rFonts w:ascii="Times New Roman" w:hAnsi="Times New Roman"/>
                <w:sz w:val="20"/>
              </w:rPr>
              <w:t>—</w:t>
            </w:r>
          </w:p>
        </w:tc>
      </w:tr>
    </w:tbl>
    <w:p/>
    <w:p>
      <w:pPr>
        <w:spacing w:before="120" w:after="120"/>
        <w:pBdr>
          <w:bottom w:val="single" w:sz="4" w:space="1" w:color="999999"/>
        </w:pBdr>
      </w:pPr>
    </w:p>
    <w:p>
      <w:r>
        <w:rPr>
          <w:i/>
        </w:rPr>
        <w:t>Tài liệu này được cập nhật dựa trên chính sách hiện hành của Công ty Cổ phần Global Link.</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60" w:after="80"/>
      <w:outlineLvl w:val="4"/>
    </w:pPr>
    <w:rPr>
      <w:rFonts w:asciiTheme="majorHAnsi" w:eastAsiaTheme="majorEastAsia" w:hAnsiTheme="majorHAnsi" w:cstheme="majorBidi"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