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75B6"/>
          <w:sz w:val="28"/>
          <w:szCs w:val="28"/>
        </w:rPr>
        <w:t xml:space="preserve">GIAO DỊCH ĐỊNH LƯỢNG</w:t>
      </w:r>
    </w:p>
    <w:p>
      <w:pPr>
        <w:pBdr>
          <w:bottom w:val="single" w:color="1F4E79" w:sz="6" w:space="8"/>
        </w:pBdr>
        <w:spacing w:after="100"/>
        <w:jc w:val="center"/>
      </w:pPr>
      <w:r>
        <w:rPr>
          <w:rFonts w:ascii="Arial" w:cs="Arial" w:eastAsia="Arial" w:hAnsi="Arial"/>
          <w:b/>
          <w:bCs/>
          <w:color w:val="1F4E79"/>
          <w:sz w:val="40"/>
          <w:szCs w:val="40"/>
        </w:rPr>
        <w:t xml:space="preserve">PHÂN TÍCH YÊU CẦU BÀI TOÁN</w:t>
      </w:r>
    </w:p>
    <w:p>
      <w:pPr>
        <w:spacing w:after="80"/>
      </w:pPr>
    </w:p>
    <w:p>
      <w:pPr>
        <w:spacing w:after="60"/>
        <w:jc w:val="center"/>
      </w:pPr>
      <w:r>
        <w:rPr>
          <w:rFonts w:ascii="Arial" w:cs="Arial" w:eastAsia="Arial" w:hAnsi="Arial"/>
          <w:i/>
          <w:iCs/>
          <w:color w:val="2E75B6"/>
          <w:sz w:val="28"/>
          <w:szCs w:val="28"/>
        </w:rPr>
        <w:t xml:space="preserve">Sparse Deep Learning for Alpha Interpretability</w:t>
      </w:r>
    </w:p>
    <w:p>
      <w:pPr>
        <w:spacing w:after="60"/>
        <w:jc w:val="center"/>
      </w:pPr>
      <w:r>
        <w:rPr>
          <w:rFonts w:ascii="Arial" w:cs="Arial" w:eastAsia="Arial" w:hAnsi="Arial"/>
          <w:color w:val="333333"/>
          <w:sz w:val="24"/>
          <w:szCs w:val="24"/>
        </w:rPr>
        <w:t xml:space="preserve">Học sâu thưa cho khả năng giải thích tín hiệu Alpha</w:t>
      </w:r>
    </w:p>
    <w:p>
      <w:pPr>
        <w:spacing w:after="80"/>
      </w:pPr>
    </w:p>
    <w:p>
      <w:pPr>
        <w:spacing w:after="80"/>
      </w:pPr>
    </w:p>
    <w:p>
      <w:pPr>
        <w:spacing w:after="80"/>
      </w:pPr>
    </w:p>
    <w:p>
      <w:pPr>
        <w:spacing w:after="80"/>
      </w:pPr>
    </w:p>
    <w:p>
      <w:pPr>
        <w:spacing w:after="60"/>
        <w:jc w:val="center"/>
      </w:pPr>
      <w:r>
        <w:rPr>
          <w:rFonts w:ascii="Arial" w:cs="Arial" w:eastAsia="Arial" w:hAnsi="Arial"/>
          <w:color w:val="333333"/>
          <w:sz w:val="24"/>
          <w:szCs w:val="24"/>
        </w:rPr>
        <w:t xml:space="preserve">Trường Đại học Công nghiệp TP.HCM (IUH)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1. Tổng quan bài toán</w:t>
      </w:r>
    </w:p>
    <w:p>
      <w:pPr>
        <w:pStyle w:val="Heading2"/>
        <w:spacing w:before="280" w:after="160"/>
      </w:pPr>
      <w:r>
        <w:rPr>
          <w:rFonts w:ascii="Arial" w:cs="Arial" w:eastAsia="Arial" w:hAnsi="Arial"/>
          <w:b/>
          <w:bCs/>
          <w:color w:val="2E75B6"/>
          <w:sz w:val="26"/>
          <w:szCs w:val="26"/>
        </w:rPr>
        <w:t xml:space="preserve">1.1. Bối cảnh và đặt vấn đề</w:t>
      </w:r>
    </w:p>
    <w:p>
      <w:pPr>
        <w:spacing w:after="120" w:line="320"/>
        <w:jc w:val="both"/>
      </w:pPr>
      <w:r>
        <w:rPr>
          <w:rFonts w:ascii="Arial" w:cs="Arial" w:eastAsia="Arial" w:hAnsi="Arial"/>
          <w:color w:val="333333"/>
          <w:sz w:val="22"/>
          <w:szCs w:val="22"/>
        </w:rPr>
        <w:t xml:space="preserve">Trong lĩnh vực giao dịch định lượng (Quantitative Trading), việc tìm kiếm alpha — phần lợi nhuận vượt trội so với thị trường — là mục tiêu cốt lõi của mọi chiến lược đầu tư. Các mô hình Deep Learning đã chứng minh khả năng vượt trội trong việc phát hiện các mẫu hình (pattern) phức tạp từ dữ liệu tài chính.</w:t>
      </w:r>
    </w:p>
    <w:p>
      <w:pPr>
        <w:spacing w:after="120" w:line="320"/>
        <w:jc w:val="both"/>
      </w:pPr>
      <w:r>
        <w:rPr>
          <w:rFonts w:ascii="Arial" w:cs="Arial" w:eastAsia="Arial" w:hAnsi="Arial"/>
          <w:color w:val="333333"/>
          <w:sz w:val="22"/>
          <w:szCs w:val="22"/>
        </w:rPr>
        <w:t xml:space="preserve">Tuy nhiên, mô hình Deep Learning truyền thống hoạt động như một “hộp đen” (black-box) — chúng cho kết quả dự đoán nhưng không giải thích được tại sao lại đưa ra quyết định đó. Điều này gây ra hai vấn đề lớn:</w:t>
      </w:r>
    </w:p>
    <w:p>
      <w:pPr>
        <w:spacing w:after="120" w:line="320"/>
        <w:jc w:val="both"/>
      </w:pPr>
      <w:r>
        <w:rPr>
          <w:rFonts w:ascii="Arial" w:cs="Arial" w:eastAsia="Arial" w:hAnsi="Arial"/>
          <w:b/>
          <w:bCs/>
          <w:color w:val="333333"/>
          <w:sz w:val="22"/>
          <w:szCs w:val="22"/>
        </w:rPr>
        <w:t xml:space="preserve">Vấn đề 1 — Rủi ro trong thực tế: </w:t>
      </w:r>
      <w:r>
        <w:rPr>
          <w:rFonts w:ascii="Arial" w:cs="Arial" w:eastAsia="Arial" w:hAnsi="Arial"/>
          <w:color w:val="333333"/>
          <w:sz w:val="22"/>
          <w:szCs w:val="22"/>
        </w:rPr>
        <w:t xml:space="preserve">Các quỹ đầu tư và nhà đầu tư không dám đặt tiền thật vào một mô hình mà họ không hiểu nó đang làm gì. Nếu mô hình bất ngờ thất bại, không ai biết nguyên nhân để khắc phục.</w:t>
      </w:r>
    </w:p>
    <w:p>
      <w:pPr>
        <w:spacing w:after="120" w:line="320"/>
        <w:jc w:val="both"/>
      </w:pPr>
      <w:r>
        <w:rPr>
          <w:rFonts w:ascii="Arial" w:cs="Arial" w:eastAsia="Arial" w:hAnsi="Arial"/>
          <w:b/>
          <w:bCs/>
          <w:color w:val="333333"/>
          <w:sz w:val="22"/>
          <w:szCs w:val="22"/>
        </w:rPr>
        <w:t xml:space="preserve">Vấn đề 2 — Overfitting: </w:t>
      </w:r>
      <w:r>
        <w:rPr>
          <w:rFonts w:ascii="Arial" w:cs="Arial" w:eastAsia="Arial" w:hAnsi="Arial"/>
          <w:color w:val="333333"/>
          <w:sz w:val="22"/>
          <w:szCs w:val="22"/>
        </w:rPr>
        <w:t xml:space="preserve">Mô hình dense (dày đặc) với hàng triệu tham số dễ học thuộc dữ liệu huấn luyện (overfitting) thay vì học các pattern thực sự có ý nghĩa, dẫn đến hiệu suất kém trên dữ liệu mới.</w:t>
      </w:r>
    </w:p>
    <w:p>
      <w:pPr>
        <w:spacing w:after="80"/>
      </w:pPr>
    </w:p>
    <w:p>
      <w:pPr>
        <w:spacing w:after="120" w:line="320"/>
        <w:jc w:val="both"/>
      </w:pPr>
      <w:r>
        <w:rPr>
          <w:rFonts w:ascii="Arial" w:cs="Arial" w:eastAsia="Arial" w:hAnsi="Arial"/>
          <w:color w:val="333333"/>
          <w:sz w:val="22"/>
          <w:szCs w:val="22"/>
        </w:rPr>
        <w:t xml:space="preserve">Đề tài “Sparse Deep Learning for Alpha Interpretability” được đặt ra nhằm giải quyết đồng thời cả hai vấn đề trên: xây dựng mô hình Deep Learning có khả năng tìm alpha, đồng thời có tính giải thích được (interpretable) thông qua kỹ thuật Sparse (thưa).</w:t>
      </w:r>
    </w:p>
    <w:p>
      <w:pPr>
        <w:pStyle w:val="Heading2"/>
        <w:spacing w:before="280" w:after="160"/>
      </w:pPr>
      <w:r>
        <w:rPr>
          <w:rFonts w:ascii="Arial" w:cs="Arial" w:eastAsia="Arial" w:hAnsi="Arial"/>
          <w:b/>
          <w:bCs/>
          <w:color w:val="2E75B6"/>
          <w:sz w:val="26"/>
          <w:szCs w:val="26"/>
        </w:rPr>
        <w:t xml:space="preserve">1.2. Định nghĩa bài toán</w:t>
      </w:r>
    </w:p>
    <w:p>
      <w:pPr>
        <w:spacing w:before="200" w:after="120"/>
      </w:pPr>
      <w:r>
        <w:rPr>
          <w:rFonts w:ascii="Arial" w:cs="Arial" w:eastAsia="Arial" w:hAnsi="Arial"/>
          <w:b/>
          <w:bCs/>
          <w:color w:val="1F4E79"/>
          <w:sz w:val="24"/>
          <w:szCs w:val="24"/>
        </w:rPr>
        <w:t xml:space="preserve">a) Bài toán dự đoán Alpha</w:t>
      </w:r>
    </w:p>
    <w:p>
      <w:pPr>
        <w:spacing w:after="120" w:line="320"/>
        <w:jc w:val="both"/>
      </w:pPr>
      <w:r>
        <w:rPr>
          <w:rFonts w:ascii="Arial" w:cs="Arial" w:eastAsia="Arial" w:hAnsi="Arial"/>
          <w:color w:val="333333"/>
          <w:sz w:val="22"/>
          <w:szCs w:val="22"/>
        </w:rPr>
        <w:t xml:space="preserve">Cho một tập hợp cổ phiếu S = {s₁, s₂, ..., sₙ} và dữ liệu lịch sử gồm giá (Open, High, Low, Close), khối lượng giao dịch (Volume), và các chỉ báo kỹ thuật (technical indicators). Mục tiêu là xây dựng một mô hình f(X) → Y, trong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Thành phần</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Mô tả</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Input (X)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Ma trận đặc trưng (feature matrix) gồm các chỉ báo kỹ thuật và alpha factors được tính từ dữ liệu giá/volume lịch sử của mỗi cổ phiếu tại thời điểm 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Output (Y)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Lợi nhuận tương lai (forward return) trong k không giao dịch tiếp theo. Cụ thể, Y = (Price(t+k) - Price(t)) / Price(t), với k = 5 ngày (có thể điều chỉnh).</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Mục tiêu</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Tối thiểu hóa sai số dự đoán (MSE) đồng thời tối đa hóa tính sparse của mô hình để đạt được khả năng giải thích.</w:t>
            </w:r>
          </w:p>
        </w:tc>
      </w:tr>
    </w:tbl>
    <w:p>
      <w:pPr>
        <w:spacing w:after="80"/>
      </w:pPr>
    </w:p>
    <w:p>
      <w:pPr>
        <w:spacing w:before="200" w:after="120"/>
      </w:pPr>
      <w:r>
        <w:rPr>
          <w:rFonts w:ascii="Arial" w:cs="Arial" w:eastAsia="Arial" w:hAnsi="Arial"/>
          <w:b/>
          <w:bCs/>
          <w:color w:val="1F4E79"/>
          <w:sz w:val="24"/>
          <w:szCs w:val="24"/>
        </w:rPr>
        <w:t xml:space="preserve">b) Bài toán Sparse để giải thích</w:t>
      </w:r>
    </w:p>
    <w:p>
      <w:pPr>
        <w:spacing w:after="120" w:line="320"/>
        <w:jc w:val="both"/>
      </w:pPr>
      <w:r>
        <w:rPr>
          <w:rFonts w:ascii="Arial" w:cs="Arial" w:eastAsia="Arial" w:hAnsi="Arial"/>
          <w:color w:val="333333"/>
          <w:sz w:val="22"/>
          <w:szCs w:val="22"/>
        </w:rPr>
        <w:t xml:space="preserve">Ngoài việc dự đoán chính xác, bài toán yêu cầu mô hình phải có khả năng giải thích được: xác định được những features/alpha factors nào thực sự đóng góp vào quyết định giao dịch. Điều này đạt được bằng cách áp dụng kỹ thuật Sparse (L1 Regularization), ép các trọng số (weights) không quan trọng về 0, chỉ giữ lại các kết nối có ý nghĩa.</w:t>
      </w:r>
    </w:p>
    <w:p>
      <w:pPr>
        <w:pStyle w:val="Heading2"/>
        <w:spacing w:before="280" w:after="160"/>
      </w:pPr>
      <w:r>
        <w:rPr>
          <w:rFonts w:ascii="Arial" w:cs="Arial" w:eastAsia="Arial" w:hAnsi="Arial"/>
          <w:b/>
          <w:bCs/>
          <w:color w:val="2E75B6"/>
          <w:sz w:val="26"/>
          <w:szCs w:val="26"/>
        </w:rPr>
        <w:t xml:space="preserve">1.3. Các khái niệm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Khái niệm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Giải thích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Alpha (α)</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Lợi nhuận vượt trội so với benchmark (thường là chỉ số thị trường). Ví dụ: nếu thị trường tăng 10%, danh mục tăng 15%, thì alpha = 5%. Alpha factors là các tín hiệu/đặc trưng giúp dự đoán alpha.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Deep Learning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Mạng nơ-ron sâu (neural network) có nhiều lớp ẩn, có khả năng học các mối quan hệ phi tuyến phức tạp trong dữ liệu. Trong bài toán này, sử dụng kiến trúc MLP (Multi-Layer Perceptron).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Sparse (Thưa)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Kỹ thuật làm cho mô hình “thưa” bằng cách ép các trọng số không quan trọng về 0. Sử dụng L1 Regularization (Lasso): thêm ||W||₁ vào hàm loss để phạt các trọng số lớn, khuyến khích mô hình giữ ít kết nối hơn.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Interpretability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Khả năng giải thích của mô hình: sau khi sparse, ta có thể nhìn vào các weights còn lại (≠ 0) để biết mô hình dựa vào những features nào để ra quyết định giao dịch.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Technical Indicators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Các chỉ báo kỹ thuật được tính từ dữ liệu giá/volume: RSI, MACD, Bollinger Bands, Momentum, Moving Averages, Volume Ratio, ATR, v.v. Đây là các features đầu vào cho mô hình.</w:t>
            </w:r>
          </w:p>
        </w:tc>
      </w:tr>
    </w:tbl>
    <w:p>
      <w:pPr>
        <w:spacing w:after="80"/>
      </w:pPr>
    </w:p>
    <w:p>
      <w:pPr>
        <w:pStyle w:val="Heading2"/>
        <w:spacing w:before="280" w:after="160"/>
      </w:pPr>
      <w:r>
        <w:rPr>
          <w:rFonts w:ascii="Arial" w:cs="Arial" w:eastAsia="Arial" w:hAnsi="Arial"/>
          <w:b/>
          <w:bCs/>
          <w:color w:val="2E75B6"/>
          <w:sz w:val="26"/>
          <w:szCs w:val="26"/>
        </w:rPr>
        <w:t xml:space="preserve">1.4. Yêu cầu cụ thể của bài toán</w:t>
      </w:r>
    </w:p>
    <w:p>
      <w:pPr>
        <w:spacing w:before="200" w:after="120"/>
      </w:pPr>
      <w:r>
        <w:rPr>
          <w:rFonts w:ascii="Arial" w:cs="Arial" w:eastAsia="Arial" w:hAnsi="Arial"/>
          <w:b/>
          <w:bCs/>
          <w:color w:val="1F4E79"/>
          <w:sz w:val="24"/>
          <w:szCs w:val="24"/>
        </w:rPr>
        <w:t xml:space="preserve">a) Yêu cầu về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Hạng mục</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Chi tiết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Nguồn dữ liệu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Dataset “Stock Prices &amp; Volume VN30 Index Vietnam” từ Kaggle, bao gồm dữ liệu giá và khối lượng của 30 công ty trong rổ VN30. Có thể bổ sung bằng thư viện vnstock (Python) nếu cần dữ liệu mới hơn.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Phạm vi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30 cổ phiếu thuộc rổ VN30 niêm yết trên Sàn Giao dịch Chứng khoán TP.HCM (HOSE) — các blue-chip có vốn hóa và thanh khoản cao nhất thị trường Việt Nam.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Thời gian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Dữ liệu lịch sử từ 2017–2024 (tùy theo dataset). Chia theo thời gian: Train (2017–2021), Validation (2022), Test (2023–2024).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Loại dữ liệu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OHLCV (Open, High, Low, Close, Volume) hàng ngày. Từ đó tính toán các technical indicators và alpha factors làm features.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Số lượng features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Khoảng 50–100 features bao gồm: các chỉ báo kỹ thuật (RSI, MACD, BB, ATR...), momentum/return các khung thời gian, volume ratios, và các alpha factors.</w:t>
            </w:r>
          </w:p>
        </w:tc>
      </w:tr>
    </w:tbl>
    <w:p>
      <w:pPr>
        <w:spacing w:after="80"/>
      </w:pPr>
    </w:p>
    <w:p>
      <w:pPr>
        <w:spacing w:before="200" w:after="120"/>
      </w:pPr>
      <w:r>
        <w:rPr>
          <w:rFonts w:ascii="Arial" w:cs="Arial" w:eastAsia="Arial" w:hAnsi="Arial"/>
          <w:b/>
          <w:bCs/>
          <w:color w:val="1F4E79"/>
          <w:sz w:val="24"/>
          <w:szCs w:val="24"/>
        </w:rPr>
        <w:t xml:space="preserve">b) Yêu cầu về mô hình</w:t>
      </w:r>
    </w:p>
    <w:p>
      <w:pPr>
        <w:spacing w:after="120" w:line="320"/>
        <w:jc w:val="both"/>
      </w:pPr>
      <w:r>
        <w:rPr>
          <w:rFonts w:ascii="Arial" w:cs="Arial" w:eastAsia="Arial" w:hAnsi="Arial"/>
          <w:color w:val="333333"/>
          <w:sz w:val="22"/>
          <w:szCs w:val="22"/>
        </w:rPr>
        <w:t xml:space="preserve">Mô hình chính: Sparse MLP (Multi-Layer Perceptron với L1 Regularization). Đây là mạng nơ-ron nhiều lớp được huấn luyện với ràng buộc L1, khiến các trọng số không quan trọng bị đẩy về 0.</w:t>
      </w:r>
    </w:p>
    <w:p>
      <w:pPr>
        <w:spacing w:after="120" w:line="320"/>
        <w:jc w:val="both"/>
      </w:pPr>
      <w:r>
        <w:rPr>
          <w:rFonts w:ascii="Arial" w:cs="Arial" w:eastAsia="Arial" w:hAnsi="Arial"/>
          <w:color w:val="333333"/>
          <w:sz w:val="22"/>
          <w:szCs w:val="22"/>
        </w:rPr>
        <w:t xml:space="preserve">Mô hình so sánh (Baseline): Dense MLP (không có sparse) — để chứng minh rằng việc áp dụng sparse không làm giảm đáng kể hiệu suất dự đoán, nhưng lại tăng khả năng giải thích.</w:t>
      </w:r>
    </w:p>
    <w:p>
      <w:pPr>
        <w:spacing w:after="80"/>
      </w:pPr>
    </w:p>
    <w:p>
      <w:pPr>
        <w:spacing w:after="120" w:line="320"/>
        <w:jc w:val="both"/>
      </w:pPr>
      <w:r>
        <w:rPr>
          <w:rFonts w:ascii="Arial" w:cs="Arial" w:eastAsia="Arial" w:hAnsi="Arial"/>
          <w:color w:val="333333"/>
          <w:sz w:val="22"/>
          <w:szCs w:val="22"/>
        </w:rPr>
        <w:t xml:space="preserve">Hàm loss của mô hình Sparse MLP:</w:t>
      </w:r>
    </w:p>
    <w:p>
      <w:pPr>
        <w:spacing w:before="120" w:after="120"/>
        <w:jc w:val="center"/>
      </w:pPr>
      <w:r>
        <w:rPr>
          <w:rFonts w:ascii="Courier New" w:cs="Courier New" w:eastAsia="Courier New" w:hAnsi="Courier New"/>
          <w:b/>
          <w:bCs/>
          <w:color w:val="1F4E79"/>
          <w:sz w:val="24"/>
          <w:szCs w:val="24"/>
        </w:rPr>
        <w:t xml:space="preserve">L = MSE(y, ŷ) + λ × ∑|Wᵢ|</w:t>
      </w:r>
    </w:p>
    <w:p>
      <w:pPr>
        <w:spacing w:after="120" w:line="320"/>
        <w:jc w:val="both"/>
      </w:pPr>
      <w:r>
        <w:rPr>
          <w:rFonts w:ascii="Arial" w:cs="Arial" w:eastAsia="Arial" w:hAnsi="Arial"/>
          <w:color w:val="333333"/>
          <w:sz w:val="22"/>
          <w:szCs w:val="22"/>
        </w:rPr>
        <w:t xml:space="preserve">Trong đó: MSE(y, ŷ) là sai số dự đoán, λ là hệ số điều chỉnh mức độ sparse (càng lớn càng nhiều weights bị đẩy về 0), và ∑|Wᵢ| là tổng giá trị tuyệt đối của tất cả trọng số (L1 norm).</w:t>
      </w:r>
    </w:p>
    <w:p>
      <w:pPr>
        <w:spacing w:after="80"/>
      </w:pPr>
    </w:p>
    <w:p>
      <w:pPr>
        <w:spacing w:before="200" w:after="120"/>
      </w:pPr>
      <w:r>
        <w:rPr>
          <w:rFonts w:ascii="Arial" w:cs="Arial" w:eastAsia="Arial" w:hAnsi="Arial"/>
          <w:b/>
          <w:bCs/>
          <w:color w:val="1F4E79"/>
          <w:sz w:val="24"/>
          <w:szCs w:val="24"/>
        </w:rPr>
        <w:t xml:space="preserve">c) Yêu cầu về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Độ đo</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Ý nghĩa</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Mục đích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MSE / RMSE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Sai số bình phương trung bình / căn của MSE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Đo độ chính xác dự đoán return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2"/>
                <w:szCs w:val="22"/>
              </w:rPr>
              <w:t xml:space="preserve">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Information Coefficient — hệ số tương quan Pearson giữa dự đoán và return thực tế</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Đo chất lượng tín hiệu alpha (phổ biến trong quant)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22"/>
                <w:szCs w:val="22"/>
              </w:rPr>
              <w:t xml:space="preserve">Sparsity Ratio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Tỉ lệ weights = 0 / tổng số weights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Đo mức độ sparse (càng cao càng interpretable)</w:t>
            </w:r>
          </w:p>
        </w:tc>
      </w:tr>
    </w:tbl>
    <w:p>
      <w:pPr>
        <w:spacing w:after="80"/>
      </w:pPr>
    </w:p>
    <w:p>
      <w:pPr>
        <w:spacing w:before="200" w:after="120"/>
      </w:pPr>
      <w:r>
        <w:rPr>
          <w:rFonts w:ascii="Arial" w:cs="Arial" w:eastAsia="Arial" w:hAnsi="Arial"/>
          <w:b/>
          <w:bCs/>
          <w:color w:val="1F4E79"/>
          <w:sz w:val="24"/>
          <w:szCs w:val="24"/>
        </w:rPr>
        <w:t xml:space="preserve">d) Yêu cầu về Interpretability</w:t>
      </w:r>
    </w:p>
    <w:p>
      <w:pPr>
        <w:spacing w:after="120" w:line="320"/>
        <w:jc w:val="both"/>
      </w:pPr>
      <w:r>
        <w:rPr>
          <w:rFonts w:ascii="Arial" w:cs="Arial" w:eastAsia="Arial" w:hAnsi="Arial"/>
          <w:color w:val="333333"/>
          <w:sz w:val="22"/>
          <w:szCs w:val="22"/>
        </w:rPr>
        <w:t xml:space="preserve">Sau khi huấn luyện mô hình Sparse MLP, cần phân tích và trực quan hóa:</w:t>
      </w:r>
    </w:p>
    <w:p>
      <w:pPr>
        <w:spacing w:after="120" w:line="320"/>
        <w:jc w:val="both"/>
      </w:pPr>
      <w:r>
        <w:rPr>
          <w:rFonts w:ascii="Arial" w:cs="Arial" w:eastAsia="Arial" w:hAnsi="Arial"/>
          <w:b/>
          <w:bCs/>
          <w:color w:val="333333"/>
          <w:sz w:val="22"/>
          <w:szCs w:val="22"/>
        </w:rPr>
        <w:t xml:space="preserve">(1) Feature Importance: </w:t>
      </w:r>
      <w:r>
        <w:rPr>
          <w:rFonts w:ascii="Arial" w:cs="Arial" w:eastAsia="Arial" w:hAnsi="Arial"/>
          <w:color w:val="333333"/>
          <w:sz w:val="22"/>
          <w:szCs w:val="22"/>
        </w:rPr>
        <w:t xml:space="preserve">Xếp hạng các features theo mức độ đóng góp (dựa trên trọng số của lớp đầu tiên). Trả lời: mô hình dựa vào những chỉ báo nào nhiều nhất để dự đoán?</w:t>
      </w:r>
    </w:p>
    <w:p>
      <w:pPr>
        <w:spacing w:after="120" w:line="320"/>
        <w:jc w:val="both"/>
      </w:pPr>
      <w:r>
        <w:rPr>
          <w:rFonts w:ascii="Arial" w:cs="Arial" w:eastAsia="Arial" w:hAnsi="Arial"/>
          <w:b/>
          <w:bCs/>
          <w:color w:val="333333"/>
          <w:sz w:val="22"/>
          <w:szCs w:val="22"/>
        </w:rPr>
        <w:t xml:space="preserve">(2) Weight Heatmap: </w:t>
      </w:r>
      <w:r>
        <w:rPr>
          <w:rFonts w:ascii="Arial" w:cs="Arial" w:eastAsia="Arial" w:hAnsi="Arial"/>
          <w:color w:val="333333"/>
          <w:sz w:val="22"/>
          <w:szCs w:val="22"/>
        </w:rPr>
        <w:t xml:space="preserve">Trực quan hóa ma trận weights của mô hình, thấy rõ đâu là vùng weights = 0 (sparse) và đâu là vùng weights ≠ 0 (quan trọng).</w:t>
      </w:r>
    </w:p>
    <w:p>
      <w:pPr>
        <w:spacing w:after="120" w:line="320"/>
        <w:jc w:val="both"/>
      </w:pPr>
      <w:r>
        <w:rPr>
          <w:rFonts w:ascii="Arial" w:cs="Arial" w:eastAsia="Arial" w:hAnsi="Arial"/>
          <w:b/>
          <w:bCs/>
          <w:color w:val="333333"/>
          <w:sz w:val="22"/>
          <w:szCs w:val="22"/>
        </w:rPr>
        <w:t xml:space="preserve">(3) So sánh Dense vs Sparse: </w:t>
      </w:r>
      <w:r>
        <w:rPr>
          <w:rFonts w:ascii="Arial" w:cs="Arial" w:eastAsia="Arial" w:hAnsi="Arial"/>
          <w:color w:val="333333"/>
          <w:sz w:val="22"/>
          <w:szCs w:val="22"/>
        </w:rPr>
        <w:t xml:space="preserve">Chứng minh mô hình Sparse giữ lại hiệu suất tương đương trong khi giảm đáng kể số lượng tham số hoạt động.</w:t>
      </w:r>
    </w:p>
    <w:p>
      <w:pPr>
        <w:spacing w:after="80"/>
      </w:pPr>
    </w:p>
    <w:p>
      <w:pPr>
        <w:pStyle w:val="Heading2"/>
        <w:spacing w:before="280" w:after="160"/>
      </w:pPr>
      <w:r>
        <w:rPr>
          <w:rFonts w:ascii="Arial" w:cs="Arial" w:eastAsia="Arial" w:hAnsi="Arial"/>
          <w:b/>
          <w:bCs/>
          <w:color w:val="2E75B6"/>
          <w:sz w:val="26"/>
          <w:szCs w:val="26"/>
        </w:rPr>
        <w:t xml:space="preserve">1.5. Phạm vi và giới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Trong phạm vi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Ngoài phạm vi</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Dự đoán return ngắn hạn (5 ngày) của cổ phiếu VN30 (Việt Nam)</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Giao dịch tần số cao (HFT), giao dịch thực tế (live trading)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Sử dụng dữ liệu giá và volume (technical data)</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Dữ liệu tin tức, sentiment, dữ liệu vĩ mô (macro)</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Kiến trúc MLP với L1 Regularization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Các kiến trúc phức tạp (Transformer, GNN)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Backtest đơn giản để đánh giá alpha</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Tối ưu portfolio, quản lý rủi ro phức tạp</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So sánh Dense MLP vs Sparse MLP</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So sánh với các hệ thống giao dịch thương mại</w:t>
            </w:r>
          </w:p>
        </w:tc>
      </w:tr>
    </w:tbl>
    <w:p>
      <w:pPr>
        <w:spacing w:after="80"/>
      </w:pPr>
    </w:p>
    <w:p>
      <w:pPr>
        <w:pStyle w:val="Heading2"/>
        <w:spacing w:before="280" w:after="160"/>
      </w:pPr>
      <w:r>
        <w:rPr>
          <w:rFonts w:ascii="Arial" w:cs="Arial" w:eastAsia="Arial" w:hAnsi="Arial"/>
          <w:b/>
          <w:bCs/>
          <w:color w:val="2E75B6"/>
          <w:sz w:val="26"/>
          <w:szCs w:val="26"/>
        </w:rPr>
        <w:t xml:space="preserve">1.6. Kết quả mong đợi</w:t>
      </w:r>
    </w:p>
    <w:p>
      <w:pPr>
        <w:spacing w:after="120" w:line="320"/>
        <w:jc w:val="both"/>
      </w:pPr>
      <w:r>
        <w:rPr>
          <w:rFonts w:ascii="Arial" w:cs="Arial" w:eastAsia="Arial" w:hAnsi="Arial"/>
          <w:color w:val="333333"/>
          <w:sz w:val="22"/>
          <w:szCs w:val="22"/>
        </w:rPr>
        <w:t xml:space="preserve">Sau khi hoàn thành, project cần đạt được các kết quả sau:</w:t>
      </w:r>
    </w:p>
    <w:p>
      <w:pPr>
        <w:spacing w:after="120" w:line="320"/>
        <w:jc w:val="both"/>
      </w:pPr>
      <w:r>
        <w:rPr>
          <w:rFonts w:ascii="Arial" w:cs="Arial" w:eastAsia="Arial" w:hAnsi="Arial"/>
          <w:b/>
          <w:bCs/>
          <w:color w:val="333333"/>
          <w:sz w:val="22"/>
          <w:szCs w:val="22"/>
        </w:rPr>
        <w:t xml:space="preserve">(1) Mô hình Sparse MLP hoạt động được: </w:t>
      </w:r>
      <w:r>
        <w:rPr>
          <w:rFonts w:ascii="Arial" w:cs="Arial" w:eastAsia="Arial" w:hAnsi="Arial"/>
          <w:color w:val="333333"/>
          <w:sz w:val="22"/>
          <w:szCs w:val="22"/>
        </w:rPr>
        <w:t xml:space="preserve">Dự đoán return với IC dương (tín hiệu có khả năng dự đoán), MSE/RMSE thấp hơn hoặc tương đương mô hình baseline.</w:t>
      </w:r>
    </w:p>
    <w:p>
      <w:pPr>
        <w:spacing w:after="120" w:line="320"/>
        <w:jc w:val="both"/>
      </w:pPr>
      <w:r>
        <w:rPr>
          <w:rFonts w:ascii="Arial" w:cs="Arial" w:eastAsia="Arial" w:hAnsi="Arial"/>
          <w:b/>
          <w:bCs/>
          <w:color w:val="333333"/>
          <w:sz w:val="22"/>
          <w:szCs w:val="22"/>
        </w:rPr>
        <w:t xml:space="preserve">(2) Tính Sparse rõ ràng: </w:t>
      </w:r>
      <w:r>
        <w:rPr>
          <w:rFonts w:ascii="Arial" w:cs="Arial" w:eastAsia="Arial" w:hAnsi="Arial"/>
          <w:color w:val="333333"/>
          <w:sz w:val="22"/>
          <w:szCs w:val="22"/>
        </w:rPr>
        <w:t xml:space="preserve">Mô hình loại bỏ được một tỉ lệ đáng kể weights (mục tiêu: Sparsity Ratio &gt; 50%), chứng tỏ không phải tất cả features đều cần thiết.</w:t>
      </w:r>
    </w:p>
    <w:p>
      <w:pPr>
        <w:spacing w:after="120" w:line="320"/>
        <w:jc w:val="both"/>
      </w:pPr>
      <w:r>
        <w:rPr>
          <w:rFonts w:ascii="Arial" w:cs="Arial" w:eastAsia="Arial" w:hAnsi="Arial"/>
          <w:b/>
          <w:bCs/>
          <w:color w:val="333333"/>
          <w:sz w:val="22"/>
          <w:szCs w:val="22"/>
        </w:rPr>
        <w:t xml:space="preserve">(3) Giải thích được: </w:t>
      </w:r>
      <w:r>
        <w:rPr>
          <w:rFonts w:ascii="Arial" w:cs="Arial" w:eastAsia="Arial" w:hAnsi="Arial"/>
          <w:color w:val="333333"/>
          <w:sz w:val="22"/>
          <w:szCs w:val="22"/>
        </w:rPr>
        <w:t xml:space="preserve">Xác định top 10–20 features quan trọng nhất, giải thích ý nghĩa tài chính của chúng (ví dụ: RSI 14 ngày, Momentum 20 ngày, Volume change...).</w:t>
      </w:r>
    </w:p>
    <w:p>
      <w:pPr>
        <w:spacing w:after="120" w:line="320"/>
        <w:jc w:val="both"/>
      </w:pPr>
      <w:r>
        <w:rPr>
          <w:rFonts w:ascii="Arial" w:cs="Arial" w:eastAsia="Arial" w:hAnsi="Arial"/>
          <w:b/>
          <w:bCs/>
          <w:color w:val="333333"/>
          <w:sz w:val="22"/>
          <w:szCs w:val="22"/>
        </w:rPr>
        <w:t xml:space="preserve">(4) Biểu đồ so sánh: </w:t>
      </w:r>
      <w:r>
        <w:rPr>
          <w:rFonts w:ascii="Arial" w:cs="Arial" w:eastAsia="Arial" w:hAnsi="Arial"/>
          <w:color w:val="333333"/>
          <w:sz w:val="22"/>
          <w:szCs w:val="22"/>
        </w:rPr>
        <w:t xml:space="preserve">Biểu đồ rõ ràng thể hiện sự khác biệt giữa Dense MLP và Sparse MLP theo các độ đo.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2026-03-09T03:21:45.088Z</dcterms:created>
  <dcterms:modified xsi:type="dcterms:W3CDTF">2026-03-09T03:21:45.089Z</dcterms:modified>
</cp:coreProperties>
</file>

<file path=docProps/custom.xml><?xml version="1.0" encoding="utf-8"?>
<Properties xmlns="http://schemas.openxmlformats.org/officeDocument/2006/custom-properties" xmlns:vt="http://schemas.openxmlformats.org/officeDocument/2006/docPropsVTypes"/>
</file>