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300"/>
        <w:jc w:val="center"/>
      </w:pPr>
      <w:r>
        <w:rPr>
          <w:rFonts w:ascii="Times New Roman" w:cs="Times New Roman" w:eastAsia="Times New Roman" w:hAnsi="Times New Roman"/>
          <w:b/>
          <w:bCs/>
          <w:color w:val="1F4E79"/>
          <w:sz w:val="32"/>
          <w:szCs w:val="32"/>
        </w:rPr>
        <w:t xml:space="preserve">Sparse Deep Learning for Alpha Interpretability:</w:t>
      </w:r>
    </w:p>
    <w:p>
      <w:pPr>
        <w:spacing w:after="200"/>
        <w:jc w:val="center"/>
      </w:pPr>
      <w:r>
        <w:rPr>
          <w:rFonts w:ascii="Times New Roman" w:cs="Times New Roman" w:eastAsia="Times New Roman" w:hAnsi="Times New Roman"/>
          <w:b/>
          <w:bCs/>
          <w:color w:val="1F4E79"/>
          <w:sz w:val="28"/>
          <w:szCs w:val="28"/>
        </w:rPr>
        <w:t xml:space="preserve">Mô hình MLP thưa với L1 Regularization cho dự đoán và giải thích tín hiệu Alpha trên thị trường VN30</w:t>
      </w:r>
    </w:p>
    <w:p>
      <w:pPr>
        <w:spacing w:after="60"/>
      </w:pPr>
    </w:p>
    <w:p>
      <w:pPr>
        <w:spacing w:after="60"/>
        <w:jc w:val="center"/>
      </w:pPr>
      <w:r>
        <w:rPr>
          <w:rFonts w:ascii="Times New Roman" w:cs="Times New Roman" w:eastAsia="Times New Roman" w:hAnsi="Times New Roman"/>
          <w:sz w:val="24"/>
          <w:szCs w:val="24"/>
        </w:rPr>
        <w:t xml:space="preserve">Trường Đại học Công nghiệp Thành phố Hồ Chí Minh (IUH)</w:t>
      </w:r>
    </w:p>
    <w:p>
      <w:pPr>
        <w:spacing w:after="200"/>
        <w:jc w:val="center"/>
      </w:pPr>
      <w:r>
        <w:rPr>
          <w:rFonts w:ascii="Times New Roman" w:cs="Times New Roman" w:eastAsia="Times New Roman" w:hAnsi="Times New Roman"/>
          <w:sz w:val="24"/>
          <w:szCs w:val="24"/>
        </w:rPr>
        <w:t xml:space="preserve">Khoa Công nghệ Thông tin — Môn: Giao dịch Định lượng</w:t>
      </w:r>
    </w:p>
    <w:p>
      <w:pPr>
        <w:spacing w:after="60"/>
      </w:pPr>
    </w:p>
    <w:p>
      <w:pPr>
        <w:pBdr>
          <w:top w:val="single" w:color="1F4E79" w:sz="2"/>
        </w:pBdr>
        <w:spacing w:after="100"/>
      </w:pPr>
    </w:p>
    <w:p>
      <w:pPr>
        <w:spacing w:after="80"/>
        <w:jc w:val="center"/>
      </w:pPr>
      <w:r>
        <w:rPr>
          <w:rFonts w:ascii="Times New Roman" w:cs="Times New Roman" w:eastAsia="Times New Roman" w:hAnsi="Times New Roman"/>
          <w:b/>
          <w:bCs/>
          <w:color w:val="1F4E79"/>
          <w:sz w:val="26"/>
          <w:szCs w:val="26"/>
        </w:rPr>
        <w:t xml:space="preserve">TÓM TẮT</w:t>
      </w:r>
    </w:p>
    <w:p>
      <w:pPr>
        <w:spacing w:after="100" w:line="300"/>
        <w:ind w:firstLine="400"/>
        <w:jc w:val="both"/>
      </w:pPr>
      <w:r>
        <w:rPr>
          <w:rFonts w:ascii="Times New Roman" w:cs="Times New Roman" w:eastAsia="Times New Roman" w:hAnsi="Times New Roman"/>
          <w:color w:val="1A1A1A"/>
          <w:sz w:val="24"/>
          <w:szCs w:val="24"/>
        </w:rPr>
        <w:t xml:space="preserve">Trong giao dịch định lượng, việc tìm kiếm tín hiệu alpha (lợi nhuận vượt trội) đòi hỏi các mô hình không chỉ dự đoán chính xác mà còn phải giải thích được cơ sở của quyết định. Nghiên cứu này đề xuất sử dụng mô hình Sparse MLP (Multi-Layer Perceptron với L1 Regularization) để dự đoán forward return 5 ngày của 30 cổ phiếu VN30 trên Sàn HOSE. Thực nghiệm trên dữ liệu 10 năm (2013–2023) cho thấy Sparse MLP đạt MSE = 0.003135, IC = 0.039, và Sparsity Ratio = 87.7%, vượt trội so với Dense MLP (MSE = 0.003180, IC = -0.009). Đặc biệt, mô hình sparse xác định được các features quan trọng nhất là candlestick shadows và các oscillators (Williams %R, Stochastic), phù hợp với đặc thù giao dịch ngắn hạn trên thị trường Việt Nam.</w:t>
      </w:r>
    </w:p>
    <w:p>
      <w:pPr>
        <w:spacing w:after="60"/>
      </w:pPr>
    </w:p>
    <w:p>
      <w:pPr>
        <w:spacing w:after="100" w:line="300"/>
        <w:jc w:val="both"/>
      </w:pPr>
      <w:r>
        <w:rPr>
          <w:rFonts w:ascii="Times New Roman" w:cs="Times New Roman" w:eastAsia="Times New Roman" w:hAnsi="Times New Roman"/>
          <w:b/>
          <w:bCs/>
          <w:color w:val="1A1A1A"/>
          <w:sz w:val="24"/>
          <w:szCs w:val="24"/>
        </w:rPr>
        <w:t xml:space="preserve">Từ khóa: </w:t>
      </w:r>
      <w:r>
        <w:rPr>
          <w:rFonts w:ascii="Times New Roman" w:cs="Times New Roman" w:eastAsia="Times New Roman" w:hAnsi="Times New Roman"/>
          <w:color w:val="1A1A1A"/>
          <w:sz w:val="24"/>
          <w:szCs w:val="24"/>
        </w:rPr>
        <w:t xml:space="preserve">Sparse Deep Learning, Alpha, Interpretability, L1 Regularization, VN30, Quantitative Trading, MLP.</w:t>
      </w:r>
    </w:p>
    <w:p>
      <w:pPr>
        <w:pBdr>
          <w:bottom w:val="single" w:color="1F4E79" w:sz="2"/>
        </w:pBdr>
        <w:spacing w:after="100"/>
      </w:pPr>
    </w:p>
    <w:p>
      <w:r>
        <w:br w:type="page"/>
      </w:r>
    </w:p>
    <w:p>
      <w:pPr>
        <w:pStyle w:val="Heading1"/>
        <w:spacing w:before="400" w:after="200"/>
        <w:jc w:val="left"/>
      </w:pPr>
      <w:r>
        <w:rPr>
          <w:rFonts w:ascii="Times New Roman" w:cs="Times New Roman" w:eastAsia="Times New Roman" w:hAnsi="Times New Roman"/>
          <w:b/>
          <w:bCs/>
          <w:color w:val="1F4E79"/>
          <w:sz w:val="28"/>
          <w:szCs w:val="28"/>
        </w:rPr>
        <w:t xml:space="preserve">1. Giới thiệu</w:t>
      </w:r>
    </w:p>
    <w:p>
      <w:pPr>
        <w:spacing w:after="100" w:line="300"/>
        <w:ind w:firstLine="400"/>
        <w:jc w:val="both"/>
      </w:pPr>
      <w:r>
        <w:rPr>
          <w:rFonts w:ascii="Times New Roman" w:cs="Times New Roman" w:eastAsia="Times New Roman" w:hAnsi="Times New Roman"/>
          <w:color w:val="1A1A1A"/>
          <w:sz w:val="24"/>
          <w:szCs w:val="24"/>
        </w:rPr>
        <w:t xml:space="preserve">Thị trường chứng khoán Việt Nam đang ngày càng thu hút sự quan tâm của các nhà đầu tư trong và ngoài nước. Chỉ số VN30, đại diện cho 30 cổ phiếu có vốn hóa và thanh khoản lớn nhất trên Sàn Giao dịch Chứng khoán TP.HCM (HOSE), chiếm gần 80% vốn hóa toàn thị trường [1]. Việc áp dụng các phương pháp giao dịch định lượng (quantitative trading) vào thị trường này là xu hướng tất yếu.</w:t>
      </w:r>
    </w:p>
    <w:p>
      <w:pPr>
        <w:spacing w:after="100" w:line="300"/>
        <w:ind w:firstLine="400"/>
        <w:jc w:val="both"/>
      </w:pPr>
      <w:r>
        <w:rPr>
          <w:rFonts w:ascii="Times New Roman" w:cs="Times New Roman" w:eastAsia="Times New Roman" w:hAnsi="Times New Roman"/>
          <w:color w:val="1A1A1A"/>
          <w:sz w:val="24"/>
          <w:szCs w:val="24"/>
        </w:rPr>
        <w:t xml:space="preserve">Trong lĩnh vực này, alpha được định nghĩa là phần lợi nhuận vượt trội so với thị trường. Các mô hình Deep Learning đã chứng minh khả năng phát hiện các mẫu hình (patterns) phức tạp từ dữ liệu tài chính [2][3]. Tuy nhiên, các mô hình này thường hoạt động như “hộp đen” (black-box) — không giải thích được tại sao lại đưa ra một quyết định giao dịch cụ thể [4]. Điều này gây ra hai vấn đề lớn: (i) rủi ro khi áp dụng vào giao dịch thực, vì nhà đầu tư không dám tin tưởng một mô hình họp đen; và (ii) dễ overfitting, vì mô hình dense có quá nhiều tham số có thể học thuộc nhiễu thay vì tín hiệu thực.</w:t>
      </w:r>
    </w:p>
    <w:p>
      <w:pPr>
        <w:spacing w:after="100" w:line="300"/>
        <w:ind w:firstLine="400"/>
        <w:jc w:val="both"/>
      </w:pPr>
      <w:r>
        <w:rPr>
          <w:rFonts w:ascii="Times New Roman" w:cs="Times New Roman" w:eastAsia="Times New Roman" w:hAnsi="Times New Roman"/>
          <w:color w:val="1A1A1A"/>
          <w:sz w:val="24"/>
          <w:szCs w:val="24"/>
        </w:rPr>
        <w:t xml:space="preserve">Kỹ thuật Sparse (thưa) trong mạng nơ-ron đã được nghiên cứu rộng rãi như một giải pháp cho vấn đề interpretability [5][6]. Bằng cách sử dụng L1 Regularization, các trọng số không quan trọng bị đẩy về 0, giúp mô hình tự động chọn lọc features và cho phép con người hiểu được mô hình dựa vào những yếu tố nào để ra quyết định.</w:t>
      </w:r>
    </w:p>
    <w:p>
      <w:pPr>
        <w:spacing w:after="100" w:line="300"/>
        <w:ind w:firstLine="400"/>
        <w:jc w:val="both"/>
      </w:pPr>
      <w:r>
        <w:rPr>
          <w:rFonts w:ascii="Times New Roman" w:cs="Times New Roman" w:eastAsia="Times New Roman" w:hAnsi="Times New Roman"/>
          <w:color w:val="1A1A1A"/>
          <w:sz w:val="24"/>
          <w:szCs w:val="24"/>
        </w:rPr>
        <w:t xml:space="preserve">Nghiên cứu này đề xuất và đánh giá mô hình Sparse MLP (Multi-Layer Perceptron với L1 Regularization) cho bài toán dự đoán và giải thích alpha trên thị trường VN30. Các đóng góp chính bao gồm: (1) xây dựng bộ features gồm ~35 technical indicators cho cổ phiếu Việt Nam; (2) so sánh Dense MLP và Sparse MLP trên nhiều độ đo; (3) phân tích interpretability thông qua feature importance và weight heatmap; và (4) xây dựng web application cho việc demo và backtest.</w:t>
      </w:r>
    </w:p>
    <w:p>
      <w:r>
        <w:br w:type="page"/>
      </w:r>
    </w:p>
    <w:p>
      <w:pPr>
        <w:pStyle w:val="Heading1"/>
        <w:spacing w:before="400" w:after="200"/>
        <w:jc w:val="left"/>
      </w:pPr>
      <w:r>
        <w:rPr>
          <w:rFonts w:ascii="Times New Roman" w:cs="Times New Roman" w:eastAsia="Times New Roman" w:hAnsi="Times New Roman"/>
          <w:b/>
          <w:bCs/>
          <w:color w:val="1F4E79"/>
          <w:sz w:val="28"/>
          <w:szCs w:val="28"/>
        </w:rPr>
        <w:t xml:space="preserve">2. Các nghiên cứu có liên quan</w:t>
      </w:r>
    </w:p>
    <w:p>
      <w:pPr>
        <w:pStyle w:val="Heading2"/>
        <w:spacing w:before="300" w:after="160"/>
      </w:pPr>
      <w:r>
        <w:rPr>
          <w:rFonts w:ascii="Times New Roman" w:cs="Times New Roman" w:eastAsia="Times New Roman" w:hAnsi="Times New Roman"/>
          <w:b/>
          <w:bCs/>
          <w:color w:val="2E75B6"/>
          <w:sz w:val="26"/>
          <w:szCs w:val="26"/>
        </w:rPr>
        <w:t xml:space="preserve">2.1. Deep Learning trong Giao dịch định lượng</w:t>
      </w:r>
    </w:p>
    <w:p>
      <w:pPr>
        <w:spacing w:after="100" w:line="300"/>
        <w:ind w:firstLine="400"/>
        <w:jc w:val="both"/>
      </w:pPr>
      <w:r>
        <w:rPr>
          <w:rFonts w:ascii="Times New Roman" w:cs="Times New Roman" w:eastAsia="Times New Roman" w:hAnsi="Times New Roman"/>
          <w:color w:val="1A1A1A"/>
          <w:sz w:val="24"/>
          <w:szCs w:val="24"/>
        </w:rPr>
        <w:t xml:space="preserve">Việc áp dụng deep learning vào dự đoán giá cổ phiếu đã được nghiên cứu rộng rãi. Các kiến trúc phổ biến bao gồm MLP, LSTM, CNN, và gần đây là Transformer [2][3]. Đặc biệt, Temporal Fusion Transformer (TFT) của Lim et al. (2021) kết hợp attention mechanism với gating layers để vừa dự đoán vừa cung cấp thông tin về feature importance [7].</w:t>
      </w:r>
    </w:p>
    <w:p>
      <w:pPr>
        <w:spacing w:after="100" w:line="300"/>
        <w:ind w:firstLine="400"/>
        <w:jc w:val="both"/>
      </w:pPr>
      <w:r>
        <w:rPr>
          <w:rFonts w:ascii="Times New Roman" w:cs="Times New Roman" w:eastAsia="Times New Roman" w:hAnsi="Times New Roman"/>
          <w:color w:val="1A1A1A"/>
          <w:sz w:val="24"/>
          <w:szCs w:val="24"/>
        </w:rPr>
        <w:t xml:space="preserve">Trong bối cảnh Việt Nam, Pham et al. đã áp dụng LSTM và chiến lược Ichimoku Cloud cho các cổ phiếu VN30, đạt lợi nhuận trung bình 14.29% mỗi năm [1]. Tuy nhiên, các nghiên cứu này chưa giải quyết được vấn đề interpretability của mô hình.</w:t>
      </w:r>
    </w:p>
    <w:p>
      <w:pPr>
        <w:pStyle w:val="Heading2"/>
        <w:spacing w:before="300" w:after="160"/>
      </w:pPr>
      <w:r>
        <w:rPr>
          <w:rFonts w:ascii="Times New Roman" w:cs="Times New Roman" w:eastAsia="Times New Roman" w:hAnsi="Times New Roman"/>
          <w:b/>
          <w:bCs/>
          <w:color w:val="2E75B6"/>
          <w:sz w:val="26"/>
          <w:szCs w:val="26"/>
        </w:rPr>
        <w:t xml:space="preserve">2.2. Sparse Neural Networks và Interpretability</w:t>
      </w:r>
    </w:p>
    <w:p>
      <w:pPr>
        <w:spacing w:after="100" w:line="300"/>
        <w:ind w:firstLine="400"/>
        <w:jc w:val="both"/>
      </w:pPr>
      <w:r>
        <w:rPr>
          <w:rFonts w:ascii="Times New Roman" w:cs="Times New Roman" w:eastAsia="Times New Roman" w:hAnsi="Times New Roman"/>
          <w:color w:val="1A1A1A"/>
          <w:sz w:val="24"/>
          <w:szCs w:val="24"/>
        </w:rPr>
        <w:t xml:space="preserve">Sparse neural networks đã được nghiên cứu như một cách để tăng khả năng giải thích của mô hình. L1 Regularization (Lasso) là phương pháp kinh điển, đẩy các trọng số không quan trọng về 0 [5]. Louizos et al. (2018) đề xuất L0 Regularization, trực tiếp đếm số weights khác 0 để đạt sparse triệt để hơn [6]. Ngoài ra, các phương pháp pruning như Iterative Magnitude Pruning (IMP) dựa trên Lottery Ticket Hypothesis cũng được áp dụng rộng rãi [8].</w:t>
      </w:r>
    </w:p>
    <w:p>
      <w:pPr>
        <w:spacing w:after="100" w:line="300"/>
        <w:ind w:firstLine="400"/>
        <w:jc w:val="both"/>
      </w:pPr>
      <w:r>
        <w:rPr>
          <w:rFonts w:ascii="Times New Roman" w:cs="Times New Roman" w:eastAsia="Times New Roman" w:hAnsi="Times New Roman"/>
          <w:color w:val="1A1A1A"/>
          <w:sz w:val="24"/>
          <w:szCs w:val="24"/>
        </w:rPr>
        <w:t xml:space="preserve">Trong tài chính, Increase Alpha framework đã chứng minh rằng deep learning kết hợp với thiết kế features chuyên gia có thể tạo ra tín hiệu giao dịch interpretable [9]. AlphaForge sử dụng deep learning để khai thác alpha factors trong không gian tìm kiếm thưa [10].</w:t>
      </w:r>
    </w:p>
    <w:p>
      <w:pPr>
        <w:pStyle w:val="Heading2"/>
        <w:spacing w:before="300" w:after="160"/>
      </w:pPr>
      <w:r>
        <w:rPr>
          <w:rFonts w:ascii="Times New Roman" w:cs="Times New Roman" w:eastAsia="Times New Roman" w:hAnsi="Times New Roman"/>
          <w:b/>
          <w:bCs/>
          <w:color w:val="2E75B6"/>
          <w:sz w:val="26"/>
          <w:szCs w:val="26"/>
        </w:rPr>
        <w:t xml:space="preserve">2.3. Alpha Factors và Technical Indicators</w:t>
      </w:r>
    </w:p>
    <w:p>
      <w:pPr>
        <w:spacing w:after="100" w:line="300"/>
        <w:ind w:firstLine="400"/>
        <w:jc w:val="both"/>
      </w:pPr>
      <w:r>
        <w:rPr>
          <w:rFonts w:ascii="Times New Roman" w:cs="Times New Roman" w:eastAsia="Times New Roman" w:hAnsi="Times New Roman"/>
          <w:color w:val="1A1A1A"/>
          <w:sz w:val="24"/>
          <w:szCs w:val="24"/>
        </w:rPr>
        <w:t xml:space="preserve">Kakushadze (2016) giới thiệu 101 công thức alpha factors được sử dụng trong giao dịch thực tế [11]. Các technical indicators như RSI, MACD, Bollinger Bands, Stochastic là các features phổ biến trong các mô hình dự đoán giá. Nền tảng Qlib của Microsoft cung cấp bộ features Alpha158 làm chuẩn cho nghiên cứu [12].</w:t>
      </w:r>
    </w:p>
    <w:p>
      <w:pPr>
        <w:spacing w:after="100" w:line="300"/>
        <w:ind w:firstLine="400"/>
        <w:jc w:val="both"/>
      </w:pPr>
      <w:r>
        <w:rPr>
          <w:rFonts w:ascii="Times New Roman" w:cs="Times New Roman" w:eastAsia="Times New Roman" w:hAnsi="Times New Roman"/>
          <w:color w:val="1A1A1A"/>
          <w:sz w:val="24"/>
          <w:szCs w:val="24"/>
        </w:rPr>
        <w:t xml:space="preserve">Nghiên cứu của chúng tôi khác biệt ở việc kết hợp sparse deep learning với bộ features được thiết kế riêng cho thị trường Việt Nam, đồng thời tập trung vào việc giải thích kết quả dự đoán dưới góc độ tài chính.</w:t>
      </w:r>
    </w:p>
    <w:p>
      <w:r>
        <w:br w:type="page"/>
      </w:r>
    </w:p>
    <w:p>
      <w:pPr>
        <w:pStyle w:val="Heading1"/>
        <w:spacing w:before="400" w:after="200"/>
        <w:jc w:val="left"/>
      </w:pPr>
      <w:r>
        <w:rPr>
          <w:rFonts w:ascii="Times New Roman" w:cs="Times New Roman" w:eastAsia="Times New Roman" w:hAnsi="Times New Roman"/>
          <w:b/>
          <w:bCs/>
          <w:color w:val="1F4E79"/>
          <w:sz w:val="28"/>
          <w:szCs w:val="28"/>
        </w:rPr>
        <w:t xml:space="preserve">3. Mô hình đề xuất</w:t>
      </w:r>
    </w:p>
    <w:p>
      <w:pPr>
        <w:pStyle w:val="Heading2"/>
        <w:spacing w:before="300" w:after="160"/>
      </w:pPr>
      <w:r>
        <w:rPr>
          <w:rFonts w:ascii="Times New Roman" w:cs="Times New Roman" w:eastAsia="Times New Roman" w:hAnsi="Times New Roman"/>
          <w:b/>
          <w:bCs/>
          <w:color w:val="2E75B6"/>
          <w:sz w:val="26"/>
          <w:szCs w:val="26"/>
        </w:rPr>
        <w:t xml:space="preserve">3.1. Tổng quan kiến trúc</w:t>
      </w:r>
    </w:p>
    <w:p>
      <w:pPr>
        <w:spacing w:after="100" w:line="300"/>
        <w:ind w:firstLine="400"/>
        <w:jc w:val="both"/>
      </w:pPr>
      <w:r>
        <w:rPr>
          <w:rFonts w:ascii="Times New Roman" w:cs="Times New Roman" w:eastAsia="Times New Roman" w:hAnsi="Times New Roman"/>
          <w:color w:val="1A1A1A"/>
          <w:sz w:val="24"/>
          <w:szCs w:val="24"/>
        </w:rPr>
        <w:t xml:space="preserve">Hệ thống đề xuất gồm 6 giai đoạn: (1) Thu thập dữ liệu OHLCV từ dataset VN30; (2) Feature Engineering — tạo ~35 technical indicators; (3) Tiền xử lý — chuẩn hóa và chia dữ liệu; (4) Huấn luyện 2 mô hình (Dense MLP và Sparse MLP); (5) Đánh giá và so sánh; (6) Phân tích Interpretability.</w:t>
      </w:r>
    </w:p>
    <w:p>
      <w:pPr>
        <w:pStyle w:val="Heading2"/>
        <w:spacing w:before="300" w:after="160"/>
      </w:pPr>
      <w:r>
        <w:rPr>
          <w:rFonts w:ascii="Times New Roman" w:cs="Times New Roman" w:eastAsia="Times New Roman" w:hAnsi="Times New Roman"/>
          <w:b/>
          <w:bCs/>
          <w:color w:val="2E75B6"/>
          <w:sz w:val="26"/>
          <w:szCs w:val="26"/>
        </w:rPr>
        <w:t xml:space="preserve">3.2. Dữ liệu và Feature Engineering</w:t>
      </w:r>
    </w:p>
    <w:p>
      <w:pPr>
        <w:spacing w:after="100" w:line="300"/>
        <w:ind w:firstLine="400"/>
        <w:jc w:val="both"/>
      </w:pPr>
      <w:r>
        <w:rPr>
          <w:rFonts w:ascii="Times New Roman" w:cs="Times New Roman" w:eastAsia="Times New Roman" w:hAnsi="Times New Roman"/>
          <w:color w:val="1A1A1A"/>
          <w:sz w:val="24"/>
          <w:szCs w:val="24"/>
        </w:rPr>
        <w:t xml:space="preserve">Dữ liệu được lấy từ dataset “Stock Prices &amp; Volume VN30 Index Vietnam” trên Kaggle, bao gồm dữ liệu OHLCV hàng ngày của 30 cổ phiếu trong rổ VN30, giai đoạn 01/2013 đến 06/2023 (~2,700 ngày giao dịch mỗi mã).</w:t>
      </w:r>
    </w:p>
    <w:p>
      <w:pPr>
        <w:spacing w:after="100" w:line="300"/>
        <w:ind w:firstLine="400"/>
        <w:jc w:val="both"/>
      </w:pPr>
      <w:r>
        <w:rPr>
          <w:rFonts w:ascii="Times New Roman" w:cs="Times New Roman" w:eastAsia="Times New Roman" w:hAnsi="Times New Roman"/>
          <w:color w:val="1A1A1A"/>
          <w:sz w:val="24"/>
          <w:szCs w:val="24"/>
        </w:rPr>
        <w:t xml:space="preserve">Từ dữ liệu thô, chúng tôi tạo 35 features thuộc 6 nhóm: Momentum (return 1/3/5/10/20/60 ngày, ROC), Trend (Close/SMA, MACD), Oscillator (RSI, Stochastic, Williams %R, CCI), Volatility (ATR ratio, Bollinger %B/Width, Std ratio), Volume (Volume ratio, OBV), và Price Pattern (High-Low ratio, Close-Open ratio, Gap, Candlestick shadows).</w:t>
      </w:r>
    </w:p>
    <w:p>
      <w:pPr>
        <w:spacing w:after="100" w:line="300"/>
        <w:ind w:firstLine="400"/>
        <w:jc w:val="both"/>
      </w:pPr>
      <w:r>
        <w:rPr>
          <w:rFonts w:ascii="Times New Roman" w:cs="Times New Roman" w:eastAsia="Times New Roman" w:hAnsi="Times New Roman"/>
          <w:color w:val="1A1A1A"/>
          <w:sz w:val="24"/>
          <w:szCs w:val="24"/>
        </w:rPr>
        <w:t xml:space="preserve">Label (biến mục tiêu) là Forward Return 5 ngày: Y(t) = (Close(t+5) - Close(t)) / Close(t).</w:t>
      </w:r>
    </w:p>
    <w:p>
      <w:pPr>
        <w:pStyle w:val="Heading2"/>
        <w:spacing w:before="300" w:after="160"/>
      </w:pPr>
      <w:r>
        <w:rPr>
          <w:rFonts w:ascii="Times New Roman" w:cs="Times New Roman" w:eastAsia="Times New Roman" w:hAnsi="Times New Roman"/>
          <w:b/>
          <w:bCs/>
          <w:color w:val="2E75B6"/>
          <w:sz w:val="26"/>
          <w:szCs w:val="26"/>
        </w:rPr>
        <w:t xml:space="preserve">3.3. Tiền xử lý</w:t>
      </w:r>
    </w:p>
    <w:p>
      <w:pPr>
        <w:spacing w:after="100" w:line="300"/>
        <w:ind w:firstLine="400"/>
        <w:jc w:val="both"/>
      </w:pPr>
      <w:r>
        <w:rPr>
          <w:rFonts w:ascii="Times New Roman" w:cs="Times New Roman" w:eastAsia="Times New Roman" w:hAnsi="Times New Roman"/>
          <w:color w:val="1A1A1A"/>
          <w:sz w:val="24"/>
          <w:szCs w:val="24"/>
        </w:rPr>
        <w:t xml:space="preserve">Dữ liệu được chia theo thời gian (không random split): Train (2013–2020), Validation (2021–2022), Test (2022–2023). Chuẩn hóa bằng StandardScaler, chỉ fit trên tập Train để tránh data leakage. Các giá trị inf/NaN được loại bỏ.</w:t>
      </w:r>
    </w:p>
    <w:p>
      <w:pPr>
        <w:pStyle w:val="Heading2"/>
        <w:spacing w:before="300" w:after="160"/>
      </w:pPr>
      <w:r>
        <w:rPr>
          <w:rFonts w:ascii="Times New Roman" w:cs="Times New Roman" w:eastAsia="Times New Roman" w:hAnsi="Times New Roman"/>
          <w:b/>
          <w:bCs/>
          <w:color w:val="2E75B6"/>
          <w:sz w:val="26"/>
          <w:szCs w:val="26"/>
        </w:rPr>
        <w:t xml:space="preserve">3.4. Kiến trúc mô hình</w:t>
      </w:r>
    </w:p>
    <w:p>
      <w:pPr>
        <w:spacing w:after="100" w:line="300"/>
        <w:ind w:firstLine="400"/>
        <w:jc w:val="both"/>
      </w:pPr>
      <w:r>
        <w:rPr>
          <w:rFonts w:ascii="Times New Roman" w:cs="Times New Roman" w:eastAsia="Times New Roman" w:hAnsi="Times New Roman"/>
          <w:color w:val="1A1A1A"/>
          <w:sz w:val="24"/>
          <w:szCs w:val="24"/>
        </w:rPr>
        <w:t xml:space="preserve">Cả hai mô hình sử dụng cùng kiến trúc MLP: Input(35) → Linear(128) → ReLU → BatchNorm → Dropout(0.1) → Linear(64) → ReLU → BatchNorm → Dropout(0.1) → Linear(32) → ReLU → BatchNorm → Dropout(0.1) → Linear(1).</w:t>
      </w:r>
    </w:p>
    <w:p>
      <w:pPr>
        <w:spacing w:after="100" w:line="300"/>
        <w:ind w:firstLine="400"/>
        <w:jc w:val="both"/>
      </w:pPr>
      <w:r>
        <w:rPr>
          <w:rFonts w:ascii="Times New Roman" w:cs="Times New Roman" w:eastAsia="Times New Roman" w:hAnsi="Times New Roman"/>
          <w:color w:val="1A1A1A"/>
          <w:sz w:val="24"/>
          <w:szCs w:val="24"/>
        </w:rPr>
        <w:t xml:space="preserve">Sự khác biệt duy nhất nằm ở hàm loss:</w:t>
      </w:r>
    </w:p>
    <w:p>
      <w:pPr>
        <w:spacing w:after="100" w:line="300"/>
        <w:jc w:val="both"/>
      </w:pPr>
      <w:r>
        <w:rPr>
          <w:rFonts w:ascii="Times New Roman" w:cs="Times New Roman" w:eastAsia="Times New Roman" w:hAnsi="Times New Roman"/>
          <w:b/>
          <w:bCs/>
          <w:color w:val="1A1A1A"/>
          <w:sz w:val="24"/>
          <w:szCs w:val="24"/>
        </w:rPr>
        <w:t xml:space="preserve">Dense MLP: </w:t>
      </w:r>
      <w:r>
        <w:rPr>
          <w:rFonts w:ascii="Times New Roman" w:cs="Times New Roman" w:eastAsia="Times New Roman" w:hAnsi="Times New Roman"/>
          <w:color w:val="1A1A1A"/>
          <w:sz w:val="24"/>
          <w:szCs w:val="24"/>
        </w:rPr>
        <w:t xml:space="preserve">L = MSE(y, ŷ)</w:t>
      </w:r>
    </w:p>
    <w:p>
      <w:pPr>
        <w:spacing w:after="100" w:line="300"/>
        <w:jc w:val="both"/>
      </w:pPr>
      <w:r>
        <w:rPr>
          <w:rFonts w:ascii="Times New Roman" w:cs="Times New Roman" w:eastAsia="Times New Roman" w:hAnsi="Times New Roman"/>
          <w:b/>
          <w:bCs/>
          <w:color w:val="1A1A1A"/>
          <w:sz w:val="24"/>
          <w:szCs w:val="24"/>
        </w:rPr>
        <w:t xml:space="preserve">Sparse MLP: </w:t>
      </w:r>
      <w:r>
        <w:rPr>
          <w:rFonts w:ascii="Times New Roman" w:cs="Times New Roman" w:eastAsia="Times New Roman" w:hAnsi="Times New Roman"/>
          <w:color w:val="1A1A1A"/>
          <w:sz w:val="24"/>
          <w:szCs w:val="24"/>
        </w:rPr>
        <w:t xml:space="preserve">L = MSE(y, ŷ) + λ × ∑|Wᵢ|</w:t>
      </w:r>
    </w:p>
    <w:p>
      <w:pPr>
        <w:spacing w:after="100" w:line="300"/>
        <w:ind w:firstLine="400"/>
        <w:jc w:val="both"/>
      </w:pPr>
      <w:r>
        <w:rPr>
          <w:rFonts w:ascii="Times New Roman" w:cs="Times New Roman" w:eastAsia="Times New Roman" w:hAnsi="Times New Roman"/>
          <w:color w:val="1A1A1A"/>
          <w:sz w:val="24"/>
          <w:szCs w:val="24"/>
        </w:rPr>
        <w:t xml:space="preserve">Trong đó, λ là hệ số điều khiển mức độ sparse. Chúng tôi thử nghiệm với λ ∈ {10⁻⁵, 10⁻⁴, 10⁻³} và chọn λ = 10⁻⁴ cho kết quả tốt nhất trên validation. Optimizer: Adam (lr=0.001), Batch size: 256, Early stopping với patience=20.</w:t>
      </w:r>
    </w:p>
    <w:p>
      <w:pPr>
        <w:pStyle w:val="Heading2"/>
        <w:spacing w:before="300" w:after="160"/>
      </w:pPr>
      <w:r>
        <w:rPr>
          <w:rFonts w:ascii="Times New Roman" w:cs="Times New Roman" w:eastAsia="Times New Roman" w:hAnsi="Times New Roman"/>
          <w:b/>
          <w:bCs/>
          <w:color w:val="2E75B6"/>
          <w:sz w:val="26"/>
          <w:szCs w:val="26"/>
        </w:rPr>
        <w:t xml:space="preserve">3.5. Độ đo đánh giá</w:t>
      </w:r>
    </w:p>
    <w:p>
      <w:pPr>
        <w:spacing w:after="100" w:line="300"/>
        <w:ind w:firstLine="400"/>
        <w:jc w:val="both"/>
      </w:pPr>
      <w:r>
        <w:rPr>
          <w:rFonts w:ascii="Times New Roman" w:cs="Times New Roman" w:eastAsia="Times New Roman" w:hAnsi="Times New Roman"/>
          <w:color w:val="1A1A1A"/>
          <w:sz w:val="24"/>
          <w:szCs w:val="24"/>
        </w:rPr>
        <w:t xml:space="preserve">Bốn độ đo được sử dụng:</w:t>
      </w:r>
    </w:p>
    <w:p>
      <w:pPr>
        <w:spacing w:after="100" w:line="300"/>
        <w:jc w:val="both"/>
      </w:pPr>
      <w:r>
        <w:rPr>
          <w:rFonts w:ascii="Times New Roman" w:cs="Times New Roman" w:eastAsia="Times New Roman" w:hAnsi="Times New Roman"/>
          <w:b/>
          <w:bCs/>
          <w:color w:val="1A1A1A"/>
          <w:sz w:val="24"/>
          <w:szCs w:val="24"/>
        </w:rPr>
        <w:t xml:space="preserve">MSE (Mean Squared Error): </w:t>
      </w:r>
      <w:r>
        <w:rPr>
          <w:rFonts w:ascii="Times New Roman" w:cs="Times New Roman" w:eastAsia="Times New Roman" w:hAnsi="Times New Roman"/>
          <w:color w:val="1A1A1A"/>
          <w:sz w:val="24"/>
          <w:szCs w:val="24"/>
        </w:rPr>
        <w:t xml:space="preserve">Đo sai số dự đoán. Càng thấp càng tốt.</w:t>
      </w:r>
    </w:p>
    <w:p>
      <w:pPr>
        <w:spacing w:after="100" w:line="300"/>
        <w:jc w:val="both"/>
      </w:pPr>
      <w:r>
        <w:rPr>
          <w:rFonts w:ascii="Times New Roman" w:cs="Times New Roman" w:eastAsia="Times New Roman" w:hAnsi="Times New Roman"/>
          <w:b/>
          <w:bCs/>
          <w:color w:val="1A1A1A"/>
          <w:sz w:val="24"/>
          <w:szCs w:val="24"/>
        </w:rPr>
        <w:t xml:space="preserve">RMSE (Root MSE): </w:t>
      </w:r>
      <w:r>
        <w:rPr>
          <w:rFonts w:ascii="Times New Roman" w:cs="Times New Roman" w:eastAsia="Times New Roman" w:hAnsi="Times New Roman"/>
          <w:color w:val="1A1A1A"/>
          <w:sz w:val="24"/>
          <w:szCs w:val="24"/>
        </w:rPr>
        <w:t xml:space="preserve">Căn bậc hai của MSE, cùng đơn vị với target.</w:t>
      </w:r>
    </w:p>
    <w:p>
      <w:pPr>
        <w:spacing w:after="100" w:line="300"/>
        <w:jc w:val="both"/>
      </w:pPr>
      <w:r>
        <w:rPr>
          <w:rFonts w:ascii="Times New Roman" w:cs="Times New Roman" w:eastAsia="Times New Roman" w:hAnsi="Times New Roman"/>
          <w:b/>
          <w:bCs/>
          <w:color w:val="1A1A1A"/>
          <w:sz w:val="24"/>
          <w:szCs w:val="24"/>
        </w:rPr>
        <w:t xml:space="preserve">IC (Information Coefficient): </w:t>
      </w:r>
      <w:r>
        <w:rPr>
          <w:rFonts w:ascii="Times New Roman" w:cs="Times New Roman" w:eastAsia="Times New Roman" w:hAnsi="Times New Roman"/>
          <w:color w:val="1A1A1A"/>
          <w:sz w:val="24"/>
          <w:szCs w:val="24"/>
        </w:rPr>
        <w:t xml:space="preserve">Hệ số tương quan Pearson giữa dự đoán và thực tế. IC &gt; 0 cho thấy mô hình có khả năng dự đoán. Trong quant, IC từ 0.02–0.05 được coi là có giá trị [13].</w:t>
      </w:r>
    </w:p>
    <w:p>
      <w:pPr>
        <w:spacing w:after="100" w:line="300"/>
        <w:jc w:val="both"/>
      </w:pPr>
      <w:r>
        <w:rPr>
          <w:rFonts w:ascii="Times New Roman" w:cs="Times New Roman" w:eastAsia="Times New Roman" w:hAnsi="Times New Roman"/>
          <w:b/>
          <w:bCs/>
          <w:color w:val="1A1A1A"/>
          <w:sz w:val="24"/>
          <w:szCs w:val="24"/>
        </w:rPr>
        <w:t xml:space="preserve">Sparsity Ratio: </w:t>
      </w:r>
      <w:r>
        <w:rPr>
          <w:rFonts w:ascii="Times New Roman" w:cs="Times New Roman" w:eastAsia="Times New Roman" w:hAnsi="Times New Roman"/>
          <w:color w:val="1A1A1A"/>
          <w:sz w:val="24"/>
          <w:szCs w:val="24"/>
        </w:rPr>
        <w:t xml:space="preserve">Tỉ lệ weights ≈ 0 (&lt; 10⁻⁴) / tổng weights. Càng cao càng interpretable.</w:t>
      </w:r>
    </w:p>
    <w:p>
      <w:r>
        <w:br w:type="page"/>
      </w:r>
    </w:p>
    <w:p>
      <w:pPr>
        <w:pStyle w:val="Heading1"/>
        <w:spacing w:before="400" w:after="200"/>
        <w:jc w:val="left"/>
      </w:pPr>
      <w:r>
        <w:rPr>
          <w:rFonts w:ascii="Times New Roman" w:cs="Times New Roman" w:eastAsia="Times New Roman" w:hAnsi="Times New Roman"/>
          <w:b/>
          <w:bCs/>
          <w:color w:val="1F4E79"/>
          <w:sz w:val="28"/>
          <w:szCs w:val="28"/>
        </w:rPr>
        <w:t xml:space="preserve">4. Thực nghiệm và thảo luận</w:t>
      </w:r>
    </w:p>
    <w:p>
      <w:pPr>
        <w:pStyle w:val="Heading2"/>
        <w:spacing w:before="300" w:after="160"/>
      </w:pPr>
      <w:r>
        <w:rPr>
          <w:rFonts w:ascii="Times New Roman" w:cs="Times New Roman" w:eastAsia="Times New Roman" w:hAnsi="Times New Roman"/>
          <w:b/>
          <w:bCs/>
          <w:color w:val="2E75B6"/>
          <w:sz w:val="26"/>
          <w:szCs w:val="26"/>
        </w:rPr>
        <w:t xml:space="preserve">4.1. Kết quả huấn luyện</w:t>
      </w:r>
    </w:p>
    <w:p>
      <w:pPr>
        <w:spacing w:after="100" w:line="300"/>
        <w:ind w:firstLine="400"/>
        <w:jc w:val="both"/>
      </w:pPr>
      <w:r>
        <w:rPr>
          <w:rFonts w:ascii="Times New Roman" w:cs="Times New Roman" w:eastAsia="Times New Roman" w:hAnsi="Times New Roman"/>
          <w:color w:val="1A1A1A"/>
          <w:sz w:val="24"/>
          <w:szCs w:val="24"/>
        </w:rPr>
        <w:t xml:space="preserve">Dense MLP hội tụ nhanh sau ~4 epoch với Val MSE = 0.003409. Sparse MLP cần nhiều epoch hơn (~21–24 epoch) do L1 penalty làm chậm quá trình tối ưu, nhưng đạt Val MSE = 0.003390–0.003397, tốt hơn Dense MLP.</w:t>
      </w:r>
    </w:p>
    <w:p>
      <w:pPr>
        <w:spacing w:after="100" w:line="300"/>
        <w:ind w:firstLine="400"/>
        <w:jc w:val="both"/>
      </w:pPr>
      <w:r>
        <w:rPr>
          <w:rFonts w:ascii="Times New Roman" w:cs="Times New Roman" w:eastAsia="Times New Roman" w:hAnsi="Times New Roman"/>
          <w:color w:val="1A1A1A"/>
          <w:sz w:val="24"/>
          <w:szCs w:val="24"/>
        </w:rPr>
        <w:t xml:space="preserve">Quá trình tìm λ tối ưu cho thấy: λ=10⁻⁵ cho sparsity thấp (7%), λ=10⁻⁴ cho sparsity cao (87–90%) với MSE tốt nhất, và λ=10⁻³ cho sparsity trung bình (58%) nhưng MSE tăng nhẹ do L1 quá mạnh.</w:t>
      </w:r>
    </w:p>
    <w:p>
      <w:pPr>
        <w:pStyle w:val="Heading2"/>
        <w:spacing w:before="300" w:after="160"/>
      </w:pPr>
      <w:r>
        <w:rPr>
          <w:rFonts w:ascii="Times New Roman" w:cs="Times New Roman" w:eastAsia="Times New Roman" w:hAnsi="Times New Roman"/>
          <w:b/>
          <w:bCs/>
          <w:color w:val="2E75B6"/>
          <w:sz w:val="26"/>
          <w:szCs w:val="26"/>
        </w:rPr>
        <w:t xml:space="preserve">4.2. Kết quả trên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2"/>
                <w:szCs w:val="22"/>
              </w:rPr>
              <w:t xml:space="preserve">Độ đo</w:t>
            </w:r>
          </w:p>
        </w:tc>
        <w:tc>
          <w:tcPr>
            <w:tcW w:type="dxa" w:w="35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2"/>
                <w:szCs w:val="22"/>
              </w:rPr>
              <w:t xml:space="preserve">Dense MLP</w:t>
            </w:r>
          </w:p>
        </w:tc>
        <w:tc>
          <w:tcPr>
            <w:tcW w:type="dxa" w:w="35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2"/>
                <w:szCs w:val="22"/>
              </w:rPr>
              <w:t xml:space="preserve">Sparse MLP (λ=10⁻⁴)</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2"/>
                <w:szCs w:val="22"/>
              </w:rPr>
              <w:t xml:space="preserve">MSE</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1A1A1A"/>
                <w:sz w:val="22"/>
                <w:szCs w:val="22"/>
              </w:rPr>
              <w:t xml:space="preserve">0.003180</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color w:val="1B7A3D"/>
                <w:sz w:val="22"/>
                <w:szCs w:val="22"/>
              </w:rPr>
              <w:t xml:space="preserve">0.003135</w:t>
            </w:r>
          </w:p>
        </w:tc>
      </w:tr>
      <w:tr>
        <w:tc>
          <w:tcPr>
            <w:tcW w:type="dxa" w:w="22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2"/>
                <w:szCs w:val="22"/>
              </w:rPr>
              <w:t xml:space="preserve">RMSE</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1A1A1A"/>
                <w:sz w:val="22"/>
                <w:szCs w:val="22"/>
              </w:rPr>
              <w:t xml:space="preserve">0.056396</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color w:val="1B7A3D"/>
                <w:sz w:val="22"/>
                <w:szCs w:val="22"/>
              </w:rPr>
              <w:t xml:space="preserve">0.055995</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2"/>
                <w:szCs w:val="22"/>
              </w:rPr>
              <w:t xml:space="preserve">IC</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C0392B"/>
                <w:sz w:val="22"/>
                <w:szCs w:val="22"/>
              </w:rPr>
              <w:t xml:space="preserve">-0.0088</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color w:val="1B7A3D"/>
                <w:sz w:val="22"/>
                <w:szCs w:val="22"/>
              </w:rPr>
              <w:t xml:space="preserve">0.0390</w:t>
            </w:r>
          </w:p>
        </w:tc>
      </w:tr>
      <w:tr>
        <w:tc>
          <w:tcPr>
            <w:tcW w:type="dxa" w:w="22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2"/>
                <w:szCs w:val="22"/>
              </w:rPr>
              <w:t xml:space="preserve">Sparsity</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color w:val="1A1A1A"/>
                <w:sz w:val="22"/>
                <w:szCs w:val="22"/>
              </w:rPr>
              <w:t xml:space="preserve">0.1%</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color w:val="1B7A3D"/>
                <w:sz w:val="22"/>
                <w:szCs w:val="22"/>
              </w:rPr>
              <w:t xml:space="preserve">87.7%</w:t>
            </w:r>
          </w:p>
        </w:tc>
      </w:tr>
    </w:tbl>
    <w:p>
      <w:pPr>
        <w:spacing w:after="100" w:line="300"/>
        <w:jc w:val="center"/>
      </w:pPr>
      <w:r>
        <w:rPr>
          <w:rFonts w:ascii="Times New Roman" w:cs="Times New Roman" w:eastAsia="Times New Roman" w:hAnsi="Times New Roman"/>
          <w:i/>
          <w:iCs/>
          <w:color w:val="666666"/>
          <w:sz w:val="20"/>
          <w:szCs w:val="20"/>
        </w:rPr>
        <w:t xml:space="preserve">Bảng 1: So sánh kết quả trên Test Set (2022–2023)</w:t>
      </w:r>
    </w:p>
    <w:p>
      <w:pPr>
        <w:spacing w:after="60"/>
      </w:pPr>
    </w:p>
    <w:p>
      <w:pPr>
        <w:pStyle w:val="Heading2"/>
        <w:spacing w:before="300" w:after="160"/>
      </w:pPr>
      <w:r>
        <w:rPr>
          <w:rFonts w:ascii="Times New Roman" w:cs="Times New Roman" w:eastAsia="Times New Roman" w:hAnsi="Times New Roman"/>
          <w:b/>
          <w:bCs/>
          <w:color w:val="2E75B6"/>
          <w:sz w:val="26"/>
          <w:szCs w:val="26"/>
        </w:rPr>
        <w:t xml:space="preserve">4.3. Phân tích chi tiết</w:t>
      </w:r>
    </w:p>
    <w:p>
      <w:pPr>
        <w:spacing w:before="200" w:after="120"/>
      </w:pPr>
      <w:r>
        <w:rPr>
          <w:rFonts w:ascii="Times New Roman" w:cs="Times New Roman" w:eastAsia="Times New Roman" w:hAnsi="Times New Roman"/>
          <w:b/>
          <w:bCs/>
          <w:i/>
          <w:iCs/>
          <w:color w:val="1A1A1A"/>
          <w:sz w:val="24"/>
          <w:szCs w:val="24"/>
        </w:rPr>
        <w:t xml:space="preserve">4.3.1. Về độ chính xác</w:t>
      </w:r>
    </w:p>
    <w:p>
      <w:pPr>
        <w:spacing w:after="100" w:line="300"/>
        <w:ind w:firstLine="400"/>
        <w:jc w:val="both"/>
      </w:pPr>
      <w:r>
        <w:rPr>
          <w:rFonts w:ascii="Times New Roman" w:cs="Times New Roman" w:eastAsia="Times New Roman" w:hAnsi="Times New Roman"/>
          <w:color w:val="1A1A1A"/>
          <w:sz w:val="24"/>
          <w:szCs w:val="24"/>
        </w:rPr>
        <w:t xml:space="preserve">Sparse MLP đạt MSE thấp hơn Dense MLP (0.003135 vs 0.003180, giảm 1.4%). Dù không chênh lệch lớn, điều này chứng minh việc loại bỏ 88% weights không làm giảm chất lượng dự đoán. L1 Regularization hoạt động như một cơ chế chống overfitting tự nhiên.</w:t>
      </w:r>
    </w:p>
    <w:p>
      <w:pPr>
        <w:spacing w:before="200" w:after="120"/>
      </w:pPr>
      <w:r>
        <w:rPr>
          <w:rFonts w:ascii="Times New Roman" w:cs="Times New Roman" w:eastAsia="Times New Roman" w:hAnsi="Times New Roman"/>
          <w:b/>
          <w:bCs/>
          <w:i/>
          <w:iCs/>
          <w:color w:val="1A1A1A"/>
          <w:sz w:val="24"/>
          <w:szCs w:val="24"/>
        </w:rPr>
        <w:t xml:space="preserve">4.3.2. Về chất lượng tín hiệu alpha</w:t>
      </w:r>
    </w:p>
    <w:p>
      <w:pPr>
        <w:spacing w:after="100" w:line="300"/>
        <w:ind w:firstLine="400"/>
        <w:jc w:val="both"/>
      </w:pPr>
      <w:r>
        <w:rPr>
          <w:rFonts w:ascii="Times New Roman" w:cs="Times New Roman" w:eastAsia="Times New Roman" w:hAnsi="Times New Roman"/>
          <w:color w:val="1A1A1A"/>
          <w:sz w:val="24"/>
          <w:szCs w:val="24"/>
        </w:rPr>
        <w:t xml:space="preserve">Đây là khác biệt quan trọng nhất. Dense MLP có IC = -0.0088, gần như random, không có giá trị giao dịch. Sparse MLP đạt IC = 0.039, một giá trị có ý nghĩa trong quant trading. Sự cải thiện này xuất phát từ việc L1 loại bỏ noise features, giúp mô hình tập trung vào tín hiệu thực.</w:t>
      </w:r>
    </w:p>
    <w:p>
      <w:pPr>
        <w:spacing w:before="200" w:after="120"/>
      </w:pPr>
      <w:r>
        <w:rPr>
          <w:rFonts w:ascii="Times New Roman" w:cs="Times New Roman" w:eastAsia="Times New Roman" w:hAnsi="Times New Roman"/>
          <w:b/>
          <w:bCs/>
          <w:i/>
          <w:iCs/>
          <w:color w:val="1A1A1A"/>
          <w:sz w:val="24"/>
          <w:szCs w:val="24"/>
        </w:rPr>
        <w:t xml:space="preserve">4.3.3. Về Interpretability</w:t>
      </w:r>
    </w:p>
    <w:p>
      <w:pPr>
        <w:spacing w:after="100" w:line="300"/>
        <w:ind w:firstLine="400"/>
        <w:jc w:val="both"/>
      </w:pPr>
      <w:r>
        <w:rPr>
          <w:rFonts w:ascii="Times New Roman" w:cs="Times New Roman" w:eastAsia="Times New Roman" w:hAnsi="Times New Roman"/>
          <w:color w:val="1A1A1A"/>
          <w:sz w:val="24"/>
          <w:szCs w:val="24"/>
        </w:rPr>
        <w:t xml:space="preserve">Phân tích feature importance từ weights của lớp đầu tiên cho thấy: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STT</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Feature</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Importance</w:t>
            </w:r>
          </w:p>
        </w:tc>
        <w:tc>
          <w:tcPr>
            <w:tcW w:type="dxa" w:w="4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Ý nghĩa tài chính</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1</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0"/>
                <w:szCs w:val="20"/>
              </w:rPr>
              <w:t xml:space="preserve">upper_shadow</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0.0220</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Bóng trên nến — áp lực bán từ trên</w:t>
            </w:r>
          </w:p>
        </w:tc>
      </w:tr>
      <w:tr>
        <w:tc>
          <w:tcPr>
            <w:tcW w:type="dxa" w:w="6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2</w:t>
            </w:r>
          </w:p>
        </w:tc>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0"/>
                <w:szCs w:val="20"/>
              </w:rPr>
              <w:t xml:space="preserve">lower_shadow</w:t>
            </w:r>
          </w:p>
        </w:tc>
        <w:tc>
          <w:tcPr>
            <w:tcW w:type="dxa" w:w="18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0.0219</w:t>
            </w:r>
          </w:p>
        </w:tc>
        <w:tc>
          <w:tcPr>
            <w:tcW w:type="dxa" w:w="456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Bóng dưới nến — lực mua đỡ giá</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3</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0"/>
                <w:szCs w:val="20"/>
              </w:rPr>
              <w:t xml:space="preserve">willr_14</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0.0199</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Williams %R — trạng thái quá mua/bán</w:t>
            </w:r>
          </w:p>
        </w:tc>
      </w:tr>
      <w:tr>
        <w:tc>
          <w:tcPr>
            <w:tcW w:type="dxa" w:w="6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4</w:t>
            </w:r>
          </w:p>
        </w:tc>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0"/>
                <w:szCs w:val="20"/>
              </w:rPr>
              <w:t xml:space="preserve">atr_ratio</w:t>
            </w:r>
          </w:p>
        </w:tc>
        <w:tc>
          <w:tcPr>
            <w:tcW w:type="dxa" w:w="18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0.0195</w:t>
            </w:r>
          </w:p>
        </w:tc>
        <w:tc>
          <w:tcPr>
            <w:tcW w:type="dxa" w:w="456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ATR Ratio — mức biến động tương đối</w:t>
            </w:r>
          </w:p>
        </w:tc>
      </w:tr>
      <w:tr>
        <w:tc>
          <w:tcPr>
            <w:tcW w:type="dxa" w:w="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5</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bCs/>
                <w:color w:val="1A1A1A"/>
                <w:sz w:val="20"/>
                <w:szCs w:val="20"/>
              </w:rPr>
              <w:t xml:space="preserve">stoch_d</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0.0182</w:t>
            </w:r>
          </w:p>
        </w:tc>
        <w:tc>
          <w:tcPr>
            <w:tcW w:type="dxa" w:w="4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1A1A1A"/>
                <w:sz w:val="20"/>
                <w:szCs w:val="20"/>
              </w:rPr>
              <w:t xml:space="preserve">Stochastic %D — tín hiệu dao động</w:t>
            </w:r>
          </w:p>
        </w:tc>
      </w:tr>
    </w:tbl>
    <w:p>
      <w:pPr>
        <w:spacing w:after="100" w:line="300"/>
        <w:jc w:val="center"/>
      </w:pPr>
      <w:r>
        <w:rPr>
          <w:rFonts w:ascii="Times New Roman" w:cs="Times New Roman" w:eastAsia="Times New Roman" w:hAnsi="Times New Roman"/>
          <w:i/>
          <w:iCs/>
          <w:color w:val="666666"/>
          <w:sz w:val="20"/>
          <w:szCs w:val="20"/>
        </w:rPr>
        <w:t xml:space="preserve">Bảng 2: Top 5 features quan trọng nhất của Sparse MLP</w:t>
      </w:r>
    </w:p>
    <w:p>
      <w:pPr>
        <w:spacing w:after="60"/>
      </w:pPr>
    </w:p>
    <w:p>
      <w:pPr>
        <w:spacing w:after="100" w:line="300"/>
        <w:ind w:firstLine="400"/>
        <w:jc w:val="both"/>
      </w:pPr>
      <w:r>
        <w:rPr>
          <w:rFonts w:ascii="Times New Roman" w:cs="Times New Roman" w:eastAsia="Times New Roman" w:hAnsi="Times New Roman"/>
          <w:color w:val="1A1A1A"/>
          <w:sz w:val="24"/>
          <w:szCs w:val="24"/>
        </w:rPr>
        <w:t xml:space="preserve">Kết quả cho thấy mô hình dựa chủ yếu vào 2 nhóm: (1) hành vi giá trong ngày (candlestick shadows) và (2) các oscillators đo trạng thái quá mua/bán. Điều này phù hợp với đặc thù thị trường Việt Nam, nơi đa số là nhà đầu tư cá nhân giao dịch ngắn hạn dựa trên phân tích kỹ thuật.</w:t>
      </w:r>
    </w:p>
    <w:p>
      <w:pPr>
        <w:spacing w:before="200" w:after="120"/>
      </w:pPr>
      <w:r>
        <w:rPr>
          <w:rFonts w:ascii="Times New Roman" w:cs="Times New Roman" w:eastAsia="Times New Roman" w:hAnsi="Times New Roman"/>
          <w:b/>
          <w:bCs/>
          <w:i/>
          <w:iCs/>
          <w:color w:val="1A1A1A"/>
          <w:sz w:val="24"/>
          <w:szCs w:val="24"/>
        </w:rPr>
        <w:t xml:space="preserve">4.3.4. Weight Heatmap</w:t>
      </w:r>
    </w:p>
    <w:p>
      <w:pPr>
        <w:spacing w:after="100" w:line="300"/>
        <w:ind w:firstLine="400"/>
        <w:jc w:val="both"/>
      </w:pPr>
      <w:r>
        <w:rPr>
          <w:rFonts w:ascii="Times New Roman" w:cs="Times New Roman" w:eastAsia="Times New Roman" w:hAnsi="Times New Roman"/>
          <w:color w:val="1A1A1A"/>
          <w:sz w:val="24"/>
          <w:szCs w:val="24"/>
        </w:rPr>
        <w:t xml:space="preserve">Trực quan hóa ma trận weights cho thấy sự khác biệt rõ ràng: Dense MLP có weights phân bố đều (heatmap đỏ rực), không phân biệt được feature nào quan trọng. Sparse MLP có heatmap gần như trắng toàn bộ, chỉ vài điểm sáng tại các features quan trọng. Phân phối weights của Sparse MLP có spike cực lớn tại 0 (count ~4000), xác nhận L1 đã đẩy thành công ~88% weights về 0.</w:t>
      </w:r>
    </w:p>
    <w:p>
      <w:pPr>
        <w:pStyle w:val="Heading2"/>
        <w:spacing w:before="300" w:after="160"/>
      </w:pPr>
      <w:r>
        <w:rPr>
          <w:rFonts w:ascii="Times New Roman" w:cs="Times New Roman" w:eastAsia="Times New Roman" w:hAnsi="Times New Roman"/>
          <w:b/>
          <w:bCs/>
          <w:color w:val="2E75B6"/>
          <w:sz w:val="26"/>
          <w:szCs w:val="26"/>
        </w:rPr>
        <w:t xml:space="preserve">4.4. Web Application</w:t>
      </w:r>
    </w:p>
    <w:p>
      <w:pPr>
        <w:spacing w:after="100" w:line="300"/>
        <w:ind w:firstLine="400"/>
        <w:jc w:val="both"/>
      </w:pPr>
      <w:r>
        <w:rPr>
          <w:rFonts w:ascii="Times New Roman" w:cs="Times New Roman" w:eastAsia="Times New Roman" w:hAnsi="Times New Roman"/>
          <w:color w:val="1A1A1A"/>
          <w:sz w:val="24"/>
          <w:szCs w:val="24"/>
        </w:rPr>
        <w:t xml:space="preserve">Chúng tôi xây dựng web application bằng Streamlit với 4 chức năng: (1) Dashboard hiển thị kết quả so sánh; (2) Dự đoán: chọn mã cổ phiếu → dự đoán return 5 ngày kèm giải thích; (3) Backtest: so sánh dự đoán vs thực tế trên dữ liệu quá khứ với bảng chi tiết đúng/sai và biểu đồ lợi nhuận tích lũy; (4) Phân tích Weights: weight heatmap và phân phối interactive.</w:t>
      </w:r>
    </w:p>
    <w:p>
      <w:pPr>
        <w:pStyle w:val="Heading2"/>
        <w:spacing w:before="300" w:after="160"/>
      </w:pPr>
      <w:r>
        <w:rPr>
          <w:rFonts w:ascii="Times New Roman" w:cs="Times New Roman" w:eastAsia="Times New Roman" w:hAnsi="Times New Roman"/>
          <w:b/>
          <w:bCs/>
          <w:color w:val="2E75B6"/>
          <w:sz w:val="26"/>
          <w:szCs w:val="26"/>
        </w:rPr>
        <w:t xml:space="preserve">4.5. Thảo luận</w:t>
      </w:r>
    </w:p>
    <w:p>
      <w:pPr>
        <w:spacing w:before="200" w:after="120"/>
      </w:pPr>
      <w:r>
        <w:rPr>
          <w:rFonts w:ascii="Times New Roman" w:cs="Times New Roman" w:eastAsia="Times New Roman" w:hAnsi="Times New Roman"/>
          <w:b/>
          <w:bCs/>
          <w:i/>
          <w:iCs/>
          <w:color w:val="1A1A1A"/>
          <w:sz w:val="24"/>
          <w:szCs w:val="24"/>
        </w:rPr>
        <w:t xml:space="preserve">Hạn chế</w:t>
      </w:r>
    </w:p>
    <w:p>
      <w:pPr>
        <w:spacing w:after="100" w:line="300"/>
        <w:ind w:firstLine="400"/>
        <w:jc w:val="both"/>
      </w:pPr>
      <w:r>
        <w:rPr>
          <w:rFonts w:ascii="Times New Roman" w:cs="Times New Roman" w:eastAsia="Times New Roman" w:hAnsi="Times New Roman"/>
          <w:color w:val="1A1A1A"/>
          <w:sz w:val="24"/>
          <w:szCs w:val="24"/>
        </w:rPr>
        <w:t xml:space="preserve">Mô hình MLP không bắt được temporal dependencies (quan hệ thời gian giữa các ngày). IC = 0.039 tuy có ý nghĩa nhưng vẫn còn thấp. Dữ liệu chỉ gồm giá và volume, chưa có thông tin từ tin tức, vĩ mô.</w:t>
      </w:r>
    </w:p>
    <w:p>
      <w:pPr>
        <w:spacing w:before="200" w:after="120"/>
      </w:pPr>
      <w:r>
        <w:rPr>
          <w:rFonts w:ascii="Times New Roman" w:cs="Times New Roman" w:eastAsia="Times New Roman" w:hAnsi="Times New Roman"/>
          <w:b/>
          <w:bCs/>
          <w:i/>
          <w:iCs/>
          <w:color w:val="1A1A1A"/>
          <w:sz w:val="24"/>
          <w:szCs w:val="24"/>
        </w:rPr>
        <w:t xml:space="preserve">Điểm mạnh</w:t>
      </w:r>
    </w:p>
    <w:p>
      <w:pPr>
        <w:spacing w:after="100" w:line="300"/>
        <w:ind w:firstLine="400"/>
        <w:jc w:val="both"/>
      </w:pPr>
      <w:r>
        <w:rPr>
          <w:rFonts w:ascii="Times New Roman" w:cs="Times New Roman" w:eastAsia="Times New Roman" w:hAnsi="Times New Roman"/>
          <w:color w:val="1A1A1A"/>
          <w:sz w:val="24"/>
          <w:szCs w:val="24"/>
        </w:rPr>
        <w:t xml:space="preserve">Phương pháp đơn giản nhưng hiệu quả: Sparse MLP vượt Dense MLP ở mọi độ đo. Khả năng giải thích tốt: xác định được features nào quan trọng và giải thích được ý nghĩa tài chính. Dễ triển khai: chỉ cần thêm L1 vào hàm loss, không cần thay đổi kiến trúc.</w:t>
      </w:r>
    </w:p>
    <w:p>
      <w:r>
        <w:br w:type="page"/>
      </w:r>
    </w:p>
    <w:p>
      <w:pPr>
        <w:pStyle w:val="Heading1"/>
        <w:spacing w:before="400" w:after="200"/>
        <w:jc w:val="left"/>
      </w:pPr>
      <w:r>
        <w:rPr>
          <w:rFonts w:ascii="Times New Roman" w:cs="Times New Roman" w:eastAsia="Times New Roman" w:hAnsi="Times New Roman"/>
          <w:b/>
          <w:bCs/>
          <w:color w:val="1F4E79"/>
          <w:sz w:val="28"/>
          <w:szCs w:val="28"/>
        </w:rPr>
        <w:t xml:space="preserve">5. Kết luận</w:t>
      </w:r>
    </w:p>
    <w:p>
      <w:pPr>
        <w:spacing w:after="100" w:line="300"/>
        <w:ind w:firstLine="400"/>
        <w:jc w:val="both"/>
      </w:pPr>
      <w:r>
        <w:rPr>
          <w:rFonts w:ascii="Times New Roman" w:cs="Times New Roman" w:eastAsia="Times New Roman" w:hAnsi="Times New Roman"/>
          <w:color w:val="1A1A1A"/>
          <w:sz w:val="24"/>
          <w:szCs w:val="24"/>
        </w:rPr>
        <w:t xml:space="preserve">Nghiên cứu này đã đề xuất và đánh giá thành công mô hình Sparse MLP với L1 Regularization cho bài toán dự đoán và giải thích tín hiệu alpha trên thị trường VN30. Kết quả chính bao gồm:</w:t>
      </w:r>
    </w:p>
    <w:p>
      <w:pPr>
        <w:spacing w:after="100" w:line="300"/>
        <w:jc w:val="both"/>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color w:val="1A1A1A"/>
          <w:sz w:val="24"/>
          <w:szCs w:val="24"/>
        </w:rPr>
        <w:t xml:space="preserve">Sparse MLP đạt hiệu suất tốt hơn Dense MLP: MSE giảm 1.4%, IC tăng từ -0.009 lên 0.039.</w:t>
      </w:r>
    </w:p>
    <w:p>
      <w:pPr>
        <w:spacing w:after="100" w:line="300"/>
        <w:jc w:val="both"/>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color w:val="1A1A1A"/>
          <w:sz w:val="24"/>
          <w:szCs w:val="24"/>
        </w:rPr>
        <w:t xml:space="preserve">Sparsity Ratio đạt 87.7%, loại bỏ gần 90% weights không cần thiết.</w:t>
      </w:r>
    </w:p>
    <w:p>
      <w:pPr>
        <w:spacing w:after="100" w:line="300"/>
        <w:jc w:val="both"/>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color w:val="1A1A1A"/>
          <w:sz w:val="24"/>
          <w:szCs w:val="24"/>
        </w:rPr>
        <w:t xml:space="preserve">Xác định được top features quan trọng (candlestick shadows, oscillators) và giải thích được ý nghĩa tài chính.</w:t>
      </w:r>
    </w:p>
    <w:p>
      <w:pPr>
        <w:spacing w:after="100" w:line="300"/>
        <w:jc w:val="both"/>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color w:val="1A1A1A"/>
          <w:sz w:val="24"/>
          <w:szCs w:val="24"/>
        </w:rPr>
        <w:t xml:space="preserve">Xây dựng web application hoàn chỉnh cho việc demo, dự đoán, và backtest.</w:t>
      </w:r>
    </w:p>
    <w:p>
      <w:pPr>
        <w:spacing w:after="100" w:line="300"/>
        <w:ind w:firstLine="400"/>
        <w:jc w:val="both"/>
      </w:pPr>
      <w:r>
        <w:rPr>
          <w:rFonts w:ascii="Times New Roman" w:cs="Times New Roman" w:eastAsia="Times New Roman" w:hAnsi="Times New Roman"/>
          <w:color w:val="1A1A1A"/>
          <w:sz w:val="24"/>
          <w:szCs w:val="24"/>
        </w:rPr>
        <w:t xml:space="preserve">Hướng phát triển tương lai bao gồm: sử dụng Sparse Attention Transformer để bắt temporal dependencies, áp dụng L0 Regularization để sparse triệt để hơn, tích hợp dữ liệu NLP sentiment từ tin tức tiếng Việt, và mở rộng thử nghiệm sang các thị trường khác.</w:t>
      </w:r>
    </w:p>
    <w:p>
      <w:pPr>
        <w:spacing w:after="60"/>
      </w:pPr>
    </w:p>
    <w:p>
      <w:pPr>
        <w:pStyle w:val="Heading1"/>
        <w:spacing w:before="400" w:after="200"/>
        <w:jc w:val="left"/>
      </w:pPr>
      <w:r>
        <w:rPr>
          <w:rFonts w:ascii="Times New Roman" w:cs="Times New Roman" w:eastAsia="Times New Roman" w:hAnsi="Times New Roman"/>
          <w:b/>
          <w:bCs/>
          <w:color w:val="1F4E79"/>
          <w:sz w:val="28"/>
          <w:szCs w:val="28"/>
        </w:rPr>
        <w:t xml:space="preserve">Khai báo dữ liệu</w:t>
      </w:r>
    </w:p>
    <w:p>
      <w:pPr>
        <w:spacing w:after="100" w:line="300"/>
        <w:ind w:firstLine="400"/>
        <w:jc w:val="both"/>
      </w:pPr>
      <w:r>
        <w:rPr>
          <w:rFonts w:ascii="Times New Roman" w:cs="Times New Roman" w:eastAsia="Times New Roman" w:hAnsi="Times New Roman"/>
          <w:color w:val="1A1A1A"/>
          <w:sz w:val="24"/>
          <w:szCs w:val="24"/>
        </w:rPr>
        <w:t xml:space="preserve">Dữ liệu sử dụng trong nghiên cứu này được lấy từ dataset công khai “Stock Prices &amp; Volume VN30 Index Vietnam” trên nền tảng Kaggle (https://www.kaggle.com/datasets/thangtranquang/stock-vn30-vietnam). Dữ liệu bao gồm giá OHLCV hàng ngày của 30 cổ phiếu VN30 từ 01/01/2013 đến 30/06/2023. Dữ liệu được sử dụng cho mục đích nghiên cứu và giáo dục. Mã nguồn của project sẽ được cung cấp kèm theo báo cáo.</w:t>
      </w:r>
    </w:p>
    <w:p>
      <w:r>
        <w:br w:type="page"/>
      </w:r>
    </w:p>
    <w:p>
      <w:pPr>
        <w:pStyle w:val="Heading1"/>
        <w:spacing w:before="400" w:after="200"/>
        <w:jc w:val="left"/>
      </w:pPr>
      <w:r>
        <w:rPr>
          <w:rFonts w:ascii="Times New Roman" w:cs="Times New Roman" w:eastAsia="Times New Roman" w:hAnsi="Times New Roman"/>
          <w:b/>
          <w:bCs/>
          <w:color w:val="1F4E79"/>
          <w:sz w:val="28"/>
          <w:szCs w:val="28"/>
        </w:rPr>
        <w:t xml:space="preserve">Tài liệu tham khảo</w:t>
      </w:r>
    </w:p>
    <w:p>
      <w:pPr>
        <w:spacing w:after="60" w:line="280"/>
        <w:ind w:left="400" w:hanging="400"/>
      </w:pPr>
      <w:r>
        <w:rPr>
          <w:rFonts w:ascii="Times New Roman" w:cs="Times New Roman" w:eastAsia="Times New Roman" w:hAnsi="Times New Roman"/>
          <w:color w:val="1A1A1A"/>
          <w:sz w:val="20"/>
          <w:szCs w:val="20"/>
        </w:rPr>
        <w:t xml:space="preserve">[1] Dao, T.M. et al., “Forecasting the VN30 Index: Insights into Vietnam’s Stock Market Trends,” Crimson Publishers, 2024.</w:t>
      </w:r>
    </w:p>
    <w:p>
      <w:pPr>
        <w:spacing w:after="60" w:line="280"/>
        <w:ind w:left="400" w:hanging="400"/>
      </w:pPr>
      <w:r>
        <w:rPr>
          <w:rFonts w:ascii="Times New Roman" w:cs="Times New Roman" w:eastAsia="Times New Roman" w:hAnsi="Times New Roman"/>
          <w:color w:val="1A1A1A"/>
          <w:sz w:val="20"/>
          <w:szCs w:val="20"/>
        </w:rPr>
        <w:t xml:space="preserve">[2] Yang, Y. et al., “Research on Deep Learning-Based Quantitative Trading Models,” Springer, CFBA 2025.</w:t>
      </w:r>
    </w:p>
    <w:p>
      <w:pPr>
        <w:spacing w:after="60" w:line="280"/>
        <w:ind w:left="400" w:hanging="400"/>
      </w:pPr>
      <w:r>
        <w:rPr>
          <w:rFonts w:ascii="Times New Roman" w:cs="Times New Roman" w:eastAsia="Times New Roman" w:hAnsi="Times New Roman"/>
          <w:color w:val="1A1A1A"/>
          <w:sz w:val="20"/>
          <w:szCs w:val="20"/>
        </w:rPr>
        <w:t xml:space="preserve">[3] Salehpour, A. et al., “Deep learning for algorithmic trading: A systematic review,” ScienceDirect, 2025.</w:t>
      </w:r>
    </w:p>
    <w:p>
      <w:pPr>
        <w:spacing w:after="60" w:line="280"/>
        <w:ind w:left="400" w:hanging="400"/>
      </w:pPr>
      <w:r>
        <w:rPr>
          <w:rFonts w:ascii="Times New Roman" w:cs="Times New Roman" w:eastAsia="Times New Roman" w:hAnsi="Times New Roman"/>
          <w:color w:val="1A1A1A"/>
          <w:sz w:val="20"/>
          <w:szCs w:val="20"/>
        </w:rPr>
        <w:t xml:space="preserve">[4] Li, W. et al., “From Deep Learning to LLMs: A survey of AI in Quantitative Investment,” arXiv:2503.21422, 2025.</w:t>
      </w:r>
    </w:p>
    <w:p>
      <w:pPr>
        <w:spacing w:after="60" w:line="280"/>
        <w:ind w:left="400" w:hanging="400"/>
      </w:pPr>
      <w:r>
        <w:rPr>
          <w:rFonts w:ascii="Times New Roman" w:cs="Times New Roman" w:eastAsia="Times New Roman" w:hAnsi="Times New Roman"/>
          <w:color w:val="1A1A1A"/>
          <w:sz w:val="20"/>
          <w:szCs w:val="20"/>
        </w:rPr>
        <w:t xml:space="preserve">[5] Tibshirani, R., “Regression shrinkage and selection via the lasso,” Journal of the Royal Statistical Society, 1996.</w:t>
      </w:r>
    </w:p>
    <w:p>
      <w:pPr>
        <w:spacing w:after="60" w:line="280"/>
        <w:ind w:left="400" w:hanging="400"/>
      </w:pPr>
      <w:r>
        <w:rPr>
          <w:rFonts w:ascii="Times New Roman" w:cs="Times New Roman" w:eastAsia="Times New Roman" w:hAnsi="Times New Roman"/>
          <w:color w:val="1A1A1A"/>
          <w:sz w:val="20"/>
          <w:szCs w:val="20"/>
        </w:rPr>
        <w:t xml:space="preserve">[6] Louizos, C., Welling, M. &amp; Kingma, D.P., “Learning Sparse Neural Networks through L0 Regularization,” ICLR, 2018.</w:t>
      </w:r>
    </w:p>
    <w:p>
      <w:pPr>
        <w:spacing w:after="60" w:line="280"/>
        <w:ind w:left="400" w:hanging="400"/>
      </w:pPr>
      <w:r>
        <w:rPr>
          <w:rFonts w:ascii="Times New Roman" w:cs="Times New Roman" w:eastAsia="Times New Roman" w:hAnsi="Times New Roman"/>
          <w:color w:val="1A1A1A"/>
          <w:sz w:val="20"/>
          <w:szCs w:val="20"/>
        </w:rPr>
        <w:t xml:space="preserve">[7] Lim, B. et al., “Temporal Fusion Transformers for Interpretable Multi-horizon Time Series Forecasting,” International Journal of Forecasting, 2021.</w:t>
      </w:r>
    </w:p>
    <w:p>
      <w:pPr>
        <w:spacing w:after="60" w:line="280"/>
        <w:ind w:left="400" w:hanging="400"/>
      </w:pPr>
      <w:r>
        <w:rPr>
          <w:rFonts w:ascii="Times New Roman" w:cs="Times New Roman" w:eastAsia="Times New Roman" w:hAnsi="Times New Roman"/>
          <w:color w:val="1A1A1A"/>
          <w:sz w:val="20"/>
          <w:szCs w:val="20"/>
        </w:rPr>
        <w:t xml:space="preserve">[8] Frankle, J. &amp; Carlin, M., “The Lottery Ticket Hypothesis: Finding Sparse, Trainable Neural Networks,” ICLR, 2019.</w:t>
      </w:r>
    </w:p>
    <w:p>
      <w:pPr>
        <w:spacing w:after="60" w:line="280"/>
        <w:ind w:left="400" w:hanging="400"/>
      </w:pPr>
      <w:r>
        <w:rPr>
          <w:rFonts w:ascii="Times New Roman" w:cs="Times New Roman" w:eastAsia="Times New Roman" w:hAnsi="Times New Roman"/>
          <w:color w:val="1A1A1A"/>
          <w:sz w:val="20"/>
          <w:szCs w:val="20"/>
        </w:rPr>
        <w:t xml:space="preserve">[9] Increase Alpha, “Performance and Risk of an AI-Driven Trading Framework,” arXiv:2509.16707, 2025.</w:t>
      </w:r>
    </w:p>
    <w:p>
      <w:pPr>
        <w:spacing w:after="60" w:line="280"/>
        <w:ind w:left="400" w:hanging="400"/>
      </w:pPr>
      <w:r>
        <w:rPr>
          <w:rFonts w:ascii="Times New Roman" w:cs="Times New Roman" w:eastAsia="Times New Roman" w:hAnsi="Times New Roman"/>
          <w:color w:val="1A1A1A"/>
          <w:sz w:val="20"/>
          <w:szCs w:val="20"/>
        </w:rPr>
        <w:t xml:space="preserve">[10] AlphaForge, “A Framework to Mine and Dynamically Combine Formulaic Alpha Factors,” arXiv:2406.18394, 2024.</w:t>
      </w:r>
    </w:p>
    <w:p>
      <w:pPr>
        <w:spacing w:after="60" w:line="280"/>
        <w:ind w:left="400" w:hanging="400"/>
      </w:pPr>
      <w:r>
        <w:rPr>
          <w:rFonts w:ascii="Times New Roman" w:cs="Times New Roman" w:eastAsia="Times New Roman" w:hAnsi="Times New Roman"/>
          <w:color w:val="1A1A1A"/>
          <w:sz w:val="20"/>
          <w:szCs w:val="20"/>
        </w:rPr>
        <w:t xml:space="preserve">[11] Kakushadze, Z., “101 Formulaic Alphas,” Wilmott, 2016.</w:t>
      </w:r>
    </w:p>
    <w:p>
      <w:pPr>
        <w:spacing w:after="60" w:line="280"/>
        <w:ind w:left="400" w:hanging="400"/>
      </w:pPr>
      <w:r>
        <w:rPr>
          <w:rFonts w:ascii="Times New Roman" w:cs="Times New Roman" w:eastAsia="Times New Roman" w:hAnsi="Times New Roman"/>
          <w:color w:val="1A1A1A"/>
          <w:sz w:val="20"/>
          <w:szCs w:val="20"/>
        </w:rPr>
        <w:t xml:space="preserve">[12] Yang, X. et al., “Qlib: An AI-oriented Quantitative Investment Platform,” arXiv:2009.11189, Microsoft Research, 2020.</w:t>
      </w:r>
    </w:p>
    <w:p>
      <w:pPr>
        <w:spacing w:after="60" w:line="280"/>
        <w:ind w:left="400" w:hanging="400"/>
      </w:pPr>
      <w:r>
        <w:rPr>
          <w:rFonts w:ascii="Times New Roman" w:cs="Times New Roman" w:eastAsia="Times New Roman" w:hAnsi="Times New Roman"/>
          <w:color w:val="1A1A1A"/>
          <w:sz w:val="20"/>
          <w:szCs w:val="20"/>
        </w:rPr>
        <w:t xml:space="preserve">[13] Grinold, R.C. &amp; Kahn, R.N., “Active Portfolio Management,” McGraw-Hill, 2nd Edition, 1999.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2026-03-09T14:13:56.268Z</dcterms:created>
  <dcterms:modified xsi:type="dcterms:W3CDTF">2026-03-09T14:13:56.269Z</dcterms:modified>
</cp:coreProperties>
</file>

<file path=docProps/custom.xml><?xml version="1.0" encoding="utf-8"?>
<Properties xmlns="http://schemas.openxmlformats.org/officeDocument/2006/custom-properties" xmlns:vt="http://schemas.openxmlformats.org/officeDocument/2006/docPropsVTypes"/>
</file>