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NVIDIA Corporation (NASDAQ: NVDA) Q3 FY2025 Financial Results</w:t>
      </w:r>
    </w:p>
    <w:p>
      <w:r>
        <w:t>SANTA CLARA, Calif. — November 20, 2024 — NVIDIA today reported record revenue for the third quarter ended October 27, 2024, of $35.08 billion, up 94% from a year ago and up 17% sequentially.</w:t>
      </w:r>
    </w:p>
    <w:p>
      <w:pPr>
        <w:pStyle w:val="Heading2"/>
      </w:pPr>
      <w:r>
        <w:t>1. Financial Summary</w:t>
      </w:r>
    </w:p>
    <w:p>
      <w:r>
        <w:rPr>
          <w:b/>
        </w:rPr>
        <w:t xml:space="preserve">GAAP Diluted Earnings Per Share: </w:t>
      </w:r>
      <w:r>
        <w:t>$0.78, up 111% from a year ago.</w:t>
        <w:br/>
      </w:r>
      <w:r>
        <w:rPr>
          <w:b/>
        </w:rPr>
        <w:t xml:space="preserve">Non-GAAP Diluted Earnings Per Share: </w:t>
      </w:r>
      <w:r>
        <w:t>$0.81, up 103% from a year ago.</w:t>
        <w:br/>
      </w:r>
      <w:r>
        <w:rPr>
          <w:b/>
        </w:rPr>
        <w:t xml:space="preserve">GAAP Gross Margin: </w:t>
      </w:r>
      <w:r>
        <w:t>74.6% (vs 74.0% in Q3 FY24).</w:t>
        <w:br/>
      </w:r>
      <w:r>
        <w:rPr>
          <w:b/>
        </w:rPr>
        <w:t xml:space="preserve">Free Cash Flow: </w:t>
      </w:r>
      <w:r>
        <w:t>$16.79 billion (up from $7.04 billion a year ago).</w:t>
        <w:br/>
      </w:r>
    </w:p>
    <w:p>
      <w:pPr>
        <w:pStyle w:val="Heading2"/>
      </w:pPr>
      <w:r>
        <w:t>2. Revenue by Business Segment</w:t>
      </w:r>
    </w:p>
    <w:p>
      <w:r>
        <w:t>• Data Center: Record $30.77 billion, up 112% from a year ago and up 17% sequentially. Driven by demand for Hopper H100 and H200 architecture from cloud service providers (Microsoft Azure, AWS, Google Cloud, Meta).</w:t>
      </w:r>
    </w:p>
    <w:p>
      <w:r>
        <w:t>• Gaming &amp; AI PCs: $3.28 billion, up 15% from a year ago.</w:t>
      </w:r>
    </w:p>
    <w:p>
      <w:r>
        <w:t>• Professional Visualization: $486 million, up 17% from a year ago.</w:t>
      </w:r>
    </w:p>
    <w:p>
      <w:r>
        <w:t>• Automotive &amp; Robotics: $449 million, up 72% from a year ago, driven by self-driving platform adoption.</w:t>
      </w:r>
    </w:p>
    <w:p>
      <w:pPr>
        <w:pStyle w:val="Heading2"/>
      </w:pPr>
      <w:r>
        <w:t>3. Blackwell Architecture Update</w:t>
      </w:r>
    </w:p>
    <w:p>
      <w:r>
        <w:t>NVIDIA completed 13 full-production Blackwell B200 and GB200 NVL72 cluster builds in Q3. Demand for Blackwell is extraordinary, and supply is expected to be constrained for several quarters in fiscal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