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3A62E5" w:rsidRDefault="00D32FCA" w:rsidP="00CF2FF6">
            <w:pPr>
              <w:ind w:firstLine="0"/>
              <w:jc w:val="center"/>
            </w:pPr>
            <w:r w:rsidRPr="003A62E5">
              <w:t>CR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D32FCA" w:rsidP="00CF2FF6">
            <w:pPr>
              <w:ind w:firstLine="0"/>
              <w:jc w:val="center"/>
            </w:pPr>
            <w:r>
              <w:t>3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  <w:bookmarkStart w:id="0" w:name="_GoBack"/>
            <w:bookmarkEnd w:id="0"/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1E444A" w:rsidRDefault="001E444A" w:rsidP="00613B84">
      <w:r>
        <w:t xml:space="preserve">Les bits non utilisés ne doivent pas être pris en compte lors d’une lecture du paquet. Cependant, ils doivent être mis à 0 lors de la création </w:t>
      </w:r>
      <w:r w:rsidR="00E63931">
        <w:t>de celui-ci.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>Une fonction d’initialisation permettant de configurer l’adresse de l’entité,</w:t>
      </w:r>
      <w:r w:rsidR="001E444A">
        <w:t xml:space="preserve"> et</w:t>
      </w:r>
      <w:r w:rsidRPr="00E764D6">
        <w:t xml:space="preserve"> </w:t>
      </w:r>
      <w:r w:rsidR="001E444A">
        <w:t xml:space="preserve">l’utilisation du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98" w:rsidRDefault="00284D98">
      <w:pPr>
        <w:spacing w:after="0" w:line="240" w:lineRule="auto"/>
      </w:pPr>
      <w:r>
        <w:separator/>
      </w:r>
    </w:p>
  </w:endnote>
  <w:endnote w:type="continuationSeparator" w:id="0">
    <w:p w:rsidR="00284D98" w:rsidRDefault="0028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660FC1" w:rsidRPr="00660FC1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284D98">
            <w:fldChar w:fldCharType="begin"/>
          </w:r>
          <w:r w:rsidR="00284D98">
            <w:instrText xml:space="preserve"> NUMPAGES   \* MERGEFORMAT </w:instrText>
          </w:r>
          <w:r w:rsidR="00284D98">
            <w:fldChar w:fldCharType="separate"/>
          </w:r>
          <w:r w:rsidR="00660FC1" w:rsidRPr="00660FC1">
            <w:rPr>
              <w:noProof/>
              <w:szCs w:val="32"/>
            </w:rPr>
            <w:t>3</w:t>
          </w:r>
          <w:r w:rsidR="00284D98">
            <w:rPr>
              <w:noProof/>
              <w:szCs w:val="32"/>
            </w:rPr>
            <w:fldChar w:fldCharType="end"/>
          </w:r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284D98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98" w:rsidRDefault="00284D98">
      <w:pPr>
        <w:spacing w:after="0" w:line="240" w:lineRule="auto"/>
      </w:pPr>
      <w:r>
        <w:separator/>
      </w:r>
    </w:p>
  </w:footnote>
  <w:footnote w:type="continuationSeparator" w:id="0">
    <w:p w:rsidR="00284D98" w:rsidRDefault="00284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284D98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1E444A"/>
    <w:rsid w:val="002218EA"/>
    <w:rsid w:val="002311B7"/>
    <w:rsid w:val="002560D7"/>
    <w:rsid w:val="00261F38"/>
    <w:rsid w:val="002625D6"/>
    <w:rsid w:val="00262616"/>
    <w:rsid w:val="00263C0F"/>
    <w:rsid w:val="00284D98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37ADA"/>
    <w:rsid w:val="00340D7E"/>
    <w:rsid w:val="003445F1"/>
    <w:rsid w:val="00357DA9"/>
    <w:rsid w:val="003646E8"/>
    <w:rsid w:val="003710F5"/>
    <w:rsid w:val="00393241"/>
    <w:rsid w:val="003950E8"/>
    <w:rsid w:val="00395BCA"/>
    <w:rsid w:val="003A62E5"/>
    <w:rsid w:val="003C6B7F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0FC1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34874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32FCA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3931"/>
    <w:rsid w:val="00E665C5"/>
    <w:rsid w:val="00E67040"/>
    <w:rsid w:val="00E764D6"/>
    <w:rsid w:val="00E862E8"/>
    <w:rsid w:val="00EA7A36"/>
    <w:rsid w:val="00EC710A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56A9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635F7D"/>
    <w:rsid w:val="0071578B"/>
    <w:rsid w:val="00747E45"/>
    <w:rsid w:val="00773426"/>
    <w:rsid w:val="0089509B"/>
    <w:rsid w:val="009445C7"/>
    <w:rsid w:val="00A73962"/>
    <w:rsid w:val="00AA1388"/>
    <w:rsid w:val="00BB6B06"/>
    <w:rsid w:val="00C70BC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8661F-EF28-4B59-A66C-F24CBB2F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97</cp:revision>
  <cp:lastPrinted>2013-06-01T00:24:00Z</cp:lastPrinted>
  <dcterms:created xsi:type="dcterms:W3CDTF">2013-05-29T07:02:00Z</dcterms:created>
  <dcterms:modified xsi:type="dcterms:W3CDTF">2013-06-01T00:25:00Z</dcterms:modified>
</cp:coreProperties>
</file>