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FUN Ecosystem</w:t>
        <w:br/>
        <w:t>ERD + Sequence Diagrams</w:t>
      </w:r>
    </w:p>
    <w:p>
      <w:pPr>
        <w:jc w:val="center"/>
      </w:pPr>
      <w:r>
        <w:rPr>
          <w:i/>
          <w:sz w:val="26"/>
        </w:rPr>
        <w:t>Architecture pack for Backend, Frontend, and DevOps</w:t>
      </w:r>
    </w:p>
    <w:p>
      <w:pPr>
        <w:spacing w:after="160"/>
        <w:jc w:val="left"/>
      </w:pPr>
      <w:r>
        <w:t>Scope: data model, core request flow, Zoom/Love House attendance flow, async job flow, and operational handoffs.</w:t>
      </w:r>
    </w:p>
    <w:p>
      <w:pPr>
        <w:spacing w:after="160"/>
        <w:jc w:val="left"/>
      </w:pPr>
      <w:r>
        <w:t>Immutable rules: PPLP = Proof of Pure Love Protocol • No Proof -&gt; No Score • No Score -&gt; No Mint • Mint split = 99% user / 1% platform.</w:t>
      </w:r>
    </w:p>
    <w:p>
      <w:pPr>
        <w:spacing w:after="160"/>
        <w:jc w:val="left"/>
      </w:pPr>
      <w:r>
        <w:t>Design note: Light Score is unbounded upward; it grows with validated value over time rather than capping at a fixed lifetime maximum.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4FB"/>
          </w:tcPr>
          <w:p>
            <w:r>
              <w:rPr>
                <w:sz w:val="21"/>
              </w:rPr>
              <w:t>How to read this pack</w:t>
              <w:br/>
              <w:t>• Backend: own entities, invariants, APIs, and async jobs</w:t>
              <w:br/>
              <w:t>• Frontend: own forms, proof capture, attendance UX, and status surfaces</w:t>
              <w:br/>
              <w:t>• DevOps: own queues, retries, metrics, dashboards, and operational safety rails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1. Entity relationship diagram (ERD)</w:t>
      </w:r>
    </w:p>
    <w:p>
      <w:pPr>
        <w:spacing w:after="160"/>
      </w:pPr>
      <w:r>
        <w:t>The ERD below is the canonical persisted model for the first build. It separates event proof from individual participation proof and keeps mint execution downstream of validation.</w:t>
      </w:r>
    </w:p>
    <w:p>
      <w:r>
        <w:drawing>
          <wp:inline xmlns:a="http://schemas.openxmlformats.org/drawingml/2006/main" xmlns:pic="http://schemas.openxmlformats.org/drawingml/2006/picture">
            <wp:extent cx="8321040" cy="6240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21040" cy="6240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Core backend ERD for actions, proofs, validations, mint records, ledger, and event attendance.</w:t>
      </w:r>
    </w:p>
    <w:p>
      <w:pPr>
        <w:pStyle w:val="Heading2"/>
      </w:pPr>
      <w:r>
        <w:rPr>
          <w:color w:val="1F4E79"/>
        </w:rPr>
        <w:t>ERD implementation notes</w:t>
      </w:r>
    </w:p>
    <w:p>
      <w:pPr>
        <w:pStyle w:val="ListBullet"/>
      </w:pPr>
      <w:r>
        <w:t>user_actions is the transactional center: all scoring and mint records refer back to a single action id.</w:t>
      </w:r>
    </w:p>
    <w:p>
      <w:pPr>
        <w:pStyle w:val="ListBullet"/>
      </w:pPr>
      <w:r>
        <w:t>proofs stores external evidence such as livestream links, recordings, hashes, or on-chain references.</w:t>
      </w:r>
    </w:p>
    <w:p>
      <w:pPr>
        <w:pStyle w:val="ListBullet"/>
      </w:pPr>
      <w:r>
        <w:t>pplp_validations is intentionally separate so scoring logic can evolve without mutating raw action submission data.</w:t>
      </w:r>
    </w:p>
    <w:p>
      <w:pPr>
        <w:pStyle w:val="ListBullet"/>
      </w:pPr>
      <w:r>
        <w:t>mint_records and balance_ledger should be append-only from an audit perspective.</w:t>
      </w:r>
    </w:p>
    <w:p>
      <w:pPr>
        <w:pStyle w:val="ListBullet"/>
      </w:pPr>
      <w:r>
        <w:t>events, event_groups, and group_attendance model the Zoom -&gt; Love House -&gt; User hierarchy for group practice.</w:t>
      </w:r>
    </w:p>
    <w:p>
      <w:pPr>
        <w:pStyle w:val="Heading1"/>
      </w:pPr>
      <w:r>
        <w:rPr>
          <w:color w:val="1F4E79"/>
        </w:rPr>
        <w:t>2. Sequence diagrams</w:t>
      </w:r>
    </w:p>
    <w:p>
      <w:pPr>
        <w:pStyle w:val="Heading2"/>
      </w:pPr>
      <w:r>
        <w:rPr>
          <w:color w:val="1F4E79"/>
        </w:rPr>
        <w:t>2.1 Core action -&gt; proof -&gt; validation -&gt; mint</w:t>
      </w:r>
    </w:p>
    <w:p>
      <w:r>
        <w:t>This is the main happy path for individual action scoring and mint execution.</w:t>
      </w:r>
    </w:p>
    <w:p>
      <w:r>
        <w:drawing>
          <wp:inline xmlns:a="http://schemas.openxmlformats.org/drawingml/2006/main" xmlns:pic="http://schemas.openxmlformats.org/drawingml/2006/picture">
            <wp:extent cx="8275320" cy="50111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c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75320" cy="5011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2.1 Core action -&gt; proof -&gt; validation -&gt; mint</w:t>
      </w:r>
    </w:p>
    <w:p>
      <w:pPr>
        <w:pStyle w:val="Heading2"/>
      </w:pPr>
      <w:r>
        <w:rPr>
          <w:color w:val="1F4E79"/>
        </w:rPr>
        <w:t>2.2 Zoom / Love House / livestream attendance</w:t>
      </w:r>
    </w:p>
    <w:p>
      <w:r>
        <w:t>This sequence prevents a single livestream link from being treated as full individual proof.</w:t>
      </w:r>
    </w:p>
    <w:p>
      <w:r>
        <w:drawing>
          <wp:inline xmlns:a="http://schemas.openxmlformats.org/drawingml/2006/main" xmlns:pic="http://schemas.openxmlformats.org/drawingml/2006/picture">
            <wp:extent cx="8275320" cy="50111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attend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75320" cy="5011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2.2 Zoom / Love House / livestream attendance</w:t>
      </w:r>
    </w:p>
    <w:p>
      <w:pPr>
        <w:pStyle w:val="Heading2"/>
      </w:pPr>
      <w:r>
        <w:rPr>
          <w:color w:val="1F4E79"/>
        </w:rPr>
        <w:t>2.3 Async jobs, manual review, and observability</w:t>
      </w:r>
    </w:p>
    <w:p>
      <w:r>
        <w:t>This sequence shows the operational control plane that DevOps will need from day one.</w:t>
      </w:r>
    </w:p>
    <w:p>
      <w:r>
        <w:drawing>
          <wp:inline xmlns:a="http://schemas.openxmlformats.org/drawingml/2006/main" xmlns:pic="http://schemas.openxmlformats.org/drawingml/2006/picture">
            <wp:extent cx="8275320" cy="43675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asyn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75320" cy="4367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2.3 Async jobs, manual review, and observability</w:t>
      </w:r>
    </w:p>
    <w:p>
      <w:pPr>
        <w:pStyle w:val="Heading1"/>
      </w:pPr>
      <w:r>
        <w:rPr>
          <w:color w:val="1F4E79"/>
        </w:rPr>
        <w:t>3. Cross-team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4"/>
        <w:gridCol w:w="10368"/>
      </w:tblGrid>
      <w:tr>
        <w:tc>
          <w:tcPr>
            <w:tcW w:type="dxa" w:w="5040"/>
            <w:shd w:fill="D9E7F7"/>
          </w:tcPr>
          <w:p>
            <w:r>
              <w:t>Team</w:t>
            </w:r>
          </w:p>
        </w:tc>
        <w:tc>
          <w:tcPr>
            <w:tcW w:type="dxa" w:w="5040"/>
            <w:shd w:fill="D9E7F7"/>
          </w:tcPr>
          <w:p>
            <w:r>
              <w:t>Primary ownership</w:t>
            </w:r>
          </w:p>
        </w:tc>
      </w:tr>
      <w:tr>
        <w:tc>
          <w:tcPr>
            <w:tcW w:type="dxa" w:w="2304"/>
          </w:tcPr>
          <w:p>
            <w:r>
              <w:t>Backend</w:t>
            </w:r>
          </w:p>
        </w:tc>
        <w:tc>
          <w:tcPr>
            <w:tcW w:type="dxa" w:w="10368"/>
          </w:tcPr>
          <w:p>
            <w:r>
              <w:t>Own schemas, invariants, scoring orchestration, validation jobs, mint authorization, ledger writes, and idempotency by action_id.</w:t>
            </w:r>
          </w:p>
        </w:tc>
      </w:tr>
      <w:tr>
        <w:tc>
          <w:tcPr>
            <w:tcW w:type="dxa" w:w="2304"/>
          </w:tcPr>
          <w:p>
            <w:r>
              <w:t>Frontend</w:t>
            </w:r>
          </w:p>
        </w:tc>
        <w:tc>
          <w:tcPr>
            <w:tcW w:type="dxa" w:w="10368"/>
          </w:tcPr>
          <w:p>
            <w:r>
              <w:t>Own action submission UX, proof upload UX, event/group attendance flows, validation status display, and user-facing rationale.</w:t>
            </w:r>
          </w:p>
        </w:tc>
      </w:tr>
      <w:tr>
        <w:tc>
          <w:tcPr>
            <w:tcW w:type="dxa" w:w="2304"/>
          </w:tcPr>
          <w:p>
            <w:r>
              <w:t>DevOps</w:t>
            </w:r>
          </w:p>
        </w:tc>
        <w:tc>
          <w:tcPr>
            <w:tcW w:type="dxa" w:w="10368"/>
          </w:tcPr>
          <w:p>
            <w:r>
              <w:t>Own queue durability, retries, dead-letter handling, worker autoscaling, dashboards, alerting, secrets, and incident runbooks.</w:t>
            </w:r>
          </w:p>
        </w:tc>
      </w:tr>
    </w:tbl>
    <w:p>
      <w:pPr>
        <w:pStyle w:val="Heading1"/>
      </w:pPr>
      <w:r>
        <w:rPr>
          <w:color w:val="1F4E79"/>
        </w:rPr>
        <w:t>4. Build-time invariants</w:t>
      </w:r>
    </w:p>
    <w:p>
      <w:pPr>
        <w:pStyle w:val="ListBullet"/>
      </w:pPr>
      <w:r>
        <w:t>PPLP must always render as “Proof of Pure Love Protocol” in code, docs, and APIs.</w:t>
      </w:r>
    </w:p>
    <w:p>
      <w:pPr>
        <w:pStyle w:val="ListBullet"/>
      </w:pPr>
      <w:r>
        <w:t>No Proof -&gt; No Score. Missing proof should block validation completion.</w:t>
      </w:r>
    </w:p>
    <w:p>
      <w:pPr>
        <w:pStyle w:val="ListBullet"/>
      </w:pPr>
      <w:r>
        <w:t>No Score -&gt; No Mint. Mint Engine only accepts approved validation output.</w:t>
      </w:r>
    </w:p>
    <w:p>
      <w:pPr>
        <w:pStyle w:val="ListBullet"/>
      </w:pPr>
      <w:r>
        <w:t>Every action_id may mint at most once. Enforce idempotency in backend and on-chain execution.</w:t>
      </w:r>
    </w:p>
    <w:p>
      <w:pPr>
        <w:pStyle w:val="ListBullet"/>
      </w:pPr>
      <w:r>
        <w:t>Livestream links prove the event occurred, not that every individual fully participated.</w:t>
      </w:r>
    </w:p>
    <w:p>
      <w:pPr>
        <w:pStyle w:val="ListBullet"/>
      </w:pPr>
      <w:r>
        <w:t>Face or presence detection may be used only as supporting evidence, never as the sole source of truth.</w:t>
      </w:r>
    </w:p>
    <w:p>
      <w:pPr>
        <w:pStyle w:val="Heading1"/>
      </w:pPr>
      <w:r>
        <w:rPr>
          <w:color w:val="1F4E79"/>
        </w:rPr>
        <w:t>5. Suggested monitoring for DevOps</w:t>
      </w:r>
    </w:p>
    <w:p>
      <w:pPr>
        <w:pStyle w:val="ListBullet"/>
      </w:pPr>
      <w:r>
        <w:t>Queue depth by topic: action.submitted, proof.attached, validation.completed, mint.requested, mint.completed.</w:t>
      </w:r>
    </w:p>
    <w:p>
      <w:pPr>
        <w:pStyle w:val="ListBullet"/>
      </w:pPr>
      <w:r>
        <w:t>Worker latency percentiles for validation and mint jobs.</w:t>
      </w:r>
    </w:p>
    <w:p>
      <w:pPr>
        <w:pStyle w:val="ListBullet"/>
      </w:pPr>
      <w:r>
        <w:t>Flag / rejection rate by action type and by event host.</w:t>
      </w:r>
    </w:p>
    <w:p>
      <w:pPr>
        <w:pStyle w:val="ListBullet"/>
      </w:pPr>
      <w:r>
        <w:t>Duplicate proof attempts, duplicate mint attempts, and manual review backlog.</w:t>
      </w:r>
    </w:p>
    <w:p>
      <w:pPr>
        <w:pStyle w:val="ListBullet"/>
      </w:pPr>
      <w:r>
        <w:t>On-chain mint success rate, retry rate, and reconciliation drift between chain and ledger.</w:t>
      </w:r>
    </w:p>
    <w:sectPr w:rsidR="00FC693F" w:rsidRPr="0006063C" w:rsidSect="00034616">
      <w:footerReference w:type="default" r:id="rId13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