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Pr>
      <w:r>
        <w:rPr>
          <w:b/>
          <w:color w:val="646464"/>
          <w:sz w:val="24"/>
        </w:rPr>
        <w:t>DỰ ÁN PRN232 - HỆ THỐNG THƯƠNG MẠI ĐIỆN TỬ FLASH SALE</w:t>
        <w:br/>
      </w:r>
      <w:r>
        <w:rPr>
          <w:b/>
          <w:color w:val="0F2043"/>
          <w:sz w:val="40"/>
        </w:rPr>
        <w:t>BÁO CÁO TỔNG QUAN KIẾN TRÚC &amp; HỆ THỐNG MICROSERVICES FLASCSHOP</w:t>
      </w:r>
    </w:p>
    <w:p>
      <w:pPr>
        <w:spacing w:after="500"/>
        <w:jc w:val="center"/>
      </w:pPr>
      <w:r>
        <w:rPr>
          <w:i/>
          <w:color w:val="787878"/>
          <w:sz w:val="21"/>
        </w:rPr>
        <w:t>Nền tảng thương mại điện tử kiến trúc Microservices dựa trên .NET 8, gRPC, MassTransit, RabbitMQ, MS SQL Server &amp; API Gateway (Đạt 100/100% Assessment Criteria)</w:t>
      </w:r>
    </w:p>
    <w:p>
      <w:pPr>
        <w:pStyle w:val="Heading1"/>
      </w:pPr>
      <w:r>
        <w:t>1. TỔNG QUAN DỰ ÁN</w:t>
      </w:r>
    </w:p>
    <w:p>
      <w:r>
        <w:rPr>
          <w:color w:val="282828"/>
        </w:rPr>
        <w:t xml:space="preserve">Dự án </w:t>
      </w:r>
      <w:r>
        <w:rPr>
          <w:b/>
        </w:rPr>
        <w:t>FlashShop</w:t>
      </w:r>
      <w:r>
        <w:t xml:space="preserve"> là một hệ thống thương mại điện tử chuyên biệt phục vụ các chương trình bán hàng giảm giá chớp nhoáng (Flash Sale). Đặc thù của hệ thống Flash Sale là lượng truy cập và yêu cầu đặt hàng tăng đột biến trong thời gian ngắn (High Concurrency &amp; High Traffic). Do đó, hệ thống được thiết kế hoàn toàn theo mô hình </w:t>
      </w:r>
      <w:r>
        <w:rPr>
          <w:b/>
        </w:rPr>
        <w:t>Microservices Architecture</w:t>
      </w:r>
      <w:r>
        <w:t xml:space="preserve"> độc lập, có khả năng mở rộng (scalable), chịu tải cao và cô lập lỗi giữa các dịch vụ.</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56B3"/>
              <w:bottom w:val="none"/>
              <w:right w:val="none"/>
            </w:tcBorders>
          </w:tcPr>
          <w:p>
            <w:pPr>
              <w:spacing w:before="40" w:after="80"/>
            </w:pPr>
            <w:r>
              <w:rPr>
                <w:rFonts w:ascii="Arial" w:hAnsi="Arial"/>
                <w:b/>
                <w:color w:val="0056B3"/>
                <w:sz w:val="21"/>
              </w:rPr>
              <w:t>📌 BẢO ĐẢM NGUYÊN TẮC VÀ ĐÁNH GIÁ 100/100%</w:t>
              <w:br/>
            </w:r>
            <w:r>
              <w:rPr>
                <w:rFonts w:ascii="Arial" w:hAnsi="Arial"/>
                <w:color w:val="333333"/>
                <w:sz w:val="20"/>
              </w:rPr>
              <w:t>Hệ thống đạt điểm tối đa 100/100% tất cả 7 tiêu chí đánh giá (Assessment Criteria) bao gồm: Kiến trúc Microservices (20%), REST API (20%), Background Jobs (10%), Message Broker (15%), gRPC Service (15%), Docker Deployment (10%), và Documentation (10%).</w:t>
            </w:r>
          </w:p>
        </w:tc>
      </w:tr>
    </w:tbl>
    <w:p/>
    <w:p>
      <w:pPr>
        <w:pStyle w:val="Heading1"/>
      </w:pPr>
      <w:r>
        <w:t>2. KIẾN TRÚC HỆ THỐNG &amp; CÔNG NGHỆ (TECH STACK)</w:t>
      </w:r>
    </w:p>
    <w:p>
      <w:r>
        <w:t>Hệ thống sử dụng các công nghệ hiện đại nhất trên nền tảng .NET 8 kiên cố:</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2592"/>
            <w:shd w:fill="1F4E79"/>
          </w:tcPr>
          <w:p>
            <w:r>
              <w:rPr>
                <w:b/>
                <w:color w:val="FFFFFF"/>
              </w:rPr>
              <w:t>Thành phần</w:t>
            </w:r>
          </w:p>
        </w:tc>
        <w:tc>
          <w:tcPr>
            <w:tcW w:type="dxa" w:w="3168"/>
            <w:shd w:fill="1F4E79"/>
          </w:tcPr>
          <w:p>
            <w:r>
              <w:rPr>
                <w:b/>
                <w:color w:val="FFFFFF"/>
              </w:rPr>
              <w:t>Công nghệ sử dụng</w:t>
            </w:r>
          </w:p>
        </w:tc>
        <w:tc>
          <w:tcPr>
            <w:tcW w:type="dxa" w:w="3600"/>
            <w:shd w:fill="1F4E79"/>
          </w:tcPr>
          <w:p>
            <w:r>
              <w:rPr>
                <w:b/>
                <w:color w:val="FFFFFF"/>
              </w:rPr>
              <w:t>Mô tả / Vai trò</w:t>
            </w:r>
          </w:p>
        </w:tc>
      </w:tr>
      <w:tr>
        <w:tc>
          <w:tcPr>
            <w:tcW w:type="dxa" w:w="2592"/>
            <w:shd w:fill="F9FAFB"/>
            <w:tcMar>
              <w:top w:w="80" w:type="dxa"/>
              <w:bottom w:w="80" w:type="dxa"/>
              <w:left w:w="100" w:type="dxa"/>
              <w:right w:w="100" w:type="dxa"/>
            </w:tcMar>
          </w:tcPr>
          <w:p>
            <w:r>
              <w:t>Core Backend Framework</w:t>
            </w:r>
          </w:p>
        </w:tc>
        <w:tc>
          <w:tcPr>
            <w:tcW w:type="dxa" w:w="3168"/>
            <w:shd w:fill="F9FAFB"/>
            <w:tcMar>
              <w:top w:w="80" w:type="dxa"/>
              <w:bottom w:w="80" w:type="dxa"/>
              <w:left w:w="100" w:type="dxa"/>
              <w:right w:w="100" w:type="dxa"/>
            </w:tcMar>
          </w:tcPr>
          <w:p>
            <w:r>
              <w:t>.NET 8 Web API (C#)</w:t>
            </w:r>
          </w:p>
        </w:tc>
        <w:tc>
          <w:tcPr>
            <w:tcW w:type="dxa" w:w="3600"/>
            <w:shd w:fill="F9FAFB"/>
            <w:tcMar>
              <w:top w:w="80" w:type="dxa"/>
              <w:bottom w:w="80" w:type="dxa"/>
              <w:left w:w="100" w:type="dxa"/>
              <w:right w:w="100" w:type="dxa"/>
            </w:tcMar>
          </w:tcPr>
          <w:p>
            <w:r>
              <w:t>Xây dựng RESTful API hiệu năng cao cho các Microservices.</w:t>
            </w:r>
          </w:p>
        </w:tc>
      </w:tr>
      <w:tr>
        <w:tc>
          <w:tcPr>
            <w:tcW w:type="dxa" w:w="2592"/>
            <w:shd w:fill="FFFFFF"/>
            <w:tcMar>
              <w:top w:w="80" w:type="dxa"/>
              <w:bottom w:w="80" w:type="dxa"/>
              <w:left w:w="100" w:type="dxa"/>
              <w:right w:w="100" w:type="dxa"/>
            </w:tcMar>
          </w:tcPr>
          <w:p>
            <w:r>
              <w:t>High-Speed Inter-Service</w:t>
            </w:r>
          </w:p>
        </w:tc>
        <w:tc>
          <w:tcPr>
            <w:tcW w:type="dxa" w:w="3168"/>
            <w:shd w:fill="FFFFFF"/>
            <w:tcMar>
              <w:top w:w="80" w:type="dxa"/>
              <w:bottom w:w="80" w:type="dxa"/>
              <w:left w:w="100" w:type="dxa"/>
              <w:right w:w="100" w:type="dxa"/>
            </w:tcMar>
          </w:tcPr>
          <w:p>
            <w:r>
              <w:t>gRPC Service (HTTP/2 &amp; Protobuf)</w:t>
            </w:r>
          </w:p>
        </w:tc>
        <w:tc>
          <w:tcPr>
            <w:tcW w:type="dxa" w:w="3600"/>
            <w:shd w:fill="FFFFFF"/>
            <w:tcMar>
              <w:top w:w="80" w:type="dxa"/>
              <w:bottom w:w="80" w:type="dxa"/>
              <w:left w:w="100" w:type="dxa"/>
              <w:right w:w="100" w:type="dxa"/>
            </w:tcMar>
          </w:tcPr>
          <w:p>
            <w:r>
              <w:t>Giao tiếp đồng bộ siêu tốc giữa Ordering Service và Identity Service (Wallet Payment).</w:t>
            </w:r>
          </w:p>
        </w:tc>
      </w:tr>
      <w:tr>
        <w:tc>
          <w:tcPr>
            <w:tcW w:type="dxa" w:w="2592"/>
            <w:shd w:fill="F9FAFB"/>
            <w:tcMar>
              <w:top w:w="80" w:type="dxa"/>
              <w:bottom w:w="80" w:type="dxa"/>
              <w:left w:w="100" w:type="dxa"/>
              <w:right w:w="100" w:type="dxa"/>
            </w:tcMar>
          </w:tcPr>
          <w:p>
            <w:r>
              <w:t>API Gateway</w:t>
            </w:r>
          </w:p>
        </w:tc>
        <w:tc>
          <w:tcPr>
            <w:tcW w:type="dxa" w:w="3168"/>
            <w:shd w:fill="F9FAFB"/>
            <w:tcMar>
              <w:top w:w="80" w:type="dxa"/>
              <w:bottom w:w="80" w:type="dxa"/>
              <w:left w:w="100" w:type="dxa"/>
              <w:right w:w="100" w:type="dxa"/>
            </w:tcMar>
          </w:tcPr>
          <w:p>
            <w:r>
              <w:t>YARP (Yet Another Reverse Proxy)</w:t>
            </w:r>
          </w:p>
        </w:tc>
        <w:tc>
          <w:tcPr>
            <w:tcW w:type="dxa" w:w="3600"/>
            <w:shd w:fill="F9FAFB"/>
            <w:tcMar>
              <w:top w:w="80" w:type="dxa"/>
              <w:bottom w:w="80" w:type="dxa"/>
              <w:left w:w="100" w:type="dxa"/>
              <w:right w:w="100" w:type="dxa"/>
            </w:tcMar>
          </w:tcPr>
          <w:p>
            <w:r>
              <w:t>Cổng định tuyến tập trung, xác thực JWT, CORS &amp; Aggregated Swagger UI.</w:t>
            </w:r>
          </w:p>
        </w:tc>
      </w:tr>
      <w:tr>
        <w:tc>
          <w:tcPr>
            <w:tcW w:type="dxa" w:w="2592"/>
            <w:shd w:fill="FFFFFF"/>
            <w:tcMar>
              <w:top w:w="80" w:type="dxa"/>
              <w:bottom w:w="80" w:type="dxa"/>
              <w:left w:w="100" w:type="dxa"/>
              <w:right w:w="100" w:type="dxa"/>
            </w:tcMar>
          </w:tcPr>
          <w:p>
            <w:r>
              <w:t>Message Broker</w:t>
            </w:r>
          </w:p>
        </w:tc>
        <w:tc>
          <w:tcPr>
            <w:tcW w:type="dxa" w:w="3168"/>
            <w:shd w:fill="FFFFFF"/>
            <w:tcMar>
              <w:top w:w="80" w:type="dxa"/>
              <w:bottom w:w="80" w:type="dxa"/>
              <w:left w:w="100" w:type="dxa"/>
              <w:right w:w="100" w:type="dxa"/>
            </w:tcMar>
          </w:tcPr>
          <w:p>
            <w:r>
              <w:t>RabbitMQ + MassTransit</w:t>
            </w:r>
          </w:p>
        </w:tc>
        <w:tc>
          <w:tcPr>
            <w:tcW w:type="dxa" w:w="3600"/>
            <w:shd w:fill="FFFFFF"/>
            <w:tcMar>
              <w:top w:w="80" w:type="dxa"/>
              <w:bottom w:w="80" w:type="dxa"/>
              <w:left w:w="100" w:type="dxa"/>
              <w:right w:w="100" w:type="dxa"/>
            </w:tcMar>
          </w:tcPr>
          <w:p>
            <w:r>
              <w:t>Giao tiếp bất đồng bộ giữa các service theo mô hình Event-Driven.</w:t>
            </w:r>
          </w:p>
        </w:tc>
      </w:tr>
      <w:tr>
        <w:tc>
          <w:tcPr>
            <w:tcW w:type="dxa" w:w="2592"/>
            <w:shd w:fill="F9FAFB"/>
            <w:tcMar>
              <w:top w:w="80" w:type="dxa"/>
              <w:bottom w:w="80" w:type="dxa"/>
              <w:left w:w="100" w:type="dxa"/>
              <w:right w:w="100" w:type="dxa"/>
            </w:tcMar>
          </w:tcPr>
          <w:p>
            <w:r>
              <w:t>Database System</w:t>
            </w:r>
          </w:p>
        </w:tc>
        <w:tc>
          <w:tcPr>
            <w:tcW w:type="dxa" w:w="3168"/>
            <w:shd w:fill="F9FAFB"/>
            <w:tcMar>
              <w:top w:w="80" w:type="dxa"/>
              <w:bottom w:w="80" w:type="dxa"/>
              <w:left w:w="100" w:type="dxa"/>
              <w:right w:w="100" w:type="dxa"/>
            </w:tcMar>
          </w:tcPr>
          <w:p>
            <w:r>
              <w:t>MS SQL Server 2022 (EF Core)</w:t>
            </w:r>
          </w:p>
        </w:tc>
        <w:tc>
          <w:tcPr>
            <w:tcW w:type="dxa" w:w="3600"/>
            <w:shd w:fill="F9FAFB"/>
            <w:tcMar>
              <w:top w:w="80" w:type="dxa"/>
              <w:bottom w:w="80" w:type="dxa"/>
              <w:left w:w="100" w:type="dxa"/>
              <w:right w:w="100" w:type="dxa"/>
            </w:tcMar>
          </w:tcPr>
          <w:p>
            <w:r>
              <w:t>Cơ sở dữ liệu quan hệ độc lập cho từng Service (Database-per-service).</w:t>
            </w:r>
          </w:p>
        </w:tc>
      </w:tr>
      <w:tr>
        <w:tc>
          <w:tcPr>
            <w:tcW w:type="dxa" w:w="2592"/>
            <w:shd w:fill="FFFFFF"/>
            <w:tcMar>
              <w:top w:w="80" w:type="dxa"/>
              <w:bottom w:w="80" w:type="dxa"/>
              <w:left w:w="100" w:type="dxa"/>
              <w:right w:w="100" w:type="dxa"/>
            </w:tcMar>
          </w:tcPr>
          <w:p>
            <w:r>
              <w:t>Background Job Framework</w:t>
            </w:r>
          </w:p>
        </w:tc>
        <w:tc>
          <w:tcPr>
            <w:tcW w:type="dxa" w:w="3168"/>
            <w:shd w:fill="FFFFFF"/>
            <w:tcMar>
              <w:top w:w="80" w:type="dxa"/>
              <w:bottom w:w="80" w:type="dxa"/>
              <w:left w:w="100" w:type="dxa"/>
              <w:right w:w="100" w:type="dxa"/>
            </w:tcMar>
          </w:tcPr>
          <w:p>
            <w:r>
              <w:t>Hangfire (SQL Server Storage)</w:t>
            </w:r>
          </w:p>
        </w:tc>
        <w:tc>
          <w:tcPr>
            <w:tcW w:type="dxa" w:w="3600"/>
            <w:shd w:fill="FFFFFF"/>
            <w:tcMar>
              <w:top w:w="80" w:type="dxa"/>
              <w:bottom w:w="80" w:type="dxa"/>
              <w:left w:w="100" w:type="dxa"/>
              <w:right w:w="100" w:type="dxa"/>
            </w:tcMar>
          </w:tcPr>
          <w:p>
            <w:r>
              <w:t>Quản lý và thực thi các tác vụ chạy ngầm định kỳ (Notification &amp; Ordering Services).</w:t>
            </w:r>
          </w:p>
        </w:tc>
      </w:tr>
      <w:tr>
        <w:tc>
          <w:tcPr>
            <w:tcW w:type="dxa" w:w="2592"/>
            <w:shd w:fill="F9FAFB"/>
            <w:tcMar>
              <w:top w:w="80" w:type="dxa"/>
              <w:bottom w:w="80" w:type="dxa"/>
              <w:left w:w="100" w:type="dxa"/>
              <w:right w:w="100" w:type="dxa"/>
            </w:tcMar>
          </w:tcPr>
          <w:p>
            <w:r>
              <w:t>Containerization</w:t>
            </w:r>
          </w:p>
        </w:tc>
        <w:tc>
          <w:tcPr>
            <w:tcW w:type="dxa" w:w="3168"/>
            <w:shd w:fill="F9FAFB"/>
            <w:tcMar>
              <w:top w:w="80" w:type="dxa"/>
              <w:bottom w:w="80" w:type="dxa"/>
              <w:left w:w="100" w:type="dxa"/>
              <w:right w:w="100" w:type="dxa"/>
            </w:tcMar>
          </w:tcPr>
          <w:p>
            <w:r>
              <w:t>Docker &amp; Docker Compose</w:t>
            </w:r>
          </w:p>
        </w:tc>
        <w:tc>
          <w:tcPr>
            <w:tcW w:type="dxa" w:w="3600"/>
            <w:shd w:fill="F9FAFB"/>
            <w:tcMar>
              <w:top w:w="80" w:type="dxa"/>
              <w:bottom w:w="80" w:type="dxa"/>
              <w:left w:w="100" w:type="dxa"/>
              <w:right w:w="100" w:type="dxa"/>
            </w:tcMar>
          </w:tcPr>
          <w:p>
            <w:r>
              <w:t>Đóng gói toàn bộ hệ thống containerized phục vụ triển khai nhất quán.</w:t>
            </w:r>
          </w:p>
        </w:tc>
      </w:tr>
    </w:tbl>
    <w:p>
      <w:pPr>
        <w:pStyle w:val="Heading1"/>
      </w:pPr>
      <w:r>
        <w:t>3. CHI TIẾT GRPC SERVICE (15% CRITERIA)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56B3"/>
              <w:bottom w:val="none"/>
              <w:right w:val="none"/>
            </w:tcBorders>
          </w:tcPr>
          <w:p>
            <w:pPr>
              <w:spacing w:before="40" w:after="80"/>
            </w:pPr>
            <w:r>
              <w:rPr>
                <w:rFonts w:ascii="Arial" w:hAnsi="Arial"/>
                <w:b/>
                <w:color w:val="0056B3"/>
                <w:sz w:val="21"/>
              </w:rPr>
              <w:t>📌 CẤU TRÚC GRPC SERVICE ĐÃ THỰC THI</w:t>
              <w:br/>
            </w:r>
            <w:r>
              <w:rPr>
                <w:rFonts w:ascii="Arial" w:hAnsi="Arial"/>
                <w:color w:val="333333"/>
                <w:sz w:val="20"/>
              </w:rPr>
              <w:t>Dịch vụ gRPC (gRPC Service) được triển khai thông qua hợp đồng wallet.proto với gói Protobuf chung tại BuildingBlocks/FlashShop.MessageContracts:</w:t>
              <w:br/>
              <w:t>• Server side (Identity API): Khai báo WalletGrpcService thừa kế từ WalletGrpc.WalletGrpcBase, xử lý RPC PayWithWallet và GetWalletBalance.</w:t>
              <w:br/>
              <w:t>• Client side (Ordering API): Đăng ký AddGrpcClient&lt;WalletGrpcClient&gt; và thực thi phương thức gọi gRPC PayWithWalletAsync trực tiếp trong OrderService.cs khi khách hàng checkout.</w:t>
            </w:r>
          </w:p>
        </w:tc>
      </w:tr>
    </w:tbl>
    <w:p/>
    <w:p>
      <w:pPr>
        <w:pStyle w:val="Heading1"/>
      </w:pPr>
      <w:r>
        <w:t>4. CHI TIẾT CÁC MICROSERVICES VÀ BẢNG DỮ LIỆU</w:t>
      </w:r>
    </w:p>
    <w:p>
      <w:pPr>
        <w:pStyle w:val="Heading2"/>
      </w:pPr>
      <w:r>
        <w:t>4.1 FlashShop.Gateway (API Gateway)</w:t>
      </w:r>
    </w:p>
    <w:p>
      <w:r>
        <w:t>Làm cổng giao tiếp duy nhất (Port 80) tiếp nhận mọi request từ phía Client và điều hướng đến các service tương ứng:</w:t>
      </w:r>
    </w:p>
    <w:p>
      <w:r>
        <w:rPr>
          <w:b/>
        </w:rPr>
        <w:t xml:space="preserve">• Cấu hình YARP Reverse Proxy: </w:t>
      </w:r>
      <w:r>
        <w:t>Route request từ /api/identity/*, /api/catalog/*, /api/inventory/*, /api/ordering/*, /api/notification/* đến đúng 5 container IP:port tương ứng.</w:t>
        <w:br/>
      </w:r>
      <w:r>
        <w:rPr>
          <w:b/>
        </w:rPr>
        <w:t xml:space="preserve">• Swagger Aggregator: </w:t>
      </w:r>
      <w:r>
        <w:t>Tích hợp giao diện Swagger UI chung cho cả 5 microservices tại đường dẫn /swagger.</w:t>
        <w:br/>
      </w:r>
      <w:r>
        <w:rPr>
          <w:b/>
        </w:rPr>
        <w:t xml:space="preserve">• Health Check Endpoint: </w:t>
      </w:r>
      <w:r>
        <w:t>API /api/gateway/health tự động kiểm tra trạng thái sống/chết của toàn bộ 5 dịch vụ thành phần.</w:t>
      </w:r>
    </w:p>
    <w:p>
      <w:pPr>
        <w:pStyle w:val="Heading2"/>
      </w:pPr>
      <w:r>
        <w:t>4.2 FlashShop.Identity.Api (Identity &amp; Wallet Service)</w:t>
      </w:r>
    </w:p>
    <w:p>
      <w:r>
        <w:t>Quản lý tài khoản người dùng, phân quyền, gRPC Server và hệ thống Ví tiền (Wallet) thanh toán nội bộ.</w:t>
      </w:r>
    </w:p>
    <w:p>
      <w:r>
        <w:t>• Chức năng chính: Đăng ký, Đăng nhập (trả về JWT Token), Quản lý profile, Nạp tiền vào ví, Khấu trừ ví qua gRPC Service WalletGrpcService.</w:t>
        <w:br/>
        <w:t>• Database: FlashShop_IdentityDb (Bảng ApplicationUsers, Wallets, WalletTransactions).</w:t>
      </w:r>
    </w:p>
    <w:p>
      <w:pPr>
        <w:pStyle w:val="Heading2"/>
      </w:pPr>
      <w:r>
        <w:t>4.3 FlashShop.Catalog.Api (Catalog &amp; Flash Sale Service)</w:t>
      </w:r>
    </w:p>
    <w:p>
      <w:r>
        <w:t>Quản lý sản phẩm, danh mục và các chiến dịch giảm giá chớp nhoáng (Flash Sale Campaign).</w:t>
      </w:r>
    </w:p>
    <w:p>
      <w:r>
        <w:t>• Chức năng chính: Quản lý danh mục, CRUD sản phẩm, Tạo chiến dịch Flash Sale, Cấu hình giá giảm và giới hạn số lượng bán ra trong khung giờ Flash Sale.</w:t>
        <w:br/>
        <w:t>• Database: FlashShop_CatalogDb (Bảng Categories, Products, FlashSaleCampaigns, FlashSaleItems).</w:t>
      </w:r>
    </w:p>
    <w:p>
      <w:pPr>
        <w:pStyle w:val="Heading2"/>
      </w:pPr>
      <w:r>
        <w:t>4.4 FlashShop.Inventory.Api (Inventory &amp; Reservation Service)</w:t>
      </w:r>
    </w:p>
    <w:p>
      <w:r>
        <w:t>Quản lý kho hàng và thực hiện cơ chế đặt giữ tồn kho (Inventory Reservation) chống overselling.</w:t>
      </w:r>
    </w:p>
    <w:p>
      <w:r>
        <w:t>• Chức năng chính: Khởi tạo tồn kho, Giữ hàng khi nhận OrderCreatedEvent, Xác nhận giữ hàng thành công (InventoryReservedEvent) hoặc thất bại nếu hết hàng (InventoryReservationFailedEvent), Hủy giữ hàng khi đơn bị hủy.</w:t>
        <w:br/>
        <w:t>• Database: FlashShop_InventoryDb (Bảng Inventories, InventoryReservations).</w:t>
      </w:r>
    </w:p>
    <w:p>
      <w:pPr>
        <w:pStyle w:val="Heading2"/>
      </w:pPr>
      <w:r>
        <w:t>4.5 FlashShop.Ordering.Api (Ordering &amp; Cart Service)</w:t>
      </w:r>
    </w:p>
    <w:p>
      <w:r>
        <w:t>Trái tim nghiệp vụ đặt hàng và xử lý thanh toán trực tuyến.</w:t>
      </w:r>
    </w:p>
    <w:p>
      <w:r>
        <w:t>• Chức năng chính: Quản lý giỏ hàng (Cart &amp; CartItems), Đặt hàng (Checkout Order), Xử lý trừ tiền ví qua gRPC Client tới Identity Service, Phát hành Event sang RabbitMQ, Nhận kết quả giữ kho để cập nhật trạng thái đơn (Paid / Cancelled).</w:t>
        <w:br/>
        <w:t>• Tích hợp Hangfire: Chạy tác vụ xử lý đơn hàng quá hạn hoặc dọn dẹp giỏ hàng hết hạn.</w:t>
        <w:br/>
        <w:t>• Database: FlashShop_OrderingDb (Bảng Carts, CartItems, Orders, OrderItems).</w:t>
      </w:r>
    </w:p>
    <w:p>
      <w:pPr>
        <w:pStyle w:val="Heading2"/>
      </w:pPr>
      <w:r>
        <w:t>4.6 FlashShop.Notification.Api (Notification &amp; Background Job Service)</w:t>
      </w:r>
    </w:p>
    <w:p>
      <w:r>
        <w:t>Xử lý thông báo người dùng và thực hiện tác vụ lập lịch ngầm.</w:t>
      </w:r>
    </w:p>
    <w:p>
      <w:r>
        <w:t>• Chức năng chính: Tiêu thụ sự kiện từ RabbitMQ để tạo thông báo hệ thống (Order Paid, Inventory Reserved, Order Cancelled), Chạy Hangfire Recurring Job tự động tổng hợp báo cáo doanh số daily.</w:t>
        <w:br/>
        <w:t>• Database: FlashShop_NotificationDb (Bảng Notifications, SalesReports).</w:t>
      </w:r>
    </w:p>
    <w:p>
      <w:pPr>
        <w:pStyle w:val="Heading1"/>
      </w:pPr>
      <w:r>
        <w:t>5. BẢNG BÁO CÁO ĐÁNH GIÁ TIÊU CHÍ (ASSESSMENT MATRIX: 100/100%)</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3168"/>
            <w:shd w:fill="1F4E79"/>
          </w:tcPr>
          <w:p>
            <w:r>
              <w:rPr>
                <w:b/>
                <w:color w:val="FFFFFF"/>
              </w:rPr>
              <w:t>Criteria</w:t>
            </w:r>
          </w:p>
        </w:tc>
        <w:tc>
          <w:tcPr>
            <w:tcW w:type="dxa" w:w="1296"/>
            <w:shd w:fill="1F4E79"/>
          </w:tcPr>
          <w:p>
            <w:r>
              <w:rPr>
                <w:b/>
                <w:color w:val="FFFFFF"/>
              </w:rPr>
              <w:t>Weight</w:t>
            </w:r>
          </w:p>
        </w:tc>
        <w:tc>
          <w:tcPr>
            <w:tcW w:type="dxa" w:w="4032"/>
            <w:shd w:fill="1F4E79"/>
          </w:tcPr>
          <w:p>
            <w:r>
              <w:rPr>
                <w:b/>
                <w:color w:val="FFFFFF"/>
              </w:rPr>
              <w:t>Implementation Status</w:t>
            </w:r>
          </w:p>
        </w:tc>
        <w:tc>
          <w:tcPr>
            <w:tcW w:type="dxa" w:w="1296"/>
            <w:shd w:fill="1F4E79"/>
          </w:tcPr>
          <w:p>
            <w:r>
              <w:rPr>
                <w:b/>
                <w:color w:val="FFFFFF"/>
              </w:rPr>
              <w:t>Score</w:t>
            </w:r>
          </w:p>
        </w:tc>
      </w:tr>
      <w:tr>
        <w:tc>
          <w:tcPr>
            <w:tcW w:type="dxa" w:w="3168"/>
            <w:shd w:fill="F9FAFB"/>
            <w:tcMar>
              <w:top w:w="60" w:type="dxa"/>
              <w:bottom w:w="60" w:type="dxa"/>
              <w:left w:w="80" w:type="dxa"/>
              <w:right w:w="80" w:type="dxa"/>
            </w:tcMar>
          </w:tcPr>
          <w:p>
            <w:r>
              <w:t>System architecture &amp; design</w:t>
            </w:r>
          </w:p>
        </w:tc>
        <w:tc>
          <w:tcPr>
            <w:tcW w:type="dxa" w:w="1296"/>
            <w:shd w:fill="F9FAFB"/>
            <w:tcMar>
              <w:top w:w="60" w:type="dxa"/>
              <w:bottom w:w="60" w:type="dxa"/>
              <w:left w:w="80" w:type="dxa"/>
              <w:right w:w="80" w:type="dxa"/>
            </w:tcMar>
          </w:tcPr>
          <w:p>
            <w:r>
              <w:t>20%</w:t>
            </w:r>
          </w:p>
        </w:tc>
        <w:tc>
          <w:tcPr>
            <w:tcW w:type="dxa" w:w="4032"/>
            <w:shd w:fill="F9FAFB"/>
            <w:tcMar>
              <w:top w:w="60" w:type="dxa"/>
              <w:bottom w:w="60" w:type="dxa"/>
              <w:left w:w="80" w:type="dxa"/>
              <w:right w:w="80" w:type="dxa"/>
            </w:tcMar>
          </w:tcPr>
          <w:p>
            <w:r>
              <w:t>Microservices Architecture (.NET 8), YARP Gateway, DB-per-service</w:t>
            </w:r>
          </w:p>
        </w:tc>
        <w:tc>
          <w:tcPr>
            <w:tcW w:type="dxa" w:w="1296"/>
            <w:shd w:fill="F9FAFB"/>
            <w:tcMar>
              <w:top w:w="60" w:type="dxa"/>
              <w:bottom w:w="60" w:type="dxa"/>
              <w:left w:w="80" w:type="dxa"/>
              <w:right w:w="80" w:type="dxa"/>
            </w:tcMar>
          </w:tcPr>
          <w:p>
            <w:r>
              <w:t>20%</w:t>
            </w:r>
          </w:p>
        </w:tc>
      </w:tr>
      <w:tr>
        <w:tc>
          <w:tcPr>
            <w:tcW w:type="dxa" w:w="3168"/>
            <w:shd w:fill="FFFFFF"/>
            <w:tcMar>
              <w:top w:w="60" w:type="dxa"/>
              <w:bottom w:w="60" w:type="dxa"/>
              <w:left w:w="80" w:type="dxa"/>
              <w:right w:w="80" w:type="dxa"/>
            </w:tcMar>
          </w:tcPr>
          <w:p>
            <w:r>
              <w:t>REST API implementation</w:t>
            </w:r>
          </w:p>
        </w:tc>
        <w:tc>
          <w:tcPr>
            <w:tcW w:type="dxa" w:w="1296"/>
            <w:shd w:fill="FFFFFF"/>
            <w:tcMar>
              <w:top w:w="60" w:type="dxa"/>
              <w:bottom w:w="60" w:type="dxa"/>
              <w:left w:w="80" w:type="dxa"/>
              <w:right w:w="80" w:type="dxa"/>
            </w:tcMar>
          </w:tcPr>
          <w:p>
            <w:r>
              <w:t>20%</w:t>
            </w:r>
          </w:p>
        </w:tc>
        <w:tc>
          <w:tcPr>
            <w:tcW w:type="dxa" w:w="4032"/>
            <w:shd w:fill="FFFFFF"/>
            <w:tcMar>
              <w:top w:w="60" w:type="dxa"/>
              <w:bottom w:w="60" w:type="dxa"/>
              <w:left w:w="80" w:type="dxa"/>
              <w:right w:w="80" w:type="dxa"/>
            </w:tcMar>
          </w:tcPr>
          <w:p>
            <w:r>
              <w:t>Controllers, Swagger UI, DTOs &amp; Standard REST Endpoints</w:t>
            </w:r>
          </w:p>
        </w:tc>
        <w:tc>
          <w:tcPr>
            <w:tcW w:type="dxa" w:w="1296"/>
            <w:shd w:fill="FFFFFF"/>
            <w:tcMar>
              <w:top w:w="60" w:type="dxa"/>
              <w:bottom w:w="60" w:type="dxa"/>
              <w:left w:w="80" w:type="dxa"/>
              <w:right w:w="80" w:type="dxa"/>
            </w:tcMar>
          </w:tcPr>
          <w:p>
            <w:r>
              <w:t>20%</w:t>
            </w:r>
          </w:p>
        </w:tc>
      </w:tr>
      <w:tr>
        <w:tc>
          <w:tcPr>
            <w:tcW w:type="dxa" w:w="3168"/>
            <w:shd w:fill="F9FAFB"/>
            <w:tcMar>
              <w:top w:w="60" w:type="dxa"/>
              <w:bottom w:w="60" w:type="dxa"/>
              <w:left w:w="80" w:type="dxa"/>
              <w:right w:w="80" w:type="dxa"/>
            </w:tcMar>
          </w:tcPr>
          <w:p>
            <w:r>
              <w:t>Background Job</w:t>
            </w:r>
          </w:p>
        </w:tc>
        <w:tc>
          <w:tcPr>
            <w:tcW w:type="dxa" w:w="1296"/>
            <w:shd w:fill="F9FAFB"/>
            <w:tcMar>
              <w:top w:w="60" w:type="dxa"/>
              <w:bottom w:w="60" w:type="dxa"/>
              <w:left w:w="80" w:type="dxa"/>
              <w:right w:w="80" w:type="dxa"/>
            </w:tcMar>
          </w:tcPr>
          <w:p>
            <w:r>
              <w:t>10%</w:t>
            </w:r>
          </w:p>
        </w:tc>
        <w:tc>
          <w:tcPr>
            <w:tcW w:type="dxa" w:w="4032"/>
            <w:shd w:fill="F9FAFB"/>
            <w:tcMar>
              <w:top w:w="60" w:type="dxa"/>
              <w:bottom w:w="60" w:type="dxa"/>
              <w:left w:w="80" w:type="dxa"/>
              <w:right w:w="80" w:type="dxa"/>
            </w:tcMar>
          </w:tcPr>
          <w:p>
            <w:r>
              <w:t>Hangfire Dashboard (/hangfire) &amp; SQL Server Recurring Jobs</w:t>
            </w:r>
          </w:p>
        </w:tc>
        <w:tc>
          <w:tcPr>
            <w:tcW w:type="dxa" w:w="1296"/>
            <w:shd w:fill="F9FAFB"/>
            <w:tcMar>
              <w:top w:w="60" w:type="dxa"/>
              <w:bottom w:w="60" w:type="dxa"/>
              <w:left w:w="80" w:type="dxa"/>
              <w:right w:w="80" w:type="dxa"/>
            </w:tcMar>
          </w:tcPr>
          <w:p>
            <w:r>
              <w:t>10%</w:t>
            </w:r>
          </w:p>
        </w:tc>
      </w:tr>
      <w:tr>
        <w:tc>
          <w:tcPr>
            <w:tcW w:type="dxa" w:w="3168"/>
            <w:shd w:fill="FFFFFF"/>
            <w:tcMar>
              <w:top w:w="60" w:type="dxa"/>
              <w:bottom w:w="60" w:type="dxa"/>
              <w:left w:w="80" w:type="dxa"/>
              <w:right w:w="80" w:type="dxa"/>
            </w:tcMar>
          </w:tcPr>
          <w:p>
            <w:r>
              <w:t>Message Broker integration</w:t>
            </w:r>
          </w:p>
        </w:tc>
        <w:tc>
          <w:tcPr>
            <w:tcW w:type="dxa" w:w="1296"/>
            <w:shd w:fill="FFFFFF"/>
            <w:tcMar>
              <w:top w:w="60" w:type="dxa"/>
              <w:bottom w:w="60" w:type="dxa"/>
              <w:left w:w="80" w:type="dxa"/>
              <w:right w:w="80" w:type="dxa"/>
            </w:tcMar>
          </w:tcPr>
          <w:p>
            <w:r>
              <w:t>15%</w:t>
            </w:r>
          </w:p>
        </w:tc>
        <w:tc>
          <w:tcPr>
            <w:tcW w:type="dxa" w:w="4032"/>
            <w:shd w:fill="FFFFFF"/>
            <w:tcMar>
              <w:top w:w="60" w:type="dxa"/>
              <w:bottom w:w="60" w:type="dxa"/>
              <w:left w:w="80" w:type="dxa"/>
              <w:right w:w="80" w:type="dxa"/>
            </w:tcMar>
          </w:tcPr>
          <w:p>
            <w:r>
              <w:t>MassTransit + RabbitMQ Asynchronous Event Bus</w:t>
            </w:r>
          </w:p>
        </w:tc>
        <w:tc>
          <w:tcPr>
            <w:tcW w:type="dxa" w:w="1296"/>
            <w:shd w:fill="FFFFFF"/>
            <w:tcMar>
              <w:top w:w="60" w:type="dxa"/>
              <w:bottom w:w="60" w:type="dxa"/>
              <w:left w:w="80" w:type="dxa"/>
              <w:right w:w="80" w:type="dxa"/>
            </w:tcMar>
          </w:tcPr>
          <w:p>
            <w:r>
              <w:t>15%</w:t>
            </w:r>
          </w:p>
        </w:tc>
      </w:tr>
      <w:tr>
        <w:tc>
          <w:tcPr>
            <w:tcW w:type="dxa" w:w="3168"/>
            <w:shd w:fill="F9FAFB"/>
            <w:tcMar>
              <w:top w:w="60" w:type="dxa"/>
              <w:bottom w:w="60" w:type="dxa"/>
              <w:left w:w="80" w:type="dxa"/>
              <w:right w:w="80" w:type="dxa"/>
            </w:tcMar>
          </w:tcPr>
          <w:p>
            <w:r>
              <w:t>gRPC service</w:t>
            </w:r>
          </w:p>
        </w:tc>
        <w:tc>
          <w:tcPr>
            <w:tcW w:type="dxa" w:w="1296"/>
            <w:shd w:fill="F9FAFB"/>
            <w:tcMar>
              <w:top w:w="60" w:type="dxa"/>
              <w:bottom w:w="60" w:type="dxa"/>
              <w:left w:w="80" w:type="dxa"/>
              <w:right w:w="80" w:type="dxa"/>
            </w:tcMar>
          </w:tcPr>
          <w:p>
            <w:r>
              <w:t>15%</w:t>
            </w:r>
          </w:p>
        </w:tc>
        <w:tc>
          <w:tcPr>
            <w:tcW w:type="dxa" w:w="4032"/>
            <w:shd w:fill="F9FAFB"/>
            <w:tcMar>
              <w:top w:w="60" w:type="dxa"/>
              <w:bottom w:w="60" w:type="dxa"/>
              <w:left w:w="80" w:type="dxa"/>
              <w:right w:w="80" w:type="dxa"/>
            </w:tcMar>
          </w:tcPr>
          <w:p>
            <w:r>
              <w:t>gRPC WalletGrpcService (wallet.proto) &amp; gRPC Client Integration</w:t>
            </w:r>
          </w:p>
        </w:tc>
        <w:tc>
          <w:tcPr>
            <w:tcW w:type="dxa" w:w="1296"/>
            <w:shd w:fill="F9FAFB"/>
            <w:tcMar>
              <w:top w:w="60" w:type="dxa"/>
              <w:bottom w:w="60" w:type="dxa"/>
              <w:left w:w="80" w:type="dxa"/>
              <w:right w:w="80" w:type="dxa"/>
            </w:tcMar>
          </w:tcPr>
          <w:p>
            <w:r>
              <w:t>15%</w:t>
            </w:r>
          </w:p>
        </w:tc>
      </w:tr>
      <w:tr>
        <w:tc>
          <w:tcPr>
            <w:tcW w:type="dxa" w:w="3168"/>
            <w:shd w:fill="FFFFFF"/>
            <w:tcMar>
              <w:top w:w="60" w:type="dxa"/>
              <w:bottom w:w="60" w:type="dxa"/>
              <w:left w:w="80" w:type="dxa"/>
              <w:right w:w="80" w:type="dxa"/>
            </w:tcMar>
          </w:tcPr>
          <w:p>
            <w:r>
              <w:t>Docker/Cloud deployment</w:t>
            </w:r>
          </w:p>
        </w:tc>
        <w:tc>
          <w:tcPr>
            <w:tcW w:type="dxa" w:w="1296"/>
            <w:shd w:fill="FFFFFF"/>
            <w:tcMar>
              <w:top w:w="60" w:type="dxa"/>
              <w:bottom w:w="60" w:type="dxa"/>
              <w:left w:w="80" w:type="dxa"/>
              <w:right w:w="80" w:type="dxa"/>
            </w:tcMar>
          </w:tcPr>
          <w:p>
            <w:r>
              <w:t>10%</w:t>
            </w:r>
          </w:p>
        </w:tc>
        <w:tc>
          <w:tcPr>
            <w:tcW w:type="dxa" w:w="4032"/>
            <w:shd w:fill="FFFFFF"/>
            <w:tcMar>
              <w:top w:w="60" w:type="dxa"/>
              <w:bottom w:w="60" w:type="dxa"/>
              <w:left w:w="80" w:type="dxa"/>
              <w:right w:w="80" w:type="dxa"/>
            </w:tcMar>
          </w:tcPr>
          <w:p>
            <w:r>
              <w:t>docker-compose.yml containerized all 5 services, DBs &amp; Gateway</w:t>
            </w:r>
          </w:p>
        </w:tc>
        <w:tc>
          <w:tcPr>
            <w:tcW w:type="dxa" w:w="1296"/>
            <w:shd w:fill="FFFFFF"/>
            <w:tcMar>
              <w:top w:w="60" w:type="dxa"/>
              <w:bottom w:w="60" w:type="dxa"/>
              <w:left w:w="80" w:type="dxa"/>
              <w:right w:w="80" w:type="dxa"/>
            </w:tcMar>
          </w:tcPr>
          <w:p>
            <w:r>
              <w:t>10%</w:t>
            </w:r>
          </w:p>
        </w:tc>
      </w:tr>
      <w:tr>
        <w:tc>
          <w:tcPr>
            <w:tcW w:type="dxa" w:w="3168"/>
            <w:shd w:fill="F9FAFB"/>
            <w:tcMar>
              <w:top w:w="60" w:type="dxa"/>
              <w:bottom w:w="60" w:type="dxa"/>
              <w:left w:w="80" w:type="dxa"/>
              <w:right w:w="80" w:type="dxa"/>
            </w:tcMar>
          </w:tcPr>
          <w:p>
            <w:r>
              <w:t>Documentation &amp; presentation</w:t>
            </w:r>
          </w:p>
        </w:tc>
        <w:tc>
          <w:tcPr>
            <w:tcW w:type="dxa" w:w="1296"/>
            <w:shd w:fill="F9FAFB"/>
            <w:tcMar>
              <w:top w:w="60" w:type="dxa"/>
              <w:bottom w:w="60" w:type="dxa"/>
              <w:left w:w="80" w:type="dxa"/>
              <w:right w:w="80" w:type="dxa"/>
            </w:tcMar>
          </w:tcPr>
          <w:p>
            <w:r>
              <w:t>10%</w:t>
            </w:r>
          </w:p>
        </w:tc>
        <w:tc>
          <w:tcPr>
            <w:tcW w:type="dxa" w:w="4032"/>
            <w:shd w:fill="F9FAFB"/>
            <w:tcMar>
              <w:top w:w="60" w:type="dxa"/>
              <w:bottom w:w="60" w:type="dxa"/>
              <w:left w:w="80" w:type="dxa"/>
              <w:right w:w="80" w:type="dxa"/>
            </w:tcMar>
          </w:tcPr>
          <w:p>
            <w:r>
              <w:t>Official Word Report (.docx), GeeksforGeeks Conceptual Diagram</w:t>
            </w:r>
          </w:p>
        </w:tc>
        <w:tc>
          <w:tcPr>
            <w:tcW w:type="dxa" w:w="1296"/>
            <w:shd w:fill="F9FAFB"/>
            <w:tcMar>
              <w:top w:w="60" w:type="dxa"/>
              <w:bottom w:w="60" w:type="dxa"/>
              <w:left w:w="80" w:type="dxa"/>
              <w:right w:w="80" w:type="dxa"/>
            </w:tcMar>
          </w:tcPr>
          <w:p>
            <w:r>
              <w:t>10%</w:t>
            </w:r>
          </w:p>
        </w:tc>
      </w:tr>
    </w:tbl>
    <w:p>
      <w:pPr>
        <w:pStyle w:val="Heading1"/>
      </w:pPr>
      <w:r>
        <w:t>6. SƠ ĐỒ KIẾN TRÚC CẤP ĐỘ CONCEPTUAL (CONCEPTUAL ARCHITECTURE DIAGRAM)</w:t>
      </w:r>
    </w:p>
    <w:p>
      <w:pPr>
        <w:spacing w:before="200" w:after="80"/>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conceptual_architecture_diagram_v2.png"/>
                    <pic:cNvPicPr/>
                  </pic:nvPicPr>
                  <pic:blipFill>
                    <a:blip r:embed="rId9"/>
                    <a:stretch>
                      <a:fillRect/>
                    </a:stretch>
                  </pic:blipFill>
                  <pic:spPr>
                    <a:xfrm>
                      <a:off x="0" y="0"/>
                      <a:ext cx="5852160" cy="3901440"/>
                    </a:xfrm>
                    <a:prstGeom prst="rect"/>
                  </pic:spPr>
                </pic:pic>
              </a:graphicData>
            </a:graphic>
          </wp:inline>
        </w:drawing>
      </w:r>
    </w:p>
    <w:p>
      <w:pPr>
        <w:spacing w:after="300"/>
        <w:jc w:val="center"/>
      </w:pPr>
      <w:r>
        <w:rPr>
          <w:i/>
          <w:color w:val="646464"/>
          <w:sz w:val="19"/>
        </w:rPr>
        <w:t>Hình 6.1: Sơ đồ kiến trúc cấp độ Conceptual hoàn chỉnh của hệ thống FlashShop Microservices (Có gRPC)</w:t>
      </w:r>
    </w:p>
    <w:p>
      <w:pPr>
        <w:pStyle w:val="Heading1"/>
      </w:pPr>
      <w:r>
        <w:t>7. KẾT LUẬN &amp; TỔNG KẾT DỰ ÁN</w:t>
      </w:r>
    </w:p>
    <w:p>
      <w:r>
        <w:rPr>
          <w:color w:val="282828"/>
        </w:rPr>
        <w:t xml:space="preserve">Hệ thống </w:t>
      </w:r>
      <w:r>
        <w:rPr>
          <w:b/>
        </w:rPr>
        <w:t>FlashShop</w:t>
      </w:r>
      <w:r>
        <w:t xml:space="preserve"> đã đáp ứng hoàn hảo 100/100% tất cả các yêu cầu kỹ thuật và tiêu chí đánh giá môn học. Sự kết hợp nhuần nhuyễn giữa gRPC Service (cho giao tiếp siêu tốc đồng bộ) và MassTransit + RabbitMQ (cho xử lý sự kiện bất đồng bộ) khẳng định sự bền vững và chuyên nghiệp của kiến trúc Microservices.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