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760"/>
      </w:pPr>
      <w:r>
        <w:t>Graph Analytics Pipeline for Airline Network Data using HDFS and Spark GraphX</w:t>
      </w:r>
    </w:p>
    <w:p>
      <w:pPr>
        <w:pStyle w:val="Subtitle"/>
        <w:widowControl/>
      </w:pPr>
      <w:r>
        <w:t>Project submission report</w:t>
      </w:r>
    </w:p>
    <w:p>
      <w:pPr>
        <w:widowControl/>
      </w:pPr>
      <w:r>
        <w:t>CSE412  |  Big Data and Large Scale Computing  |  Track C</w:t>
      </w:r>
    </w:p>
    <w:p>
      <w:pPr>
        <w:widowControl/>
      </w:pPr>
      <w:r>
        <w:t>Team members  Member 1  •  Member 2  •  Member 3</w:t>
      </w:r>
    </w:p>
    <w:p>
      <w:pPr>
        <w:widowControl/>
      </w:pPr>
      <w:r>
        <w:t>Submission date  14 October 2026</w:t>
      </w:r>
    </w:p>
    <w:p>
      <w:pPr>
        <w:pStyle w:val="Heading2"/>
      </w:pPr>
      <w:r>
        <w:t>Abstract</w:t>
      </w:r>
    </w:p>
    <w:p>
      <w:pPr>
        <w:widowControl/>
      </w:pPr>
      <w:r>
        <w:t>We implemented and validated a native HDFS, Spark SQL and Scala GraphX pipeline for the US Department of Transportation’s 2015 flight dataset. The pipeline inspected 5,819,079 flight records, retained 5,231,130 completed flights and constructed a directed network of 322 airports and 4,656 routes. It computes topology and traffic-weighted PageRank, weak connected components, triangles, local clustering, directed distances to three hubs and descriptive delay statistics.</w:t>
      </w:r>
    </w:p>
    <w:p>
      <w:pPr>
        <w:widowControl/>
      </w:pPr>
      <w:r>
        <w:t>ATL, ORD and DFW lead traffic-weighted centrality. All active airports belong to one weak component and can reach each selected hub within three flight legs. Traffic-weighted centrality and average airport delay have a weak descriptive association. October has no retained flights because of the cleaning policy for numeric airport identifiers, so the results do not represent complete-year service coverage.</w:t>
      </w:r>
    </w:p>
    <w:p>
      <w:pPr>
        <w:widowControl/>
      </w:pPr>
      <w:r>
        <w:t>Two complete HDFS runs passed validation and reproduced all 14 non-timing result tables within tolerance 10⁻⁸. The experiment demonstrates an auditable data-to-graph workflow on one machine; it does not establish multi-node speedup or causal delay propagation.</w:t>
      </w:r>
    </w:p>
    <w:p>
      <w:pPr>
        <w:pStyle w:val="Heading2"/>
      </w:pPr>
      <w:r>
        <w:t>Report scope</w:t>
      </w:r>
    </w:p>
    <w:p>
      <w:pPr>
        <w:widowControl/>
      </w:pPr>
      <w:r>
        <w:t>The report presents the problem, research basis, implemented architecture, measured results and limitations. Full source code, detailed commands and execution evidence accompany the project package.</w:t>
      </w:r>
    </w:p>
    <w:p>
      <w:r>
        <w:br w:type="page"/>
      </w:r>
    </w:p>
    <w:p>
      <w:pPr>
        <w:pStyle w:val="Heading1"/>
      </w:pPr>
      <w:r>
        <w:t>Introduction</w:t>
      </w:r>
    </w:p>
    <w:p>
      <w:pPr>
        <w:pStyle w:val="Heading2"/>
      </w:pPr>
      <w:r>
        <w:t>Background and motivation</w:t>
      </w:r>
    </w:p>
    <w:p>
      <w:pPr>
        <w:widowControl/>
      </w:pPr>
      <w:r>
        <w:t>A flight table describes individual journeys, while a network model exposes relationships among airports. Repeated flights measure route traffic; distinct routes describe connectivity. Comparing both views helps distinguish airports with many destinations from airports that carry a large share of observed traffic. Graph analysis also describes disconnected groups, interconnected neighborhoods and the number of flight legs needed to reach major hubs.</w:t>
      </w:r>
    </w:p>
    <w:p>
      <w:pPr>
        <w:widowControl/>
      </w:pPr>
      <w:r>
        <w:t>The project uses the 2015 Flight Delays and Cancellations dataset published through Kaggle by the US Department of Transportation [6]. The measured input comprises 592,430,817 bytes across three CSV files. Millions of flight rows reduce to a comparatively small airport graph, making this a study of scalable preparation and reproducible graph analysis rather than a claim that the final graph exceeds laptop capacity.</w:t>
      </w:r>
    </w:p>
    <w:p>
      <w:pPr>
        <w:pStyle w:val="Heading2"/>
      </w:pPr>
      <w:r>
        <w:t>Objectives</w:t>
      </w:r>
    </w:p>
    <w:p>
      <w:pPr>
        <w:pStyle w:val="ListBullet"/>
        <w:widowControl/>
      </w:pPr>
      <w:r>
        <w:t>Create a traceable HDFS-to-Spark-to-GraphX workflow with immutable input identity and persisted outputs.</w:t>
      </w:r>
    </w:p>
    <w:p>
      <w:pPr>
        <w:pStyle w:val="ListBullet"/>
        <w:widowControl/>
      </w:pPr>
      <w:r>
        <w:t>Compare topology-based and flight-count-weighted centrality with route degree and traffic strength.</w:t>
      </w:r>
    </w:p>
    <w:p>
      <w:pPr>
        <w:pStyle w:val="ListBullet"/>
        <w:widowControl/>
      </w:pPr>
      <w:r>
        <w:t>Measure weak connectivity, undirected triangles, local clustering and directed reachability to ATL, ORD and DFW.</w:t>
      </w:r>
    </w:p>
    <w:p>
      <w:pPr>
        <w:pStyle w:val="ListBullet"/>
        <w:widowControl/>
      </w:pPr>
      <w:r>
        <w:t>Describe arrival delays with correct observation denominators and quantify the effects of cleaning.</w:t>
      </w:r>
    </w:p>
    <w:p>
      <w:pPr>
        <w:pStyle w:val="ListBullet"/>
        <w:widowControl/>
      </w:pPr>
      <w:r>
        <w:t>Verify algorithm correctness, saved-output consistency and repeatability, and report measured runtime boundaries.</w:t>
      </w:r>
    </w:p>
    <w:p>
      <w:pPr>
        <w:pStyle w:val="Heading2"/>
      </w:pPr>
      <w:r>
        <w:t>Tool selection and execution scope</w:t>
      </w:r>
    </w:p>
    <w:p>
      <w:pPr>
        <w:widowControl/>
      </w:pPr>
      <w:r>
        <w:t>HDFS provides the storage boundary for raw files, clean graph tables and results. Spark SQL parses, audits, joins and aggregates flight records. GraphX provides graph abstractions and iterative computation within Spark [1,7]. Python handles compact exports, independent small-graph test oracles, figures and report generation; it does not replace GraphX in the main analysis.</w:t>
      </w:r>
    </w:p>
    <w:p>
      <w:pPr>
        <w:widowControl/>
      </w:pPr>
      <w:r>
        <w:t>Execution used native Linux tools, pseudo-distributed HDFS with replication one and Spark local[2]. The software therefore exercises HDFS communication and persisted reloads, while both Spark worker threads run on one machine. Replication one offers no physical-node redundancy. No cloud service, container platform, web application or external graph database is required.</w:t>
      </w:r>
    </w:p>
    <w:p>
      <w:pPr>
        <w:pStyle w:val="Heading2"/>
      </w:pPr>
      <w:r>
        <w:t>Study contribution</w:t>
      </w:r>
    </w:p>
    <w:p>
      <w:pPr>
        <w:widowControl/>
      </w:pPr>
      <w:r>
        <w:t>The contribution is an integrated, tested implementation with explicit exclusions, stable airport identifiers, traffic-weighted iteration, independent correctness checks and reproducible evidence. It is an engineering application of established methods, not a new centrality algorithm. The submitted material supports evaluation of both computational behavior and the limits of its airline findings.</w:t>
      </w:r>
    </w:p>
    <w:p>
      <w:r>
        <w:br w:type="page"/>
      </w:r>
    </w:p>
    <w:p>
      <w:pPr>
        <w:pStyle w:val="Heading1"/>
      </w:pPr>
      <w:r>
        <w:t>Literature Survey</w:t>
      </w:r>
    </w:p>
    <w:p>
      <w:pPr>
        <w:widowControl/>
      </w:pPr>
      <w:r>
        <w:t>Five primary research sources inform the design. Their findings motivate the implementation, but their datasets and performance results are not treated as measurements of this project.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485"/>
        <w:gridCol w:w="3658"/>
      </w:tblGrid>
      <w:tr>
        <w:trPr>
          <w:cantSplit/>
          <w:tblHeader/>
        </w:trPr>
        <w:tc>
          <w:tcPr>
            <w:tcW w:type="dxa" w:w="2304"/>
            <w:vAlign w:val="center"/>
            <w:tcMar>
              <w:top w:w="70" w:type="dxa"/>
              <w:bottom w:w="70" w:type="dxa"/>
              <w:left w:w="95" w:type="dxa"/>
              <w:right w:w="95" w:type="dxa"/>
            </w:tcMar>
            <w:shd w:fill="E7EDF2"/>
          </w:tcPr>
          <w:p>
            <w:pPr>
              <w:spacing w:after="0" w:line="252" w:lineRule="auto"/>
              <w:jc w:val="left"/>
            </w:pPr>
            <w:r>
              <w:rPr>
                <w:b/>
                <w:color w:val="000000"/>
                <w:sz w:val="21"/>
              </w:rPr>
              <w:t>Research</w:t>
            </w:r>
          </w:p>
        </w:tc>
        <w:tc>
          <w:tcPr>
            <w:tcW w:type="dxa" w:w="3485"/>
            <w:vAlign w:val="center"/>
            <w:tcMar>
              <w:top w:w="70" w:type="dxa"/>
              <w:bottom w:w="70" w:type="dxa"/>
              <w:left w:w="95" w:type="dxa"/>
              <w:right w:w="95" w:type="dxa"/>
            </w:tcMar>
            <w:shd w:fill="E7EDF2"/>
          </w:tcPr>
          <w:p>
            <w:pPr>
              <w:spacing w:after="0" w:line="252" w:lineRule="auto"/>
              <w:jc w:val="center"/>
            </w:pPr>
            <w:r>
              <w:rPr>
                <w:b/>
                <w:color w:val="000000"/>
                <w:sz w:val="21"/>
              </w:rPr>
              <w:t>Main contribution</w:t>
            </w:r>
          </w:p>
        </w:tc>
        <w:tc>
          <w:tcPr>
            <w:tcW w:type="dxa" w:w="3658"/>
            <w:vAlign w:val="center"/>
            <w:tcMar>
              <w:top w:w="70" w:type="dxa"/>
              <w:bottom w:w="70" w:type="dxa"/>
              <w:left w:w="95" w:type="dxa"/>
              <w:right w:w="95" w:type="dxa"/>
            </w:tcMar>
            <w:shd w:fill="E7EDF2"/>
          </w:tcPr>
          <w:p>
            <w:pPr>
              <w:spacing w:after="0" w:line="252" w:lineRule="auto"/>
              <w:jc w:val="center"/>
            </w:pPr>
            <w:r>
              <w:rPr>
                <w:b/>
                <w:color w:val="000000"/>
                <w:sz w:val="21"/>
              </w:rPr>
              <w:t>Use in this project</w:t>
            </w:r>
          </w:p>
        </w:tc>
      </w:tr>
      <w:tr>
        <w:trPr>
          <w:cantSplit/>
        </w:trPr>
        <w:tc>
          <w:tcPr>
            <w:tcW w:type="dxa" w:w="2304"/>
            <w:vAlign w:val="center"/>
            <w:tcMar>
              <w:top w:w="70" w:type="dxa"/>
              <w:bottom w:w="70" w:type="dxa"/>
              <w:left w:w="95" w:type="dxa"/>
              <w:right w:w="95" w:type="dxa"/>
            </w:tcMar>
            <w:shd w:fill="FFFFFF"/>
          </w:tcPr>
          <w:p>
            <w:pPr>
              <w:spacing w:after="0" w:line="252" w:lineRule="auto"/>
              <w:jc w:val="left"/>
            </w:pPr>
            <w:r>
              <w:rPr>
                <w:b w:val="0"/>
                <w:color w:val="000000"/>
                <w:sz w:val="21"/>
              </w:rPr>
              <w:t>Gonzalez et al. [1]</w:t>
              <w:br/>
              <w:t>OSDI 2014</w:t>
            </w:r>
          </w:p>
        </w:tc>
        <w:tc>
          <w:tcPr>
            <w:tcW w:type="dxa" w:w="3485"/>
            <w:vAlign w:val="center"/>
            <w:tcMar>
              <w:top w:w="70" w:type="dxa"/>
              <w:bottom w:w="70" w:type="dxa"/>
              <w:left w:w="95" w:type="dxa"/>
              <w:right w:w="95" w:type="dxa"/>
            </w:tcMar>
            <w:shd w:fill="FFFFFF"/>
          </w:tcPr>
          <w:p>
            <w:pPr>
              <w:spacing w:after="0" w:line="252" w:lineRule="auto"/>
              <w:jc w:val="left"/>
            </w:pPr>
            <w:r>
              <w:rPr>
                <w:b w:val="0"/>
                <w:color w:val="000000"/>
                <w:sz w:val="21"/>
              </w:rPr>
              <w:t>Graph processing within distributed dataflow</w:t>
            </w:r>
          </w:p>
        </w:tc>
        <w:tc>
          <w:tcPr>
            <w:tcW w:type="dxa" w:w="3658"/>
            <w:vAlign w:val="center"/>
            <w:tcMar>
              <w:top w:w="70" w:type="dxa"/>
              <w:bottom w:w="70" w:type="dxa"/>
              <w:left w:w="95" w:type="dxa"/>
              <w:right w:w="95" w:type="dxa"/>
            </w:tcMar>
            <w:shd w:fill="FFFFFF"/>
          </w:tcPr>
          <w:p>
            <w:pPr>
              <w:spacing w:after="0" w:line="252" w:lineRule="auto"/>
              <w:jc w:val="left"/>
            </w:pPr>
            <w:r>
              <w:rPr>
                <w:b w:val="0"/>
                <w:color w:val="000000"/>
                <w:sz w:val="21"/>
              </w:rPr>
              <w:t>Spark preparation followed by GraphX</w:t>
            </w:r>
          </w:p>
        </w:tc>
      </w:tr>
      <w:tr>
        <w:trPr>
          <w:cantSplit/>
        </w:trPr>
        <w:tc>
          <w:tcPr>
            <w:tcW w:type="dxa" w:w="2304"/>
            <w:vAlign w:val="center"/>
            <w:tcMar>
              <w:top w:w="70" w:type="dxa"/>
              <w:bottom w:w="70" w:type="dxa"/>
              <w:left w:w="95" w:type="dxa"/>
              <w:right w:w="95" w:type="dxa"/>
            </w:tcMar>
            <w:shd w:fill="FFFFFF"/>
          </w:tcPr>
          <w:p>
            <w:pPr>
              <w:spacing w:after="0" w:line="252" w:lineRule="auto"/>
              <w:jc w:val="left"/>
            </w:pPr>
            <w:r>
              <w:rPr>
                <w:b w:val="0"/>
                <w:color w:val="000000"/>
                <w:sz w:val="21"/>
              </w:rPr>
              <w:t>Zaharia et al. [2]</w:t>
              <w:br/>
              <w:t>NSDI 2012</w:t>
            </w:r>
          </w:p>
        </w:tc>
        <w:tc>
          <w:tcPr>
            <w:tcW w:type="dxa" w:w="3485"/>
            <w:vAlign w:val="center"/>
            <w:tcMar>
              <w:top w:w="70" w:type="dxa"/>
              <w:bottom w:w="70" w:type="dxa"/>
              <w:left w:w="95" w:type="dxa"/>
              <w:right w:w="95" w:type="dxa"/>
            </w:tcMar>
            <w:shd w:fill="FFFFFF"/>
          </w:tcPr>
          <w:p>
            <w:pPr>
              <w:spacing w:after="0" w:line="252" w:lineRule="auto"/>
              <w:jc w:val="left"/>
            </w:pPr>
            <w:r>
              <w:rPr>
                <w:b w:val="0"/>
                <w:color w:val="000000"/>
                <w:sz w:val="21"/>
              </w:rPr>
              <w:t>Reusable, resilient distributed datasets</w:t>
            </w:r>
          </w:p>
        </w:tc>
        <w:tc>
          <w:tcPr>
            <w:tcW w:type="dxa" w:w="3658"/>
            <w:vAlign w:val="center"/>
            <w:tcMar>
              <w:top w:w="70" w:type="dxa"/>
              <w:bottom w:w="70" w:type="dxa"/>
              <w:left w:w="95" w:type="dxa"/>
              <w:right w:w="95" w:type="dxa"/>
            </w:tcMar>
            <w:shd w:fill="FFFFFF"/>
          </w:tcPr>
          <w:p>
            <w:pPr>
              <w:spacing w:after="0" w:line="252" w:lineRule="auto"/>
              <w:jc w:val="left"/>
            </w:pPr>
            <w:r>
              <w:rPr>
                <w:b w:val="0"/>
                <w:color w:val="000000"/>
                <w:sz w:val="21"/>
              </w:rPr>
              <w:t>Cached iteration and bounded lineage</w:t>
            </w:r>
          </w:p>
        </w:tc>
      </w:tr>
      <w:tr>
        <w:trPr>
          <w:cantSplit/>
        </w:trPr>
        <w:tc>
          <w:tcPr>
            <w:tcW w:type="dxa" w:w="2304"/>
            <w:vAlign w:val="center"/>
            <w:tcMar>
              <w:top w:w="70" w:type="dxa"/>
              <w:bottom w:w="70" w:type="dxa"/>
              <w:left w:w="95" w:type="dxa"/>
              <w:right w:w="95" w:type="dxa"/>
            </w:tcMar>
            <w:shd w:fill="FFFFFF"/>
          </w:tcPr>
          <w:p>
            <w:pPr>
              <w:spacing w:after="0" w:line="252" w:lineRule="auto"/>
              <w:jc w:val="left"/>
            </w:pPr>
            <w:r>
              <w:rPr>
                <w:b w:val="0"/>
                <w:color w:val="000000"/>
                <w:sz w:val="21"/>
              </w:rPr>
              <w:t>Malewicz et al. [3]</w:t>
              <w:br/>
              <w:t>SIGMOD 2010</w:t>
            </w:r>
          </w:p>
        </w:tc>
        <w:tc>
          <w:tcPr>
            <w:tcW w:type="dxa" w:w="3485"/>
            <w:vAlign w:val="center"/>
            <w:tcMar>
              <w:top w:w="70" w:type="dxa"/>
              <w:bottom w:w="70" w:type="dxa"/>
              <w:left w:w="95" w:type="dxa"/>
              <w:right w:w="95" w:type="dxa"/>
            </w:tcMar>
            <w:shd w:fill="FFFFFF"/>
          </w:tcPr>
          <w:p>
            <w:pPr>
              <w:spacing w:after="0" w:line="252" w:lineRule="auto"/>
              <w:jc w:val="left"/>
            </w:pPr>
            <w:r>
              <w:rPr>
                <w:b w:val="0"/>
                <w:color w:val="000000"/>
                <w:sz w:val="21"/>
              </w:rPr>
              <w:t>Vertex-centric supersteps and messages</w:t>
            </w:r>
          </w:p>
        </w:tc>
        <w:tc>
          <w:tcPr>
            <w:tcW w:type="dxa" w:w="3658"/>
            <w:vAlign w:val="center"/>
            <w:tcMar>
              <w:top w:w="70" w:type="dxa"/>
              <w:bottom w:w="70" w:type="dxa"/>
              <w:left w:w="95" w:type="dxa"/>
              <w:right w:w="95" w:type="dxa"/>
            </w:tcMar>
            <w:shd w:fill="FFFFFF"/>
          </w:tcPr>
          <w:p>
            <w:pPr>
              <w:spacing w:after="0" w:line="252" w:lineRule="auto"/>
              <w:jc w:val="left"/>
            </w:pPr>
            <w:r>
              <w:rPr>
                <w:b w:val="0"/>
                <w:color w:val="000000"/>
                <w:sz w:val="21"/>
              </w:rPr>
              <w:t>Iterative rank propagation</w:t>
            </w:r>
          </w:p>
        </w:tc>
      </w:tr>
      <w:tr>
        <w:trPr>
          <w:cantSplit/>
        </w:trPr>
        <w:tc>
          <w:tcPr>
            <w:tcW w:type="dxa" w:w="2304"/>
            <w:vAlign w:val="center"/>
            <w:tcMar>
              <w:top w:w="70" w:type="dxa"/>
              <w:bottom w:w="70" w:type="dxa"/>
              <w:left w:w="95" w:type="dxa"/>
              <w:right w:w="95" w:type="dxa"/>
            </w:tcMar>
            <w:shd w:fill="FFFFFF"/>
          </w:tcPr>
          <w:p>
            <w:pPr>
              <w:spacing w:after="0" w:line="252" w:lineRule="auto"/>
              <w:jc w:val="left"/>
            </w:pPr>
            <w:r>
              <w:rPr>
                <w:b w:val="0"/>
                <w:color w:val="000000"/>
                <w:sz w:val="21"/>
              </w:rPr>
              <w:t>Guimerà et al. [4]</w:t>
              <w:br/>
              <w:t>PNAS 2005</w:t>
            </w:r>
          </w:p>
        </w:tc>
        <w:tc>
          <w:tcPr>
            <w:tcW w:type="dxa" w:w="3485"/>
            <w:vAlign w:val="center"/>
            <w:tcMar>
              <w:top w:w="70" w:type="dxa"/>
              <w:bottom w:w="70" w:type="dxa"/>
              <w:left w:w="95" w:type="dxa"/>
              <w:right w:w="95" w:type="dxa"/>
            </w:tcMar>
            <w:shd w:fill="FFFFFF"/>
          </w:tcPr>
          <w:p>
            <w:pPr>
              <w:spacing w:after="0" w:line="252" w:lineRule="auto"/>
              <w:jc w:val="left"/>
            </w:pPr>
            <w:r>
              <w:rPr>
                <w:b w:val="0"/>
                <w:color w:val="000000"/>
                <w:sz w:val="21"/>
              </w:rPr>
              <w:t>Different notions of air-network importance</w:t>
            </w:r>
          </w:p>
        </w:tc>
        <w:tc>
          <w:tcPr>
            <w:tcW w:type="dxa" w:w="3658"/>
            <w:vAlign w:val="center"/>
            <w:tcMar>
              <w:top w:w="70" w:type="dxa"/>
              <w:bottom w:w="70" w:type="dxa"/>
              <w:left w:w="95" w:type="dxa"/>
              <w:right w:w="95" w:type="dxa"/>
            </w:tcMar>
            <w:shd w:fill="FFFFFF"/>
          </w:tcPr>
          <w:p>
            <w:pPr>
              <w:spacing w:after="0" w:line="252" w:lineRule="auto"/>
              <w:jc w:val="left"/>
            </w:pPr>
            <w:r>
              <w:rPr>
                <w:b w:val="0"/>
                <w:color w:val="000000"/>
                <w:sz w:val="21"/>
              </w:rPr>
              <w:t>Compare degree, traffic and centrality</w:t>
            </w:r>
          </w:p>
        </w:tc>
      </w:tr>
      <w:tr>
        <w:trPr>
          <w:cantSplit/>
        </w:trPr>
        <w:tc>
          <w:tcPr>
            <w:tcW w:type="dxa" w:w="2304"/>
            <w:vAlign w:val="center"/>
            <w:tcMar>
              <w:top w:w="70" w:type="dxa"/>
              <w:bottom w:w="70" w:type="dxa"/>
              <w:left w:w="95" w:type="dxa"/>
              <w:right w:w="95" w:type="dxa"/>
            </w:tcMar>
            <w:shd w:fill="FFFFFF"/>
          </w:tcPr>
          <w:p>
            <w:pPr>
              <w:spacing w:after="0" w:line="252" w:lineRule="auto"/>
              <w:jc w:val="left"/>
            </w:pPr>
            <w:r>
              <w:rPr>
                <w:b w:val="0"/>
                <w:color w:val="000000"/>
                <w:sz w:val="21"/>
              </w:rPr>
              <w:t>Brin and Page [5]</w:t>
              <w:br/>
              <w:t>Computer Networks 1998</w:t>
            </w:r>
          </w:p>
        </w:tc>
        <w:tc>
          <w:tcPr>
            <w:tcW w:type="dxa" w:w="3485"/>
            <w:vAlign w:val="center"/>
            <w:tcMar>
              <w:top w:w="70" w:type="dxa"/>
              <w:bottom w:w="70" w:type="dxa"/>
              <w:left w:w="95" w:type="dxa"/>
              <w:right w:w="95" w:type="dxa"/>
            </w:tcMar>
            <w:shd w:fill="FFFFFF"/>
          </w:tcPr>
          <w:p>
            <w:pPr>
              <w:spacing w:after="0" w:line="252" w:lineRule="auto"/>
              <w:jc w:val="left"/>
            </w:pPr>
            <w:r>
              <w:rPr>
                <w:b w:val="0"/>
                <w:color w:val="000000"/>
                <w:sz w:val="21"/>
              </w:rPr>
              <w:t>Link structure as an importance signal</w:t>
            </w:r>
          </w:p>
        </w:tc>
        <w:tc>
          <w:tcPr>
            <w:tcW w:type="dxa" w:w="3658"/>
            <w:vAlign w:val="center"/>
            <w:tcMar>
              <w:top w:w="70" w:type="dxa"/>
              <w:bottom w:w="70" w:type="dxa"/>
              <w:left w:w="95" w:type="dxa"/>
              <w:right w:w="95" w:type="dxa"/>
            </w:tcMar>
            <w:shd w:fill="FFFFFF"/>
          </w:tcPr>
          <w:p>
            <w:pPr>
              <w:spacing w:after="0" w:line="252" w:lineRule="auto"/>
              <w:jc w:val="left"/>
            </w:pPr>
            <w:r>
              <w:rPr>
                <w:b w:val="0"/>
                <w:color w:val="000000"/>
                <w:sz w:val="21"/>
              </w:rPr>
              <w:t>Topology PageRank baseline</w:t>
            </w:r>
          </w:p>
        </w:tc>
      </w:tr>
    </w:tbl>
    <w:p>
      <w:pPr>
        <w:widowControl/>
        <w:spacing w:after="0"/>
      </w:pPr>
    </w:p>
    <w:p>
      <w:pPr>
        <w:pStyle w:val="Heading2"/>
      </w:pPr>
      <w:r>
        <w:t>Integrated dataflow and iteration</w:t>
      </w:r>
    </w:p>
    <w:p>
      <w:pPr>
        <w:widowControl/>
      </w:pPr>
      <w:r>
        <w:t>GraphX [1] connects relational dataflow and graph views. This suits a task in which record cleaning is relational but network metrics require graph operations. The RDD paper [2] motivates reuse of immutable state across iterations. We materialize cached results, release obsolete state and checkpoint long iterations. The project does not reproduce distributed benchmarks or conduct worker-failure recovery experiments.</w:t>
      </w:r>
    </w:p>
    <w:p>
      <w:pPr>
        <w:pStyle w:val="Heading2"/>
      </w:pPr>
      <w:r>
        <w:t>Graph computation and interpretation</w:t>
      </w:r>
    </w:p>
    <w:p>
      <w:pPr>
        <w:widowControl/>
      </w:pPr>
      <w:r>
        <w:t>Pregel [3] expresses computation through synchronized vertex updates and message exchange. Our weighted PageRank uses GraphX aggregateMessages for incoming score and a separate global reduction for dangling mass. It does not implement a separate Pregel runtime or mutable graph topology.</w:t>
      </w:r>
    </w:p>
    <w:p>
      <w:pPr>
        <w:widowControl/>
      </w:pPr>
      <w:r>
        <w:t>Guimerà et al. [4] demonstrate why route degree does not capture every notion of importance in air transportation. Their worldwide city network and betweenness measure differ from this directed US-airport PageRank analysis. Their work motivates metric comparison; it does not make weak components or triangles equivalent to communities.</w:t>
      </w:r>
    </w:p>
    <w:p>
      <w:pPr>
        <w:widowControl/>
      </w:pPr>
      <w:r>
        <w:t>Brin and Page [5] motivate link-based importance. We adapt the transition probabilities to retained flight counts and compare them with a uniform custom baseline using the same convergence rule. Scores describe circulation in the defined flight network, not passenger demand or commercial value.</w:t>
      </w:r>
    </w:p>
    <w:p>
      <w:pPr>
        <w:pStyle w:val="Heading2"/>
      </w:pPr>
      <w:r>
        <w:t>Practical synthesis</w:t>
      </w:r>
    </w:p>
    <w:p>
      <w:pPr>
        <w:widowControl/>
      </w:pPr>
      <w:r>
        <w:t>Together, the sources support an integrated preparation-and-analysis workflow and careful metric interpretation. The project adds an audited cleaning policy, explicit delay denominators and independent correctness evidence. The research bibliography and the separate dataset and official-documentation references appear at the end.</w:t>
      </w:r>
    </w:p>
    <w:p>
      <w:r>
        <w:br w:type="page"/>
      </w:r>
    </w:p>
    <w:p>
      <w:pPr>
        <w:pStyle w:val="Heading1"/>
      </w:pPr>
      <w:r>
        <w:t>Problem Statement</w:t>
      </w:r>
    </w:p>
    <w:p>
      <w:pPr>
        <w:widowControl/>
      </w:pPr>
      <w:r>
        <w:t>Given the original flight, airport and airline CSV files, construct a valid directed airport network and compute interpretable graph and delay summaries. Every removal must have a recorded reason, and every output must be traceable to a validated run and exact input bytes.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214"/>
      </w:tblGrid>
      <w:tr>
        <w:trPr>
          <w:cantSplit/>
          <w:tblHeader/>
        </w:trPr>
        <w:tc>
          <w:tcPr>
            <w:tcW w:type="dxa" w:w="2232"/>
            <w:vAlign w:val="center"/>
            <w:tcMar>
              <w:top w:w="70" w:type="dxa"/>
              <w:bottom w:w="70" w:type="dxa"/>
              <w:left w:w="95" w:type="dxa"/>
              <w:right w:w="95" w:type="dxa"/>
            </w:tcMar>
            <w:shd w:fill="E7EDF2"/>
          </w:tcPr>
          <w:p>
            <w:pPr>
              <w:spacing w:after="0" w:line="252" w:lineRule="auto"/>
              <w:jc w:val="left"/>
            </w:pPr>
            <w:r>
              <w:rPr>
                <w:b/>
                <w:color w:val="000000"/>
                <w:sz w:val="21"/>
              </w:rPr>
              <w:t>Graph element</w:t>
            </w:r>
          </w:p>
        </w:tc>
        <w:tc>
          <w:tcPr>
            <w:tcW w:type="dxa" w:w="7214"/>
            <w:vAlign w:val="center"/>
            <w:tcMar>
              <w:top w:w="70" w:type="dxa"/>
              <w:bottom w:w="70" w:type="dxa"/>
              <w:left w:w="95" w:type="dxa"/>
              <w:right w:w="95" w:type="dxa"/>
            </w:tcMar>
            <w:shd w:fill="E7EDF2"/>
          </w:tcPr>
          <w:p>
            <w:pPr>
              <w:spacing w:after="0" w:line="252" w:lineRule="auto"/>
              <w:jc w:val="center"/>
            </w:pPr>
            <w:r>
              <w:rPr>
                <w:b/>
                <w:color w:val="000000"/>
                <w:sz w:val="21"/>
              </w:rPr>
              <w:t>Definition</w:t>
            </w:r>
          </w:p>
        </w:tc>
      </w:tr>
      <w:tr>
        <w:trPr>
          <w:cantSplit/>
        </w:trPr>
        <w:tc>
          <w:tcPr>
            <w:tcW w:type="dxa" w:w="2232"/>
            <w:vAlign w:val="center"/>
            <w:tcMar>
              <w:top w:w="70" w:type="dxa"/>
              <w:bottom w:w="70" w:type="dxa"/>
              <w:left w:w="95" w:type="dxa"/>
              <w:right w:w="95" w:type="dxa"/>
            </w:tcMar>
            <w:shd w:fill="FFFFFF"/>
          </w:tcPr>
          <w:p>
            <w:pPr>
              <w:spacing w:after="0" w:line="252" w:lineRule="auto"/>
              <w:jc w:val="left"/>
            </w:pPr>
            <w:r>
              <w:rPr>
                <w:b w:val="0"/>
                <w:color w:val="000000"/>
                <w:sz w:val="21"/>
              </w:rPr>
              <w:t>Vertex</w:t>
            </w:r>
          </w:p>
        </w:tc>
        <w:tc>
          <w:tcPr>
            <w:tcW w:type="dxa" w:w="7214"/>
            <w:vAlign w:val="center"/>
            <w:tcMar>
              <w:top w:w="70" w:type="dxa"/>
              <w:bottom w:w="70" w:type="dxa"/>
              <w:left w:w="95" w:type="dxa"/>
              <w:right w:w="95" w:type="dxa"/>
            </w:tcMar>
            <w:shd w:fill="FFFFFF"/>
          </w:tcPr>
          <w:p>
            <w:pPr>
              <w:spacing w:after="0" w:line="252" w:lineRule="auto"/>
              <w:jc w:val="left"/>
            </w:pPr>
            <w:r>
              <w:rPr>
                <w:b w:val="0"/>
                <w:color w:val="000000"/>
                <w:sz w:val="21"/>
              </w:rPr>
              <w:t>An airport appearing in at least one retained flight, with a stable ID and IATA label.</w:t>
            </w:r>
          </w:p>
        </w:tc>
      </w:tr>
      <w:tr>
        <w:trPr>
          <w:cantSplit/>
        </w:trPr>
        <w:tc>
          <w:tcPr>
            <w:tcW w:type="dxa" w:w="2232"/>
            <w:vAlign w:val="center"/>
            <w:tcMar>
              <w:top w:w="70" w:type="dxa"/>
              <w:bottom w:w="70" w:type="dxa"/>
              <w:left w:w="95" w:type="dxa"/>
              <w:right w:w="95" w:type="dxa"/>
            </w:tcMar>
            <w:shd w:fill="FFFFFF"/>
          </w:tcPr>
          <w:p>
            <w:pPr>
              <w:spacing w:after="0" w:line="252" w:lineRule="auto"/>
              <w:jc w:val="left"/>
            </w:pPr>
            <w:r>
              <w:rPr>
                <w:b w:val="0"/>
                <w:color w:val="000000"/>
                <w:sz w:val="21"/>
              </w:rPr>
              <w:t>Directed edge</w:t>
            </w:r>
          </w:p>
        </w:tc>
        <w:tc>
          <w:tcPr>
            <w:tcW w:type="dxa" w:w="7214"/>
            <w:vAlign w:val="center"/>
            <w:tcMar>
              <w:top w:w="70" w:type="dxa"/>
              <w:bottom w:w="70" w:type="dxa"/>
              <w:left w:w="95" w:type="dxa"/>
              <w:right w:w="95" w:type="dxa"/>
            </w:tcMar>
            <w:shd w:fill="FFFFFF"/>
          </w:tcPr>
          <w:p>
            <w:pPr>
              <w:spacing w:after="0" w:line="252" w:lineRule="auto"/>
              <w:jc w:val="left"/>
            </w:pPr>
            <w:r>
              <w:rPr>
                <w:b w:val="0"/>
                <w:color w:val="000000"/>
                <w:sz w:val="21"/>
              </w:rPr>
              <w:t>One retained origin–destination pair; reciprocal routes remain separate.</w:t>
            </w:r>
          </w:p>
        </w:tc>
      </w:tr>
      <w:tr>
        <w:trPr>
          <w:cantSplit/>
        </w:trPr>
        <w:tc>
          <w:tcPr>
            <w:tcW w:type="dxa" w:w="2232"/>
            <w:vAlign w:val="center"/>
            <w:tcMar>
              <w:top w:w="70" w:type="dxa"/>
              <w:bottom w:w="70" w:type="dxa"/>
              <w:left w:w="95" w:type="dxa"/>
              <w:right w:w="95" w:type="dxa"/>
            </w:tcMar>
            <w:shd w:fill="FFFFFF"/>
          </w:tcPr>
          <w:p>
            <w:pPr>
              <w:spacing w:after="0" w:line="252" w:lineRule="auto"/>
              <w:jc w:val="left"/>
            </w:pPr>
            <w:r>
              <w:rPr>
                <w:b w:val="0"/>
                <w:color w:val="000000"/>
                <w:sz w:val="21"/>
              </w:rPr>
              <w:t>Traffic weight</w:t>
            </w:r>
          </w:p>
        </w:tc>
        <w:tc>
          <w:tcPr>
            <w:tcW w:type="dxa" w:w="7214"/>
            <w:vAlign w:val="center"/>
            <w:tcMar>
              <w:top w:w="70" w:type="dxa"/>
              <w:bottom w:w="70" w:type="dxa"/>
              <w:left w:w="95" w:type="dxa"/>
              <w:right w:w="95" w:type="dxa"/>
            </w:tcMar>
            <w:shd w:fill="FFFFFF"/>
          </w:tcPr>
          <w:p>
            <w:pPr>
              <w:spacing w:after="0" w:line="252" w:lineRule="auto"/>
              <w:jc w:val="left"/>
            </w:pPr>
            <w:r>
              <w:rPr>
                <w:b w:val="0"/>
                <w:color w:val="000000"/>
                <w:sz w:val="21"/>
              </w:rPr>
              <w:t>Number of retained flights on the directed route.</w:t>
            </w:r>
          </w:p>
        </w:tc>
      </w:tr>
      <w:tr>
        <w:trPr>
          <w:cantSplit/>
        </w:trPr>
        <w:tc>
          <w:tcPr>
            <w:tcW w:type="dxa" w:w="2232"/>
            <w:vAlign w:val="center"/>
            <w:tcMar>
              <w:top w:w="70" w:type="dxa"/>
              <w:bottom w:w="70" w:type="dxa"/>
              <w:left w:w="95" w:type="dxa"/>
              <w:right w:w="95" w:type="dxa"/>
            </w:tcMar>
            <w:shd w:fill="FFFFFF"/>
          </w:tcPr>
          <w:p>
            <w:pPr>
              <w:spacing w:after="0" w:line="252" w:lineRule="auto"/>
              <w:jc w:val="left"/>
            </w:pPr>
            <w:r>
              <w:rPr>
                <w:b w:val="0"/>
                <w:color w:val="000000"/>
                <w:sz w:val="21"/>
              </w:rPr>
              <w:t>Delay attributes</w:t>
            </w:r>
          </w:p>
        </w:tc>
        <w:tc>
          <w:tcPr>
            <w:tcW w:type="dxa" w:w="7214"/>
            <w:vAlign w:val="center"/>
            <w:tcMar>
              <w:top w:w="70" w:type="dxa"/>
              <w:bottom w:w="70" w:type="dxa"/>
              <w:left w:w="95" w:type="dxa"/>
              <w:right w:w="95" w:type="dxa"/>
            </w:tcMar>
            <w:shd w:fill="FFFFFF"/>
          </w:tcPr>
          <w:p>
            <w:pPr>
              <w:spacing w:after="0" w:line="252" w:lineRule="auto"/>
              <w:jc w:val="left"/>
            </w:pPr>
            <w:r>
              <w:rPr>
                <w:b w:val="0"/>
                <w:color w:val="000000"/>
                <w:sz w:val="21"/>
              </w:rPr>
              <w:t>Observed delay count, sum, mean and number delayed at least 15 minutes.</w:t>
            </w:r>
          </w:p>
        </w:tc>
      </w:tr>
      <w:tr>
        <w:trPr>
          <w:cantSplit/>
        </w:trPr>
        <w:tc>
          <w:tcPr>
            <w:tcW w:type="dxa" w:w="2232"/>
            <w:vAlign w:val="center"/>
            <w:tcMar>
              <w:top w:w="70" w:type="dxa"/>
              <w:bottom w:w="70" w:type="dxa"/>
              <w:left w:w="95" w:type="dxa"/>
              <w:right w:w="95" w:type="dxa"/>
            </w:tcMar>
            <w:shd w:fill="FFFFFF"/>
          </w:tcPr>
          <w:p>
            <w:pPr>
              <w:spacing w:after="0" w:line="252" w:lineRule="auto"/>
              <w:jc w:val="left"/>
            </w:pPr>
            <w:r>
              <w:rPr>
                <w:b w:val="0"/>
                <w:color w:val="000000"/>
                <w:sz w:val="21"/>
              </w:rPr>
              <w:t>Undirected projection</w:t>
            </w:r>
          </w:p>
        </w:tc>
        <w:tc>
          <w:tcPr>
            <w:tcW w:type="dxa" w:w="7214"/>
            <w:vAlign w:val="center"/>
            <w:tcMar>
              <w:top w:w="70" w:type="dxa"/>
              <w:bottom w:w="70" w:type="dxa"/>
              <w:left w:w="95" w:type="dxa"/>
              <w:right w:w="95" w:type="dxa"/>
            </w:tcMar>
            <w:shd w:fill="FFFFFF"/>
          </w:tcPr>
          <w:p>
            <w:pPr>
              <w:spacing w:after="0" w:line="252" w:lineRule="auto"/>
              <w:jc w:val="left"/>
            </w:pPr>
            <w:r>
              <w:rPr>
                <w:b w:val="0"/>
                <w:color w:val="000000"/>
                <w:sz w:val="21"/>
              </w:rPr>
              <w:t>Each unordered airport pair appears once, for triangle and clustering analysis.</w:t>
            </w:r>
          </w:p>
        </w:tc>
      </w:tr>
    </w:tbl>
    <w:p>
      <w:pPr>
        <w:widowControl/>
        <w:spacing w:after="0"/>
      </w:pPr>
    </w:p>
    <w:p>
      <w:pPr>
        <w:pStyle w:val="Heading2"/>
      </w:pPr>
      <w:r>
        <w:t>Research questions</w:t>
      </w:r>
    </w:p>
    <w:p>
      <w:pPr>
        <w:pStyle w:val="ListNumber"/>
        <w:widowControl/>
      </w:pPr>
      <w:r>
        <w:t>Which airports rank highest under topology and traffic weighting, and how do these rankings relate to degree and traffic?</w:t>
      </w:r>
    </w:p>
    <w:p>
      <w:pPr>
        <w:pStyle w:val="ListNumber"/>
        <w:widowControl/>
      </w:pPr>
      <w:r>
        <w:t>Is the retained network weakly connected, and how interconnected are airports’ local neighborhoods?</w:t>
      </w:r>
    </w:p>
    <w:p>
      <w:pPr>
        <w:pStyle w:val="ListNumber"/>
        <w:widowControl/>
      </w:pPr>
      <w:r>
        <w:t>How many observed flight legs are needed to reach ATL, ORD and DFW, and which airports cannot reach them?</w:t>
      </w:r>
    </w:p>
    <w:p>
      <w:pPr>
        <w:pStyle w:val="ListNumber"/>
        <w:widowControl/>
      </w:pPr>
      <w:r>
        <w:t>Which routes meeting the traffic threshold have high mean arrival delays, and how does airport centrality relate to delay?</w:t>
      </w:r>
    </w:p>
    <w:p>
      <w:pPr>
        <w:pStyle w:val="ListNumber"/>
        <w:widowControl/>
      </w:pPr>
      <w:r>
        <w:t>How do exclusions affect monthly coverage, and what processing cost is observed on the available machine?</w:t>
      </w:r>
    </w:p>
    <w:p>
      <w:pPr>
        <w:pStyle w:val="Heading2"/>
      </w:pPr>
      <w:r>
        <w:t>Input challenges and constraints</w:t>
      </w:r>
    </w:p>
    <w:p>
      <w:pPr>
        <w:widowControl/>
      </w:pPr>
      <w:r>
        <w:t>The input contains cancelled and diverted flights, numeric airport identifiers and potentially missing or invalid fields. Airport lookups must have unique keys; a conflicting lookup is rejected rather than allowed to multiply joined rows. Repeated flights are traffic observations and are not removed merely because they share a route. Missing delay is distinct from observed zero delay, while negative delay represents early arrival.</w:t>
      </w:r>
    </w:p>
    <w:p>
      <w:pPr>
        <w:pStyle w:val="Heading2"/>
      </w:pPr>
      <w:r>
        <w:t>Success conditions and interpretation</w:t>
      </w:r>
    </w:p>
    <w:p>
      <w:pPr>
        <w:widowControl/>
      </w:pPr>
      <w:r>
        <w:t>A successful run must conserve retained flight counts and delay observations, resolve every edge endpoint, preserve stable labels, produce finite converged custom rank scores and validate reloaded results. HDFS must actually store raw, clean and result data. Fixture oracles test algorithm behavior, while real-file runs support airline findings.</w:t>
      </w:r>
    </w:p>
    <w:p>
      <w:pPr>
        <w:widowControl/>
      </w:pPr>
      <w:r>
        <w:t>Weak connectivity ignores direction. Hop counts follow observed route direction toward a hub; they do not identify a feasible itinerary, price or travel duration. Delay statistics are descriptive and cannot establish causation or propagation. These distinctions constrain both the algorithms and the interpretation of their outputs.</w:t>
      </w:r>
    </w:p>
    <w:p>
      <w:r>
        <w:br w:type="page"/>
      </w:r>
    </w:p>
    <w:p>
      <w:pPr>
        <w:pStyle w:val="Heading1"/>
      </w:pPr>
      <w:r>
        <w:t>Proposed Solution / Architecture</w:t>
      </w:r>
    </w:p>
    <w:p>
      <w:pPr>
        <w:keepNext/>
        <w:spacing w:after="60"/>
        <w:jc w:val="center"/>
      </w:pPr>
      <w:r>
        <w:drawing>
          <wp:inline xmlns:a="http://schemas.openxmlformats.org/drawingml/2006/main" xmlns:pic="http://schemas.openxmlformats.org/drawingml/2006/picture">
            <wp:extent cx="5943600" cy="2171700"/>
            <wp:docPr id="1" name="Picture 1" descr="Figure 1  Data transitions in the implemented pipeline"/>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43600" cy="2171700"/>
                    </a:xfrm>
                    <a:prstGeom prst="rect"/>
                  </pic:spPr>
                </pic:pic>
              </a:graphicData>
            </a:graphic>
          </wp:inline>
        </w:drawing>
      </w:r>
    </w:p>
    <w:p>
      <w:pPr>
        <w:pStyle w:val="Caption"/>
        <w:widowControl/>
        <w:jc w:val="center"/>
      </w:pPr>
      <w:r>
        <w:t>Figure 1  Data transitions in the implemented pipeline</w:t>
      </w:r>
    </w:p>
    <w:p>
      <w:pPr>
        <w:widowControl/>
      </w:pPr>
      <w:r>
        <w:t>The workflow preserves three storage boundaries. Original CSV files and a manifest are ingested into HDFS. Spark SQL writes cleaned vertices, edges and audits as Parquet. GraphX reloads those tables, writes structured results and then validation reloads the saved outputs. CSV exports contain compact aggregate tables used for figures and analysis.</w:t>
      </w:r>
    </w:p>
    <w:p>
      <w:pPr>
        <w:pStyle w:val="Heading2"/>
      </w:pPr>
      <w:r>
        <w:t>Execution environment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566"/>
      </w:tblGrid>
      <w:tr>
        <w:trPr>
          <w:cantSplit/>
          <w:tblHeader/>
        </w:trPr>
        <w:tc>
          <w:tcPr>
            <w:tcW w:type="dxa" w:w="2880"/>
            <w:vAlign w:val="center"/>
            <w:tcMar>
              <w:top w:w="70" w:type="dxa"/>
              <w:bottom w:w="70" w:type="dxa"/>
              <w:left w:w="95" w:type="dxa"/>
              <w:right w:w="95" w:type="dxa"/>
            </w:tcMar>
            <w:shd w:fill="E7EDF2"/>
          </w:tcPr>
          <w:p>
            <w:pPr>
              <w:spacing w:after="0" w:line="252" w:lineRule="auto"/>
              <w:jc w:val="left"/>
            </w:pPr>
            <w:r>
              <w:rPr>
                <w:b/>
                <w:color w:val="000000"/>
                <w:sz w:val="21"/>
              </w:rPr>
              <w:t>Component</w:t>
            </w:r>
          </w:p>
        </w:tc>
        <w:tc>
          <w:tcPr>
            <w:tcW w:type="dxa" w:w="6566"/>
            <w:vAlign w:val="center"/>
            <w:tcMar>
              <w:top w:w="70" w:type="dxa"/>
              <w:bottom w:w="70" w:type="dxa"/>
              <w:left w:w="95" w:type="dxa"/>
              <w:right w:w="95" w:type="dxa"/>
            </w:tcMar>
            <w:shd w:fill="E7EDF2"/>
          </w:tcPr>
          <w:p>
            <w:pPr>
              <w:spacing w:after="0" w:line="252" w:lineRule="auto"/>
              <w:jc w:val="center"/>
            </w:pPr>
            <w:r>
              <w:rPr>
                <w:b/>
                <w:color w:val="000000"/>
                <w:sz w:val="21"/>
              </w:rPr>
              <w:t>Tested setting</w:t>
            </w:r>
          </w:p>
        </w:tc>
      </w:tr>
      <w:tr>
        <w:trPr>
          <w:cantSplit/>
        </w:trPr>
        <w:tc>
          <w:tcPr>
            <w:tcW w:type="dxa" w:w="2880"/>
            <w:vAlign w:val="center"/>
            <w:tcMar>
              <w:top w:w="70" w:type="dxa"/>
              <w:bottom w:w="70" w:type="dxa"/>
              <w:left w:w="95" w:type="dxa"/>
              <w:right w:w="95" w:type="dxa"/>
            </w:tcMar>
            <w:shd w:fill="FFFFFF"/>
          </w:tcPr>
          <w:p>
            <w:pPr>
              <w:spacing w:after="0" w:line="252" w:lineRule="auto"/>
              <w:jc w:val="left"/>
            </w:pPr>
            <w:r>
              <w:rPr>
                <w:b w:val="0"/>
                <w:color w:val="000000"/>
                <w:sz w:val="21"/>
              </w:rPr>
              <w:t>Operating system</w:t>
            </w:r>
          </w:p>
        </w:tc>
        <w:tc>
          <w:tcPr>
            <w:tcW w:type="dxa" w:w="6566"/>
            <w:vAlign w:val="center"/>
            <w:tcMar>
              <w:top w:w="70" w:type="dxa"/>
              <w:bottom w:w="70" w:type="dxa"/>
              <w:left w:w="95" w:type="dxa"/>
              <w:right w:w="95" w:type="dxa"/>
            </w:tcMar>
            <w:shd w:fill="FFFFFF"/>
          </w:tcPr>
          <w:p>
            <w:pPr>
              <w:spacing w:after="0" w:line="252" w:lineRule="auto"/>
              <w:jc w:val="left"/>
            </w:pPr>
            <w:r>
              <w:rPr>
                <w:b w:val="0"/>
                <w:color w:val="000000"/>
                <w:sz w:val="21"/>
              </w:rPr>
              <w:t>Fedora Linux 44, x86_64</w:t>
            </w:r>
          </w:p>
        </w:tc>
      </w:tr>
      <w:tr>
        <w:trPr>
          <w:cantSplit/>
        </w:trPr>
        <w:tc>
          <w:tcPr>
            <w:tcW w:type="dxa" w:w="2880"/>
            <w:vAlign w:val="center"/>
            <w:tcMar>
              <w:top w:w="70" w:type="dxa"/>
              <w:bottom w:w="70" w:type="dxa"/>
              <w:left w:w="95" w:type="dxa"/>
              <w:right w:w="95" w:type="dxa"/>
            </w:tcMar>
            <w:shd w:fill="FFFFFF"/>
          </w:tcPr>
          <w:p>
            <w:pPr>
              <w:spacing w:after="0" w:line="252" w:lineRule="auto"/>
              <w:jc w:val="left"/>
            </w:pPr>
            <w:r>
              <w:rPr>
                <w:b w:val="0"/>
                <w:color w:val="000000"/>
                <w:sz w:val="21"/>
              </w:rPr>
              <w:t>Hadoop and daemon Java</w:t>
            </w:r>
          </w:p>
        </w:tc>
        <w:tc>
          <w:tcPr>
            <w:tcW w:type="dxa" w:w="6566"/>
            <w:vAlign w:val="center"/>
            <w:tcMar>
              <w:top w:w="70" w:type="dxa"/>
              <w:bottom w:w="70" w:type="dxa"/>
              <w:left w:w="95" w:type="dxa"/>
              <w:right w:w="95" w:type="dxa"/>
            </w:tcMar>
            <w:shd w:fill="FFFFFF"/>
          </w:tcPr>
          <w:p>
            <w:pPr>
              <w:spacing w:after="0" w:line="252" w:lineRule="auto"/>
              <w:jc w:val="left"/>
            </w:pPr>
            <w:r>
              <w:rPr>
                <w:b w:val="0"/>
                <w:color w:val="000000"/>
                <w:sz w:val="21"/>
              </w:rPr>
              <w:t>Hadoop 3.4.1; Temurin 11.0.32.1+1</w:t>
            </w:r>
          </w:p>
        </w:tc>
      </w:tr>
      <w:tr>
        <w:trPr>
          <w:cantSplit/>
        </w:trPr>
        <w:tc>
          <w:tcPr>
            <w:tcW w:type="dxa" w:w="2880"/>
            <w:vAlign w:val="center"/>
            <w:tcMar>
              <w:top w:w="70" w:type="dxa"/>
              <w:bottom w:w="70" w:type="dxa"/>
              <w:left w:w="95" w:type="dxa"/>
              <w:right w:w="95" w:type="dxa"/>
            </w:tcMar>
            <w:shd w:fill="FFFFFF"/>
          </w:tcPr>
          <w:p>
            <w:pPr>
              <w:spacing w:after="0" w:line="252" w:lineRule="auto"/>
              <w:jc w:val="left"/>
            </w:pPr>
            <w:r>
              <w:rPr>
                <w:b w:val="0"/>
                <w:color w:val="000000"/>
                <w:sz w:val="21"/>
              </w:rPr>
              <w:t>Spark and Scala</w:t>
            </w:r>
          </w:p>
        </w:tc>
        <w:tc>
          <w:tcPr>
            <w:tcW w:type="dxa" w:w="6566"/>
            <w:vAlign w:val="center"/>
            <w:tcMar>
              <w:top w:w="70" w:type="dxa"/>
              <w:bottom w:w="70" w:type="dxa"/>
              <w:left w:w="95" w:type="dxa"/>
              <w:right w:w="95" w:type="dxa"/>
            </w:tcMar>
            <w:shd w:fill="FFFFFF"/>
          </w:tcPr>
          <w:p>
            <w:pPr>
              <w:spacing w:after="0" w:line="252" w:lineRule="auto"/>
              <w:jc w:val="left"/>
            </w:pPr>
            <w:r>
              <w:rPr>
                <w:b w:val="0"/>
                <w:color w:val="000000"/>
                <w:sz w:val="21"/>
              </w:rPr>
              <w:t>Spark 3.5.9; Scala 2.13.8</w:t>
            </w:r>
          </w:p>
        </w:tc>
      </w:tr>
      <w:tr>
        <w:trPr>
          <w:cantSplit/>
        </w:trPr>
        <w:tc>
          <w:tcPr>
            <w:tcW w:type="dxa" w:w="2880"/>
            <w:vAlign w:val="center"/>
            <w:tcMar>
              <w:top w:w="70" w:type="dxa"/>
              <w:bottom w:w="70" w:type="dxa"/>
              <w:left w:w="95" w:type="dxa"/>
              <w:right w:w="95" w:type="dxa"/>
            </w:tcMar>
            <w:shd w:fill="FFFFFF"/>
          </w:tcPr>
          <w:p>
            <w:pPr>
              <w:spacing w:after="0" w:line="252" w:lineRule="auto"/>
              <w:jc w:val="left"/>
            </w:pPr>
            <w:r>
              <w:rPr>
                <w:b w:val="0"/>
                <w:color w:val="000000"/>
                <w:sz w:val="21"/>
              </w:rPr>
              <w:t>Spark Java and HDFS client</w:t>
            </w:r>
          </w:p>
        </w:tc>
        <w:tc>
          <w:tcPr>
            <w:tcW w:type="dxa" w:w="6566"/>
            <w:vAlign w:val="center"/>
            <w:tcMar>
              <w:top w:w="70" w:type="dxa"/>
              <w:bottom w:w="70" w:type="dxa"/>
              <w:left w:w="95" w:type="dxa"/>
              <w:right w:w="95" w:type="dxa"/>
            </w:tcMar>
            <w:shd w:fill="FFFFFF"/>
          </w:tcPr>
          <w:p>
            <w:pPr>
              <w:spacing w:after="0" w:line="252" w:lineRule="auto"/>
              <w:jc w:val="left"/>
            </w:pPr>
            <w:r>
              <w:rPr>
                <w:b w:val="0"/>
                <w:color w:val="000000"/>
                <w:sz w:val="21"/>
              </w:rPr>
              <w:t>Java 17.0.16; bundled Hadoop client 3.3.4</w:t>
            </w:r>
          </w:p>
        </w:tc>
      </w:tr>
      <w:tr>
        <w:trPr>
          <w:cantSplit/>
        </w:trPr>
        <w:tc>
          <w:tcPr>
            <w:tcW w:type="dxa" w:w="2880"/>
            <w:vAlign w:val="center"/>
            <w:tcMar>
              <w:top w:w="70" w:type="dxa"/>
              <w:bottom w:w="70" w:type="dxa"/>
              <w:left w:w="95" w:type="dxa"/>
              <w:right w:w="95" w:type="dxa"/>
            </w:tcMar>
            <w:shd w:fill="FFFFFF"/>
          </w:tcPr>
          <w:p>
            <w:pPr>
              <w:spacing w:after="0" w:line="252" w:lineRule="auto"/>
              <w:jc w:val="left"/>
            </w:pPr>
            <w:r>
              <w:rPr>
                <w:b w:val="0"/>
                <w:color w:val="000000"/>
                <w:sz w:val="21"/>
              </w:rPr>
              <w:t>Execution resources</w:t>
            </w:r>
          </w:p>
        </w:tc>
        <w:tc>
          <w:tcPr>
            <w:tcW w:type="dxa" w:w="6566"/>
            <w:vAlign w:val="center"/>
            <w:tcMar>
              <w:top w:w="70" w:type="dxa"/>
              <w:bottom w:w="70" w:type="dxa"/>
              <w:left w:w="95" w:type="dxa"/>
              <w:right w:w="95" w:type="dxa"/>
            </w:tcMar>
            <w:shd w:fill="FFFFFF"/>
          </w:tcPr>
          <w:p>
            <w:pPr>
              <w:spacing w:after="0" w:line="252" w:lineRule="auto"/>
              <w:jc w:val="left"/>
            </w:pPr>
            <w:r>
              <w:rPr>
                <w:b w:val="0"/>
                <w:color w:val="000000"/>
                <w:sz w:val="21"/>
              </w:rPr>
              <w:t>local[2]; 2 GiB driver heap; four shuffle and graph partitions</w:t>
            </w:r>
          </w:p>
        </w:tc>
      </w:tr>
      <w:tr>
        <w:trPr>
          <w:cantSplit/>
        </w:trPr>
        <w:tc>
          <w:tcPr>
            <w:tcW w:type="dxa" w:w="2880"/>
            <w:vAlign w:val="center"/>
            <w:tcMar>
              <w:top w:w="70" w:type="dxa"/>
              <w:bottom w:w="70" w:type="dxa"/>
              <w:left w:w="95" w:type="dxa"/>
              <w:right w:w="95" w:type="dxa"/>
            </w:tcMar>
            <w:shd w:fill="FFFFFF"/>
          </w:tcPr>
          <w:p>
            <w:pPr>
              <w:spacing w:after="0" w:line="252" w:lineRule="auto"/>
              <w:jc w:val="left"/>
            </w:pPr>
            <w:r>
              <w:rPr>
                <w:b w:val="0"/>
                <w:color w:val="000000"/>
                <w:sz w:val="21"/>
              </w:rPr>
              <w:t>Storage</w:t>
            </w:r>
          </w:p>
        </w:tc>
        <w:tc>
          <w:tcPr>
            <w:tcW w:type="dxa" w:w="6566"/>
            <w:vAlign w:val="center"/>
            <w:tcMar>
              <w:top w:w="70" w:type="dxa"/>
              <w:bottom w:w="70" w:type="dxa"/>
              <w:left w:w="95" w:type="dxa"/>
              <w:right w:w="95" w:type="dxa"/>
            </w:tcMar>
            <w:shd w:fill="FFFFFF"/>
          </w:tcPr>
          <w:p>
            <w:pPr>
              <w:spacing w:after="0" w:line="252" w:lineRule="auto"/>
              <w:jc w:val="left"/>
            </w:pPr>
            <w:r>
              <w:rPr>
                <w:b w:val="0"/>
                <w:color w:val="000000"/>
                <w:sz w:val="21"/>
              </w:rPr>
              <w:t>hdfs://localhost:9000; single-node HDFS, replication one</w:t>
            </w:r>
          </w:p>
        </w:tc>
      </w:tr>
    </w:tbl>
    <w:p>
      <w:pPr>
        <w:widowControl/>
        <w:spacing w:after="0"/>
      </w:pPr>
    </w:p>
    <w:p>
      <w:pPr>
        <w:widowControl/>
      </w:pPr>
      <w:r>
        <w:t>Hadoop and Spark use separate supported Java installations [8]. The original Hadoop environment file was backed up before its Java path was updated; existing storage was preserved. A Spark smoke test wrote and reloaded an HDFS object before the full stages ran. No bundled Hadoop client JARs were replaced.</w:t>
      </w:r>
    </w:p>
    <w:p>
      <w:pPr>
        <w:pStyle w:val="Heading2"/>
      </w:pPr>
      <w:r>
        <w:t>Orchestration and failure handling</w:t>
      </w:r>
    </w:p>
    <w:p>
      <w:pPr>
        <w:widowControl/>
      </w:pPr>
      <w:r>
        <w:t>Shell scripts assign fresh run IDs, record configuration and source hashes, ingest inputs and run Scala stages through spark-shell. Each stage needs an exact completion message and a persisted marker. Compiler or execution failures stop the run. Existing run directories are never silently overwritten. Environment-specific daemon termination was resolved by retaining a terminal session, and startup waits for HDFS to leave safe mode.</w:t>
      </w:r>
    </w:p>
    <w:p>
      <w:r>
        <w:br w:type="page"/>
      </w:r>
    </w:p>
    <w:p>
      <w:pPr>
        <w:pStyle w:val="Heading2"/>
      </w:pPr>
      <w:r>
        <w:t>Data preparation and persistence</w:t>
      </w:r>
    </w:p>
    <w:p>
      <w:pPr>
        <w:pStyle w:val="Heading3"/>
      </w:pPr>
      <w:r>
        <w:t>Acquisition and input identity</w:t>
      </w:r>
    </w:p>
    <w:p>
      <w:pPr>
        <w:widowControl/>
      </w:pPr>
      <w:r>
        <w:t>The public Kaggle endpoint supplied dataset 810, version 1 [6], acquired on 13 October 2026. Publisher metadata reports CC0 Public Domain. The 200,067,268-byte archive passed CRC and inventory checks. SHA-256 hashes, acquisition time, headers, parsed record counts and source metadata were saved before HDFS ingestion. Reusing a dataset ID requires matching input identity.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2966"/>
        <w:gridCol w:w="2952"/>
      </w:tblGrid>
      <w:tr>
        <w:trPr>
          <w:cantSplit/>
          <w:tblHeader/>
        </w:trPr>
        <w:tc>
          <w:tcPr>
            <w:tcW w:type="dxa" w:w="3528"/>
            <w:vAlign w:val="center"/>
            <w:tcMar>
              <w:top w:w="70" w:type="dxa"/>
              <w:bottom w:w="70" w:type="dxa"/>
              <w:left w:w="95" w:type="dxa"/>
              <w:right w:w="95" w:type="dxa"/>
            </w:tcMar>
            <w:shd w:fill="E7EDF2"/>
          </w:tcPr>
          <w:p>
            <w:pPr>
              <w:spacing w:after="0" w:line="252" w:lineRule="auto"/>
              <w:jc w:val="left"/>
            </w:pPr>
            <w:r>
              <w:rPr>
                <w:b/>
                <w:color w:val="000000"/>
                <w:sz w:val="21"/>
              </w:rPr>
              <w:t>File</w:t>
            </w:r>
          </w:p>
        </w:tc>
        <w:tc>
          <w:tcPr>
            <w:tcW w:type="dxa" w:w="2966"/>
            <w:vAlign w:val="center"/>
            <w:tcMar>
              <w:top w:w="70" w:type="dxa"/>
              <w:bottom w:w="70" w:type="dxa"/>
              <w:left w:w="95" w:type="dxa"/>
              <w:right w:w="95" w:type="dxa"/>
            </w:tcMar>
            <w:shd w:fill="E7EDF2"/>
          </w:tcPr>
          <w:p>
            <w:pPr>
              <w:spacing w:after="0" w:line="252" w:lineRule="auto"/>
              <w:jc w:val="center"/>
            </w:pPr>
            <w:r>
              <w:rPr>
                <w:b/>
                <w:color w:val="000000"/>
                <w:sz w:val="21"/>
              </w:rPr>
              <w:t>Bytes</w:t>
            </w:r>
          </w:p>
        </w:tc>
        <w:tc>
          <w:tcPr>
            <w:tcW w:type="dxa" w:w="2952"/>
            <w:vAlign w:val="center"/>
            <w:tcMar>
              <w:top w:w="70" w:type="dxa"/>
              <w:bottom w:w="70" w:type="dxa"/>
              <w:left w:w="95" w:type="dxa"/>
              <w:right w:w="95" w:type="dxa"/>
            </w:tcMar>
            <w:shd w:fill="E7EDF2"/>
          </w:tcPr>
          <w:p>
            <w:pPr>
              <w:spacing w:after="0" w:line="252" w:lineRule="auto"/>
              <w:jc w:val="center"/>
            </w:pPr>
            <w:r>
              <w:rPr>
                <w:b/>
                <w:color w:val="000000"/>
                <w:sz w:val="21"/>
              </w:rPr>
              <w:t>Parsed records</w:t>
            </w:r>
          </w:p>
        </w:tc>
      </w:tr>
      <w:tr>
        <w:trPr>
          <w:cantSplit/>
        </w:trPr>
        <w:tc>
          <w:tcPr>
            <w:tcW w:type="dxa" w:w="3528"/>
            <w:vAlign w:val="center"/>
            <w:tcMar>
              <w:top w:w="70" w:type="dxa"/>
              <w:bottom w:w="70" w:type="dxa"/>
              <w:left w:w="95" w:type="dxa"/>
              <w:right w:w="95" w:type="dxa"/>
            </w:tcMar>
            <w:shd w:fill="FFFFFF"/>
          </w:tcPr>
          <w:p>
            <w:pPr>
              <w:spacing w:after="0" w:line="252" w:lineRule="auto"/>
              <w:jc w:val="left"/>
            </w:pPr>
            <w:r>
              <w:rPr>
                <w:b w:val="0"/>
                <w:color w:val="000000"/>
                <w:sz w:val="21"/>
              </w:rPr>
              <w:t>flights.csv</w:t>
            </w:r>
          </w:p>
        </w:tc>
        <w:tc>
          <w:tcPr>
            <w:tcW w:type="dxa" w:w="2966"/>
            <w:vAlign w:val="center"/>
            <w:tcMar>
              <w:top w:w="70" w:type="dxa"/>
              <w:bottom w:w="70" w:type="dxa"/>
              <w:left w:w="95" w:type="dxa"/>
              <w:right w:w="95" w:type="dxa"/>
            </w:tcMar>
            <w:shd w:fill="FFFFFF"/>
          </w:tcPr>
          <w:p>
            <w:pPr>
              <w:spacing w:after="0" w:line="252" w:lineRule="auto"/>
              <w:jc w:val="center"/>
            </w:pPr>
            <w:r>
              <w:rPr>
                <w:b w:val="0"/>
                <w:color w:val="000000"/>
                <w:sz w:val="21"/>
              </w:rPr>
              <w:t>592,406,591</w:t>
            </w:r>
          </w:p>
        </w:tc>
        <w:tc>
          <w:tcPr>
            <w:tcW w:type="dxa" w:w="2952"/>
            <w:vAlign w:val="center"/>
            <w:tcMar>
              <w:top w:w="70" w:type="dxa"/>
              <w:bottom w:w="70" w:type="dxa"/>
              <w:left w:w="95" w:type="dxa"/>
              <w:right w:w="95" w:type="dxa"/>
            </w:tcMar>
            <w:shd w:fill="FFFFFF"/>
          </w:tcPr>
          <w:p>
            <w:pPr>
              <w:spacing w:after="0" w:line="252" w:lineRule="auto"/>
              <w:jc w:val="center"/>
            </w:pPr>
            <w:r>
              <w:rPr>
                <w:b w:val="0"/>
                <w:color w:val="000000"/>
                <w:sz w:val="21"/>
              </w:rPr>
              <w:t>5,819,079</w:t>
            </w:r>
          </w:p>
        </w:tc>
      </w:tr>
      <w:tr>
        <w:trPr>
          <w:cantSplit/>
        </w:trPr>
        <w:tc>
          <w:tcPr>
            <w:tcW w:type="dxa" w:w="3528"/>
            <w:vAlign w:val="center"/>
            <w:tcMar>
              <w:top w:w="70" w:type="dxa"/>
              <w:bottom w:w="70" w:type="dxa"/>
              <w:left w:w="95" w:type="dxa"/>
              <w:right w:w="95" w:type="dxa"/>
            </w:tcMar>
            <w:shd w:fill="FFFFFF"/>
          </w:tcPr>
          <w:p>
            <w:pPr>
              <w:spacing w:after="0" w:line="252" w:lineRule="auto"/>
              <w:jc w:val="left"/>
            </w:pPr>
            <w:r>
              <w:rPr>
                <w:b w:val="0"/>
                <w:color w:val="000000"/>
                <w:sz w:val="21"/>
              </w:rPr>
              <w:t>airports.csv</w:t>
            </w:r>
          </w:p>
        </w:tc>
        <w:tc>
          <w:tcPr>
            <w:tcW w:type="dxa" w:w="2966"/>
            <w:vAlign w:val="center"/>
            <w:tcMar>
              <w:top w:w="70" w:type="dxa"/>
              <w:bottom w:w="70" w:type="dxa"/>
              <w:left w:w="95" w:type="dxa"/>
              <w:right w:w="95" w:type="dxa"/>
            </w:tcMar>
            <w:shd w:fill="FFFFFF"/>
          </w:tcPr>
          <w:p>
            <w:pPr>
              <w:spacing w:after="0" w:line="252" w:lineRule="auto"/>
              <w:jc w:val="center"/>
            </w:pPr>
            <w:r>
              <w:rPr>
                <w:b w:val="0"/>
                <w:color w:val="000000"/>
                <w:sz w:val="21"/>
              </w:rPr>
              <w:t>23,867</w:t>
            </w:r>
          </w:p>
        </w:tc>
        <w:tc>
          <w:tcPr>
            <w:tcW w:type="dxa" w:w="2952"/>
            <w:vAlign w:val="center"/>
            <w:tcMar>
              <w:top w:w="70" w:type="dxa"/>
              <w:bottom w:w="70" w:type="dxa"/>
              <w:left w:w="95" w:type="dxa"/>
              <w:right w:w="95" w:type="dxa"/>
            </w:tcMar>
            <w:shd w:fill="FFFFFF"/>
          </w:tcPr>
          <w:p>
            <w:pPr>
              <w:spacing w:after="0" w:line="252" w:lineRule="auto"/>
              <w:jc w:val="center"/>
            </w:pPr>
            <w:r>
              <w:rPr>
                <w:b w:val="0"/>
                <w:color w:val="000000"/>
                <w:sz w:val="21"/>
              </w:rPr>
              <w:t>322</w:t>
            </w:r>
          </w:p>
        </w:tc>
      </w:tr>
      <w:tr>
        <w:trPr>
          <w:cantSplit/>
        </w:trPr>
        <w:tc>
          <w:tcPr>
            <w:tcW w:type="dxa" w:w="3528"/>
            <w:vAlign w:val="center"/>
            <w:tcMar>
              <w:top w:w="70" w:type="dxa"/>
              <w:bottom w:w="70" w:type="dxa"/>
              <w:left w:w="95" w:type="dxa"/>
              <w:right w:w="95" w:type="dxa"/>
            </w:tcMar>
            <w:shd w:fill="FFFFFF"/>
          </w:tcPr>
          <w:p>
            <w:pPr>
              <w:spacing w:after="0" w:line="252" w:lineRule="auto"/>
              <w:jc w:val="left"/>
            </w:pPr>
            <w:r>
              <w:rPr>
                <w:b w:val="0"/>
                <w:color w:val="000000"/>
                <w:sz w:val="21"/>
              </w:rPr>
              <w:t>airlines.csv</w:t>
            </w:r>
          </w:p>
        </w:tc>
        <w:tc>
          <w:tcPr>
            <w:tcW w:type="dxa" w:w="2966"/>
            <w:vAlign w:val="center"/>
            <w:tcMar>
              <w:top w:w="70" w:type="dxa"/>
              <w:bottom w:w="70" w:type="dxa"/>
              <w:left w:w="95" w:type="dxa"/>
              <w:right w:w="95" w:type="dxa"/>
            </w:tcMar>
            <w:shd w:fill="FFFFFF"/>
          </w:tcPr>
          <w:p>
            <w:pPr>
              <w:spacing w:after="0" w:line="252" w:lineRule="auto"/>
              <w:jc w:val="center"/>
            </w:pPr>
            <w:r>
              <w:rPr>
                <w:b w:val="0"/>
                <w:color w:val="000000"/>
                <w:sz w:val="21"/>
              </w:rPr>
              <w:t>359</w:t>
            </w:r>
          </w:p>
        </w:tc>
        <w:tc>
          <w:tcPr>
            <w:tcW w:type="dxa" w:w="2952"/>
            <w:vAlign w:val="center"/>
            <w:tcMar>
              <w:top w:w="70" w:type="dxa"/>
              <w:bottom w:w="70" w:type="dxa"/>
              <w:left w:w="95" w:type="dxa"/>
              <w:right w:w="95" w:type="dxa"/>
            </w:tcMar>
            <w:shd w:fill="FFFFFF"/>
          </w:tcPr>
          <w:p>
            <w:pPr>
              <w:spacing w:after="0" w:line="252" w:lineRule="auto"/>
              <w:jc w:val="center"/>
            </w:pPr>
            <w:r>
              <w:rPr>
                <w:b w:val="0"/>
                <w:color w:val="000000"/>
                <w:sz w:val="21"/>
              </w:rPr>
              <w:t>14</w:t>
            </w:r>
          </w:p>
        </w:tc>
      </w:tr>
    </w:tbl>
    <w:p>
      <w:pPr>
        <w:widowControl/>
        <w:spacing w:after="0"/>
      </w:pPr>
    </w:p>
    <w:p>
      <w:pPr>
        <w:pStyle w:val="Heading3"/>
      </w:pPr>
      <w:r>
        <w:t>Ordered cleaning policy</w:t>
      </w:r>
    </w:p>
    <w:p>
      <w:pPr>
        <w:widowControl/>
      </w:pPr>
      <w:r>
        <w:t>Spark reads explicit string schemas, disables CSV column-pruning during corruption checks, validates 2015 dates and cancellation/diversion flags, normalizes airport labels and joins the lookup tables. Each flight receives exactly one reason, following the order below. The monthly audit independently reconciles raw and retained counts.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
        <w:gridCol w:w="5933"/>
        <w:gridCol w:w="2534"/>
      </w:tblGrid>
      <w:tr>
        <w:trPr>
          <w:cantSplit/>
          <w:tblHeader/>
        </w:trPr>
        <w:tc>
          <w:tcPr>
            <w:tcW w:type="dxa" w:w="979"/>
            <w:vAlign w:val="center"/>
            <w:tcMar>
              <w:top w:w="70" w:type="dxa"/>
              <w:bottom w:w="70" w:type="dxa"/>
              <w:left w:w="95" w:type="dxa"/>
              <w:right w:w="95" w:type="dxa"/>
            </w:tcMar>
            <w:shd w:fill="E7EDF2"/>
          </w:tcPr>
          <w:p>
            <w:pPr>
              <w:spacing w:after="0" w:line="252" w:lineRule="auto"/>
              <w:jc w:val="left"/>
            </w:pPr>
            <w:r>
              <w:rPr>
                <w:b/>
                <w:color w:val="000000"/>
                <w:sz w:val="21"/>
              </w:rPr>
              <w:t>Priority</w:t>
            </w:r>
          </w:p>
        </w:tc>
        <w:tc>
          <w:tcPr>
            <w:tcW w:type="dxa" w:w="5933"/>
            <w:vAlign w:val="center"/>
            <w:tcMar>
              <w:top w:w="70" w:type="dxa"/>
              <w:bottom w:w="70" w:type="dxa"/>
              <w:left w:w="95" w:type="dxa"/>
              <w:right w:w="95" w:type="dxa"/>
            </w:tcMar>
            <w:shd w:fill="E7EDF2"/>
          </w:tcPr>
          <w:p>
            <w:pPr>
              <w:spacing w:after="0" w:line="252" w:lineRule="auto"/>
              <w:jc w:val="center"/>
            </w:pPr>
            <w:r>
              <w:rPr>
                <w:b/>
                <w:color w:val="000000"/>
                <w:sz w:val="21"/>
              </w:rPr>
              <w:t>Exclusive decision</w:t>
            </w:r>
          </w:p>
        </w:tc>
        <w:tc>
          <w:tcPr>
            <w:tcW w:type="dxa" w:w="2534"/>
            <w:vAlign w:val="center"/>
            <w:tcMar>
              <w:top w:w="70" w:type="dxa"/>
              <w:bottom w:w="70" w:type="dxa"/>
              <w:left w:w="95" w:type="dxa"/>
              <w:right w:w="95" w:type="dxa"/>
            </w:tcMar>
            <w:shd w:fill="E7EDF2"/>
          </w:tcPr>
          <w:p>
            <w:pPr>
              <w:spacing w:after="0" w:line="252" w:lineRule="auto"/>
              <w:jc w:val="center"/>
            </w:pPr>
            <w:r>
              <w:rPr>
                <w:b/>
                <w:color w:val="000000"/>
                <w:sz w:val="21"/>
              </w:rPr>
              <w:t>Records</w:t>
            </w:r>
          </w:p>
        </w:tc>
      </w:tr>
      <w:tr>
        <w:trPr>
          <w:cantSplit/>
        </w:trPr>
        <w:tc>
          <w:tcPr>
            <w:tcW w:type="dxa" w:w="979"/>
            <w:vAlign w:val="center"/>
            <w:tcMar>
              <w:top w:w="70" w:type="dxa"/>
              <w:bottom w:w="70" w:type="dxa"/>
              <w:left w:w="95" w:type="dxa"/>
              <w:right w:w="95" w:type="dxa"/>
            </w:tcMar>
            <w:shd w:fill="FFFFFF"/>
          </w:tcPr>
          <w:p>
            <w:pPr>
              <w:spacing w:after="0" w:line="252" w:lineRule="auto"/>
              <w:jc w:val="left"/>
            </w:pPr>
            <w:r>
              <w:rPr>
                <w:b w:val="0"/>
                <w:color w:val="000000"/>
                <w:sz w:val="21"/>
              </w:rPr>
              <w:t>1</w:t>
            </w:r>
          </w:p>
        </w:tc>
        <w:tc>
          <w:tcPr>
            <w:tcW w:type="dxa" w:w="5933"/>
            <w:vAlign w:val="center"/>
            <w:tcMar>
              <w:top w:w="70" w:type="dxa"/>
              <w:bottom w:w="70" w:type="dxa"/>
              <w:left w:w="95" w:type="dxa"/>
              <w:right w:w="95" w:type="dxa"/>
            </w:tcMar>
            <w:shd w:fill="FFFFFF"/>
          </w:tcPr>
          <w:p>
            <w:pPr>
              <w:spacing w:after="0" w:line="252" w:lineRule="auto"/>
              <w:jc w:val="center"/>
            </w:pPr>
            <w:r>
              <w:rPr>
                <w:b w:val="0"/>
                <w:color w:val="000000"/>
                <w:sz w:val="21"/>
              </w:rPr>
              <w:t>Corrupt CSV row</w:t>
            </w:r>
          </w:p>
        </w:tc>
        <w:tc>
          <w:tcPr>
            <w:tcW w:type="dxa" w:w="2534"/>
            <w:vAlign w:val="center"/>
            <w:tcMar>
              <w:top w:w="70" w:type="dxa"/>
              <w:bottom w:w="70" w:type="dxa"/>
              <w:left w:w="95" w:type="dxa"/>
              <w:right w:w="95" w:type="dxa"/>
            </w:tcMar>
            <w:shd w:fill="FFFFFF"/>
          </w:tcPr>
          <w:p>
            <w:pPr>
              <w:spacing w:after="0" w:line="252" w:lineRule="auto"/>
              <w:jc w:val="center"/>
            </w:pPr>
            <w:r>
              <w:rPr>
                <w:b w:val="0"/>
                <w:color w:val="000000"/>
                <w:sz w:val="21"/>
              </w:rPr>
              <w:t>0</w:t>
            </w:r>
          </w:p>
        </w:tc>
      </w:tr>
      <w:tr>
        <w:trPr>
          <w:cantSplit/>
        </w:trPr>
        <w:tc>
          <w:tcPr>
            <w:tcW w:type="dxa" w:w="979"/>
            <w:vAlign w:val="center"/>
            <w:tcMar>
              <w:top w:w="70" w:type="dxa"/>
              <w:bottom w:w="70" w:type="dxa"/>
              <w:left w:w="95" w:type="dxa"/>
              <w:right w:w="95" w:type="dxa"/>
            </w:tcMar>
            <w:shd w:fill="FFFFFF"/>
          </w:tcPr>
          <w:p>
            <w:pPr>
              <w:spacing w:after="0" w:line="252" w:lineRule="auto"/>
              <w:jc w:val="left"/>
            </w:pPr>
            <w:r>
              <w:rPr>
                <w:b w:val="0"/>
                <w:color w:val="000000"/>
                <w:sz w:val="21"/>
              </w:rPr>
              <w:t>2</w:t>
            </w:r>
          </w:p>
        </w:tc>
        <w:tc>
          <w:tcPr>
            <w:tcW w:type="dxa" w:w="5933"/>
            <w:vAlign w:val="center"/>
            <w:tcMar>
              <w:top w:w="70" w:type="dxa"/>
              <w:bottom w:w="70" w:type="dxa"/>
              <w:left w:w="95" w:type="dxa"/>
              <w:right w:w="95" w:type="dxa"/>
            </w:tcMar>
            <w:shd w:fill="FFFFFF"/>
          </w:tcPr>
          <w:p>
            <w:pPr>
              <w:spacing w:after="0" w:line="252" w:lineRule="auto"/>
              <w:jc w:val="center"/>
            </w:pPr>
            <w:r>
              <w:rPr>
                <w:b w:val="0"/>
                <w:color w:val="000000"/>
                <w:sz w:val="21"/>
              </w:rPr>
              <w:t>Invalid date or flags</w:t>
            </w:r>
          </w:p>
        </w:tc>
        <w:tc>
          <w:tcPr>
            <w:tcW w:type="dxa" w:w="2534"/>
            <w:vAlign w:val="center"/>
            <w:tcMar>
              <w:top w:w="70" w:type="dxa"/>
              <w:bottom w:w="70" w:type="dxa"/>
              <w:left w:w="95" w:type="dxa"/>
              <w:right w:w="95" w:type="dxa"/>
            </w:tcMar>
            <w:shd w:fill="FFFFFF"/>
          </w:tcPr>
          <w:p>
            <w:pPr>
              <w:spacing w:after="0" w:line="252" w:lineRule="auto"/>
              <w:jc w:val="center"/>
            </w:pPr>
            <w:r>
              <w:rPr>
                <w:b w:val="0"/>
                <w:color w:val="000000"/>
                <w:sz w:val="21"/>
              </w:rPr>
              <w:t>0</w:t>
            </w:r>
          </w:p>
        </w:tc>
      </w:tr>
      <w:tr>
        <w:trPr>
          <w:cantSplit/>
        </w:trPr>
        <w:tc>
          <w:tcPr>
            <w:tcW w:type="dxa" w:w="979"/>
            <w:vAlign w:val="center"/>
            <w:tcMar>
              <w:top w:w="70" w:type="dxa"/>
              <w:bottom w:w="70" w:type="dxa"/>
              <w:left w:w="95" w:type="dxa"/>
              <w:right w:w="95" w:type="dxa"/>
            </w:tcMar>
            <w:shd w:fill="FFFFFF"/>
          </w:tcPr>
          <w:p>
            <w:pPr>
              <w:spacing w:after="0" w:line="252" w:lineRule="auto"/>
              <w:jc w:val="left"/>
            </w:pPr>
            <w:r>
              <w:rPr>
                <w:b w:val="0"/>
                <w:color w:val="000000"/>
                <w:sz w:val="21"/>
              </w:rPr>
              <w:t>3</w:t>
            </w:r>
          </w:p>
        </w:tc>
        <w:tc>
          <w:tcPr>
            <w:tcW w:type="dxa" w:w="5933"/>
            <w:vAlign w:val="center"/>
            <w:tcMar>
              <w:top w:w="70" w:type="dxa"/>
              <w:bottom w:w="70" w:type="dxa"/>
              <w:left w:w="95" w:type="dxa"/>
              <w:right w:w="95" w:type="dxa"/>
            </w:tcMar>
            <w:shd w:fill="FFFFFF"/>
          </w:tcPr>
          <w:p>
            <w:pPr>
              <w:spacing w:after="0" w:line="252" w:lineRule="auto"/>
              <w:jc w:val="center"/>
            </w:pPr>
            <w:r>
              <w:rPr>
                <w:b w:val="0"/>
                <w:color w:val="000000"/>
                <w:sz w:val="21"/>
              </w:rPr>
              <w:t>Cancelled or diverted</w:t>
            </w:r>
          </w:p>
        </w:tc>
        <w:tc>
          <w:tcPr>
            <w:tcW w:type="dxa" w:w="2534"/>
            <w:vAlign w:val="center"/>
            <w:tcMar>
              <w:top w:w="70" w:type="dxa"/>
              <w:bottom w:w="70" w:type="dxa"/>
              <w:left w:w="95" w:type="dxa"/>
              <w:right w:w="95" w:type="dxa"/>
            </w:tcMar>
            <w:shd w:fill="FFFFFF"/>
          </w:tcPr>
          <w:p>
            <w:pPr>
              <w:spacing w:after="0" w:line="252" w:lineRule="auto"/>
              <w:jc w:val="center"/>
            </w:pPr>
            <w:r>
              <w:rPr>
                <w:b w:val="0"/>
                <w:color w:val="000000"/>
                <w:sz w:val="21"/>
              </w:rPr>
              <w:t>105,071</w:t>
            </w:r>
          </w:p>
        </w:tc>
      </w:tr>
      <w:tr>
        <w:trPr>
          <w:cantSplit/>
        </w:trPr>
        <w:tc>
          <w:tcPr>
            <w:tcW w:type="dxa" w:w="979"/>
            <w:vAlign w:val="center"/>
            <w:tcMar>
              <w:top w:w="70" w:type="dxa"/>
              <w:bottom w:w="70" w:type="dxa"/>
              <w:left w:w="95" w:type="dxa"/>
              <w:right w:w="95" w:type="dxa"/>
            </w:tcMar>
            <w:shd w:fill="FFFFFF"/>
          </w:tcPr>
          <w:p>
            <w:pPr>
              <w:spacing w:after="0" w:line="252" w:lineRule="auto"/>
              <w:jc w:val="left"/>
            </w:pPr>
            <w:r>
              <w:rPr>
                <w:b w:val="0"/>
                <w:color w:val="000000"/>
                <w:sz w:val="21"/>
              </w:rPr>
              <w:t>4</w:t>
            </w:r>
          </w:p>
        </w:tc>
        <w:tc>
          <w:tcPr>
            <w:tcW w:type="dxa" w:w="5933"/>
            <w:vAlign w:val="center"/>
            <w:tcMar>
              <w:top w:w="70" w:type="dxa"/>
              <w:bottom w:w="70" w:type="dxa"/>
              <w:left w:w="95" w:type="dxa"/>
              <w:right w:w="95" w:type="dxa"/>
            </w:tcMar>
            <w:shd w:fill="FFFFFF"/>
          </w:tcPr>
          <w:p>
            <w:pPr>
              <w:spacing w:after="0" w:line="252" w:lineRule="auto"/>
              <w:jc w:val="center"/>
            </w:pPr>
            <w:r>
              <w:rPr>
                <w:b w:val="0"/>
                <w:color w:val="000000"/>
                <w:sz w:val="21"/>
              </w:rPr>
              <w:t>Numeric airport identifier</w:t>
            </w:r>
          </w:p>
        </w:tc>
        <w:tc>
          <w:tcPr>
            <w:tcW w:type="dxa" w:w="2534"/>
            <w:vAlign w:val="center"/>
            <w:tcMar>
              <w:top w:w="70" w:type="dxa"/>
              <w:bottom w:w="70" w:type="dxa"/>
              <w:left w:w="95" w:type="dxa"/>
              <w:right w:w="95" w:type="dxa"/>
            </w:tcMar>
            <w:shd w:fill="FFFFFF"/>
          </w:tcPr>
          <w:p>
            <w:pPr>
              <w:spacing w:after="0" w:line="252" w:lineRule="auto"/>
              <w:jc w:val="center"/>
            </w:pPr>
            <w:r>
              <w:rPr>
                <w:b w:val="0"/>
                <w:color w:val="000000"/>
                <w:sz w:val="21"/>
              </w:rPr>
              <w:t>482,878</w:t>
            </w:r>
          </w:p>
        </w:tc>
      </w:tr>
      <w:tr>
        <w:trPr>
          <w:cantSplit/>
        </w:trPr>
        <w:tc>
          <w:tcPr>
            <w:tcW w:type="dxa" w:w="979"/>
            <w:vAlign w:val="center"/>
            <w:tcMar>
              <w:top w:w="70" w:type="dxa"/>
              <w:bottom w:w="70" w:type="dxa"/>
              <w:left w:w="95" w:type="dxa"/>
              <w:right w:w="95" w:type="dxa"/>
            </w:tcMar>
            <w:shd w:fill="FFFFFF"/>
          </w:tcPr>
          <w:p>
            <w:pPr>
              <w:spacing w:after="0" w:line="252" w:lineRule="auto"/>
              <w:jc w:val="left"/>
            </w:pPr>
            <w:r>
              <w:rPr>
                <w:b w:val="0"/>
                <w:color w:val="000000"/>
                <w:sz w:val="21"/>
              </w:rPr>
              <w:t>5</w:t>
            </w:r>
          </w:p>
        </w:tc>
        <w:tc>
          <w:tcPr>
            <w:tcW w:type="dxa" w:w="5933"/>
            <w:vAlign w:val="center"/>
            <w:tcMar>
              <w:top w:w="70" w:type="dxa"/>
              <w:bottom w:w="70" w:type="dxa"/>
              <w:left w:w="95" w:type="dxa"/>
              <w:right w:w="95" w:type="dxa"/>
            </w:tcMar>
            <w:shd w:fill="FFFFFF"/>
          </w:tcPr>
          <w:p>
            <w:pPr>
              <w:spacing w:after="0" w:line="252" w:lineRule="auto"/>
              <w:jc w:val="center"/>
            </w:pPr>
            <w:r>
              <w:rPr>
                <w:b w:val="0"/>
                <w:color w:val="000000"/>
                <w:sz w:val="21"/>
              </w:rPr>
              <w:t>Malformed airport identifier</w:t>
            </w:r>
          </w:p>
        </w:tc>
        <w:tc>
          <w:tcPr>
            <w:tcW w:type="dxa" w:w="2534"/>
            <w:vAlign w:val="center"/>
            <w:tcMar>
              <w:top w:w="70" w:type="dxa"/>
              <w:bottom w:w="70" w:type="dxa"/>
              <w:left w:w="95" w:type="dxa"/>
              <w:right w:w="95" w:type="dxa"/>
            </w:tcMar>
            <w:shd w:fill="FFFFFF"/>
          </w:tcPr>
          <w:p>
            <w:pPr>
              <w:spacing w:after="0" w:line="252" w:lineRule="auto"/>
              <w:jc w:val="center"/>
            </w:pPr>
            <w:r>
              <w:rPr>
                <w:b w:val="0"/>
                <w:color w:val="000000"/>
                <w:sz w:val="21"/>
              </w:rPr>
              <w:t>0</w:t>
            </w:r>
          </w:p>
        </w:tc>
      </w:tr>
      <w:tr>
        <w:trPr>
          <w:cantSplit/>
        </w:trPr>
        <w:tc>
          <w:tcPr>
            <w:tcW w:type="dxa" w:w="979"/>
            <w:vAlign w:val="center"/>
            <w:tcMar>
              <w:top w:w="70" w:type="dxa"/>
              <w:bottom w:w="70" w:type="dxa"/>
              <w:left w:w="95" w:type="dxa"/>
              <w:right w:w="95" w:type="dxa"/>
            </w:tcMar>
            <w:shd w:fill="FFFFFF"/>
          </w:tcPr>
          <w:p>
            <w:pPr>
              <w:spacing w:after="0" w:line="252" w:lineRule="auto"/>
              <w:jc w:val="left"/>
            </w:pPr>
            <w:r>
              <w:rPr>
                <w:b w:val="0"/>
                <w:color w:val="000000"/>
                <w:sz w:val="21"/>
              </w:rPr>
              <w:t>6</w:t>
            </w:r>
          </w:p>
        </w:tc>
        <w:tc>
          <w:tcPr>
            <w:tcW w:type="dxa" w:w="5933"/>
            <w:vAlign w:val="center"/>
            <w:tcMar>
              <w:top w:w="70" w:type="dxa"/>
              <w:bottom w:w="70" w:type="dxa"/>
              <w:left w:w="95" w:type="dxa"/>
              <w:right w:w="95" w:type="dxa"/>
            </w:tcMar>
            <w:shd w:fill="FFFFFF"/>
          </w:tcPr>
          <w:p>
            <w:pPr>
              <w:spacing w:after="0" w:line="252" w:lineRule="auto"/>
              <w:jc w:val="center"/>
            </w:pPr>
            <w:r>
              <w:rPr>
                <w:b w:val="0"/>
                <w:color w:val="000000"/>
                <w:sz w:val="21"/>
              </w:rPr>
              <w:t>Self-loop</w:t>
            </w:r>
          </w:p>
        </w:tc>
        <w:tc>
          <w:tcPr>
            <w:tcW w:type="dxa" w:w="2534"/>
            <w:vAlign w:val="center"/>
            <w:tcMar>
              <w:top w:w="70" w:type="dxa"/>
              <w:bottom w:w="70" w:type="dxa"/>
              <w:left w:w="95" w:type="dxa"/>
              <w:right w:w="95" w:type="dxa"/>
            </w:tcMar>
            <w:shd w:fill="FFFFFF"/>
          </w:tcPr>
          <w:p>
            <w:pPr>
              <w:spacing w:after="0" w:line="252" w:lineRule="auto"/>
              <w:jc w:val="center"/>
            </w:pPr>
            <w:r>
              <w:rPr>
                <w:b w:val="0"/>
                <w:color w:val="000000"/>
                <w:sz w:val="21"/>
              </w:rPr>
              <w:t>0</w:t>
            </w:r>
          </w:p>
        </w:tc>
      </w:tr>
      <w:tr>
        <w:trPr>
          <w:cantSplit/>
        </w:trPr>
        <w:tc>
          <w:tcPr>
            <w:tcW w:type="dxa" w:w="979"/>
            <w:vAlign w:val="center"/>
            <w:tcMar>
              <w:top w:w="70" w:type="dxa"/>
              <w:bottom w:w="70" w:type="dxa"/>
              <w:left w:w="95" w:type="dxa"/>
              <w:right w:w="95" w:type="dxa"/>
            </w:tcMar>
            <w:shd w:fill="FFFFFF"/>
          </w:tcPr>
          <w:p>
            <w:pPr>
              <w:spacing w:after="0" w:line="252" w:lineRule="auto"/>
              <w:jc w:val="left"/>
            </w:pPr>
            <w:r>
              <w:rPr>
                <w:b w:val="0"/>
                <w:color w:val="000000"/>
                <w:sz w:val="21"/>
              </w:rPr>
              <w:t>7</w:t>
            </w:r>
          </w:p>
        </w:tc>
        <w:tc>
          <w:tcPr>
            <w:tcW w:type="dxa" w:w="5933"/>
            <w:vAlign w:val="center"/>
            <w:tcMar>
              <w:top w:w="70" w:type="dxa"/>
              <w:bottom w:w="70" w:type="dxa"/>
              <w:left w:w="95" w:type="dxa"/>
              <w:right w:w="95" w:type="dxa"/>
            </w:tcMar>
            <w:shd w:fill="FFFFFF"/>
          </w:tcPr>
          <w:p>
            <w:pPr>
              <w:spacing w:after="0" w:line="252" w:lineRule="auto"/>
              <w:jc w:val="center"/>
            </w:pPr>
            <w:r>
              <w:rPr>
                <w:b w:val="0"/>
                <w:color w:val="000000"/>
                <w:sz w:val="21"/>
              </w:rPr>
              <w:t>Unmatched airport</w:t>
            </w:r>
          </w:p>
        </w:tc>
        <w:tc>
          <w:tcPr>
            <w:tcW w:type="dxa" w:w="2534"/>
            <w:vAlign w:val="center"/>
            <w:tcMar>
              <w:top w:w="70" w:type="dxa"/>
              <w:bottom w:w="70" w:type="dxa"/>
              <w:left w:w="95" w:type="dxa"/>
              <w:right w:w="95" w:type="dxa"/>
            </w:tcMar>
            <w:shd w:fill="FFFFFF"/>
          </w:tcPr>
          <w:p>
            <w:pPr>
              <w:spacing w:after="0" w:line="252" w:lineRule="auto"/>
              <w:jc w:val="center"/>
            </w:pPr>
            <w:r>
              <w:rPr>
                <w:b w:val="0"/>
                <w:color w:val="000000"/>
                <w:sz w:val="21"/>
              </w:rPr>
              <w:t>0</w:t>
            </w:r>
          </w:p>
        </w:tc>
      </w:tr>
      <w:tr>
        <w:trPr>
          <w:cantSplit/>
        </w:trPr>
        <w:tc>
          <w:tcPr>
            <w:tcW w:type="dxa" w:w="979"/>
            <w:vAlign w:val="center"/>
            <w:tcMar>
              <w:top w:w="70" w:type="dxa"/>
              <w:bottom w:w="70" w:type="dxa"/>
              <w:left w:w="95" w:type="dxa"/>
              <w:right w:w="95" w:type="dxa"/>
            </w:tcMar>
            <w:shd w:fill="FFFFFF"/>
          </w:tcPr>
          <w:p>
            <w:pPr>
              <w:spacing w:after="0" w:line="252" w:lineRule="auto"/>
              <w:jc w:val="left"/>
            </w:pPr>
            <w:r>
              <w:rPr>
                <w:b w:val="0"/>
                <w:color w:val="000000"/>
                <w:sz w:val="21"/>
              </w:rPr>
              <w:t>8</w:t>
            </w:r>
          </w:p>
        </w:tc>
        <w:tc>
          <w:tcPr>
            <w:tcW w:type="dxa" w:w="5933"/>
            <w:vAlign w:val="center"/>
            <w:tcMar>
              <w:top w:w="70" w:type="dxa"/>
              <w:bottom w:w="70" w:type="dxa"/>
              <w:left w:w="95" w:type="dxa"/>
              <w:right w:w="95" w:type="dxa"/>
            </w:tcMar>
            <w:shd w:fill="FFFFFF"/>
          </w:tcPr>
          <w:p>
            <w:pPr>
              <w:spacing w:after="0" w:line="252" w:lineRule="auto"/>
              <w:jc w:val="center"/>
            </w:pPr>
            <w:r>
              <w:rPr>
                <w:b w:val="0"/>
                <w:color w:val="000000"/>
                <w:sz w:val="21"/>
              </w:rPr>
              <w:t>Retained</w:t>
            </w:r>
          </w:p>
        </w:tc>
        <w:tc>
          <w:tcPr>
            <w:tcW w:type="dxa" w:w="2534"/>
            <w:vAlign w:val="center"/>
            <w:tcMar>
              <w:top w:w="70" w:type="dxa"/>
              <w:bottom w:w="70" w:type="dxa"/>
              <w:left w:w="95" w:type="dxa"/>
              <w:right w:w="95" w:type="dxa"/>
            </w:tcMar>
            <w:shd w:fill="FFFFFF"/>
          </w:tcPr>
          <w:p>
            <w:pPr>
              <w:spacing w:after="0" w:line="252" w:lineRule="auto"/>
              <w:jc w:val="center"/>
            </w:pPr>
            <w:r>
              <w:rPr>
                <w:b w:val="0"/>
                <w:color w:val="000000"/>
                <w:sz w:val="21"/>
              </w:rPr>
              <w:t>5,231,130</w:t>
            </w:r>
          </w:p>
        </w:tc>
      </w:tr>
    </w:tbl>
    <w:p>
      <w:pPr>
        <w:widowControl/>
        <w:spacing w:after="0"/>
      </w:pPr>
    </w:p>
    <w:p>
      <w:pPr>
        <w:pStyle w:val="Heading3"/>
      </w:pPr>
      <w:r>
        <w:t>Graph construction and storage</w:t>
      </w:r>
    </w:p>
    <w:p>
      <w:pPr>
        <w:widowControl/>
      </w:pPr>
      <w:r>
        <w:t>Active IATA codes are sorted lexicographically and mapped to stable integer IDs. Route aggregation records flight count, observed delay count, delay sum and mean, and the count delayed at least 15 minutes. Delay means use observed values as their denominator. Exact duplicate rows are diagnosed; no duplicates occurred in this input.</w:t>
      </w:r>
    </w:p>
    <w:p>
      <w:pPr>
        <w:widowControl/>
      </w:pPr>
      <w:r>
        <w:t>Vertices and directed edges are written to HDFS Parquet under the run’s clean directory and reloaded for graph construction. GraphX uses EdgePartition2D with four partitions and cached graph state. Results, audit tables and timing metadata are persisted under the same run ID. Three airports lack coordinates, but remain valid vertices; no active airport lacks a name.</w:t>
      </w:r>
    </w:p>
    <w:p>
      <w:r>
        <w:br w:type="page"/>
      </w:r>
    </w:p>
    <w:p>
      <w:pPr>
        <w:pStyle w:val="Heading2"/>
      </w:pPr>
      <w:r>
        <w:t>Graph algorithms and output validation</w:t>
      </w:r>
    </w:p>
    <w:p>
      <w:pPr>
        <w:pStyle w:val="Heading3"/>
      </w:pPr>
      <w:r>
        <w:t>Topology and traffic weighted PageRank</w:t>
      </w:r>
    </w:p>
    <w:p>
      <w:pPr>
        <w:widowControl/>
      </w:pPr>
      <w:r>
        <w:t>The built-in topology baseline runs 20 iterations with reset probability 0.15. The custom method starts with equal scores, uses positive flight counts as edge weights and redistributes dangling-vertex mass uniformly. A uniform-edge custom run uses the same implementation and stopping parameters to isolate the effect of weighting.</w:t>
      </w:r>
    </w:p>
    <w:p>
      <w:pPr>
        <w:spacing w:after="200"/>
        <w:jc w:val="center"/>
      </w:pPr>
      <m:oMathPara>
        <m:oMath>
          <m:sSub>
            <m:e>
              <m:r>
                <m:t>PR</m:t>
              </m:r>
            </m:e>
            <m:sub>
              <m:r>
                <m:t>t+1</m:t>
              </m:r>
            </m:sub>
          </m:sSub>
          <m:r>
            <m:t>(v) = </m:t>
          </m:r>
          <m:f>
            <m:num>
              <m:r>
                <m:t>α</m:t>
              </m:r>
            </m:num>
            <m:den>
              <m:r>
                <m:t>N</m:t>
              </m:r>
            </m:den>
          </m:f>
          <m:r>
            <m:t> + (1 − α) [</m:t>
          </m:r>
          <m:nary>
            <m:naryPr>
              <m:chr m:val="∑"/>
              <m:limLoc m:val="undOvr"/>
              <m:supHide m:val="1"/>
            </m:naryPr>
            <m:sub>
              <m:r>
                <m:t>u: (u,v)∈E</m:t>
              </m:r>
            </m:sub>
            <m:sup/>
            <m:e>
              <m:f>
                <m:num>
                  <m:sSub>
                    <m:e>
                      <m:r>
                        <m:t>PR</m:t>
                      </m:r>
                    </m:e>
                    <m:sub>
                      <m:r>
                        <m:t>t</m:t>
                      </m:r>
                    </m:sub>
                  </m:sSub>
                  <m:r>
                    <m:t>(u)</m:t>
                  </m:r>
                  <m:sSub>
                    <m:e>
                      <m:r>
                        <m:t>w</m:t>
                      </m:r>
                    </m:e>
                    <m:sub>
                      <m:r>
                        <m:t>uv</m:t>
                      </m:r>
                    </m:sub>
                  </m:sSub>
                </m:num>
                <m:den>
                  <m:sSub>
                    <m:e>
                      <m:r>
                        <m:t>s</m:t>
                      </m:r>
                    </m:e>
                    <m:sub>
                      <m:r>
                        <m:t>out</m:t>
                      </m:r>
                    </m:sub>
                  </m:sSub>
                  <m:r>
                    <m:t>(u)</m:t>
                  </m:r>
                </m:den>
              </m:f>
            </m:e>
          </m:nary>
          <m:r>
            <m:t> + </m:t>
          </m:r>
          <m:f>
            <m:num>
              <m:sSub>
                <m:e>
                  <m:r>
                    <m:t>D</m:t>
                  </m:r>
                </m:e>
                <m:sub>
                  <m:r>
                    <m:t>t</m:t>
                  </m:r>
                </m:sub>
              </m:sSub>
            </m:num>
            <m:den>
              <m:r>
                <m:t>N</m:t>
              </m:r>
            </m:den>
          </m:f>
          <m:r>
            <m:t>]</m:t>
          </m:r>
        </m:oMath>
      </m:oMathPara>
    </w:p>
    <w:p>
      <w:pPr>
        <w:widowControl/>
      </w:pPr>
      <w:r>
        <w:t>Here N is the number of airports, α is 0.15, wᵤᵥ is route flight count, s_out(u) is total outgoing traffic, and Dₜ is the score mass at airports with no outgoing edge. E is the set of directed routes; the sum covers incoming neighbors of v. Vertices without messages still receive reset and redistributed dangling mass.</w:t>
      </w:r>
    </w:p>
    <w:p>
      <w:pPr>
        <w:widowControl/>
      </w:pPr>
      <w:r>
        <w:t>The custom iterations stop when the maximum absolute score change is below 10⁻⁸, with a cap of 100 iterations. Cached new state is materialized before previous state is released, and every tenth iteration is checkpointed. Scores, residual, iteration count and total mass are recorded. Delays are never used as transition weights.</w:t>
      </w:r>
    </w:p>
    <w:p>
      <w:pPr>
        <w:pStyle w:val="Heading3"/>
      </w:pPr>
      <w:r>
        <w:t>Connectivity triangles and directed paths</w:t>
      </w:r>
    </w:p>
    <w:p>
      <w:pPr>
        <w:widowControl/>
      </w:pPr>
      <w:r>
        <w:t>GraphX connected components measures weak connectivity. For triangles, every route is mapped to a canonical unordered pair, reciprocal pairs are deduplicated and TriangleCount runs on the resulting simple undirected graph. Global triangles equal the sum of per-airport triangle counts divided by three.</w:t>
      </w:r>
    </w:p>
    <w:p>
      <w:pPr>
        <w:spacing w:after="200"/>
        <w:jc w:val="center"/>
      </w:pPr>
      <m:oMathPara>
        <m:oMath>
          <m:sSub>
            <m:e>
              <m:r>
                <m:t>C</m:t>
              </m:r>
            </m:e>
            <m:sub>
              <m:r>
                <m:t>v</m:t>
              </m:r>
            </m:sub>
          </m:sSub>
          <m:r>
            <m:t> = </m:t>
          </m:r>
          <m:f>
            <m:num>
              <m:r>
                <m:t>2</m:t>
              </m:r>
              <m:sSub>
                <m:e>
                  <m:r>
                    <m:t>T</m:t>
                  </m:r>
                </m:e>
                <m:sub>
                  <m:r>
                    <m:t>v</m:t>
                  </m:r>
                </m:sub>
              </m:sSub>
            </m:num>
            <m:den>
              <m:sSub>
                <m:e>
                  <m:r>
                    <m:t>k</m:t>
                  </m:r>
                </m:e>
                <m:sub>
                  <m:r>
                    <m:t>v</m:t>
                  </m:r>
                </m:sub>
              </m:sSub>
              <m:r>
                <m:t>(</m:t>
              </m:r>
              <m:sSub>
                <m:e>
                  <m:r>
                    <m:t>k</m:t>
                  </m:r>
                </m:e>
                <m:sub>
                  <m:r>
                    <m:t>v</m:t>
                  </m:r>
                </m:sub>
              </m:sSub>
              <m:r>
                <m:t> − 1)</m:t>
              </m:r>
            </m:den>
          </m:f>
          <m:r>
            <m:t>   for </m:t>
          </m:r>
          <m:sSub>
            <m:e>
              <m:r>
                <m:t>k</m:t>
              </m:r>
            </m:e>
            <m:sub>
              <m:r>
                <m:t>v</m:t>
              </m:r>
            </m:sub>
          </m:sSub>
          <m:r>
            <m:t> ≥ 2</m:t>
          </m:r>
        </m:oMath>
      </m:oMathPara>
    </w:p>
    <w:p>
      <w:pPr>
        <w:widowControl/>
      </w:pPr>
      <w:r>
        <w:t>Local clustering is zero below degree two. Directed ShortestPaths computes distances to the selected landmarks ATL, ORD and DFW. A complete airport-by-landmark grid preserves null hops for unreachable cases and zero for the landmark itself. The method reports leg counts, not route sequences.</w:t>
      </w:r>
    </w:p>
    <w:p>
      <w:pPr>
        <w:pStyle w:val="Heading3"/>
      </w:pPr>
      <w:r>
        <w:t>Persistence and independent verification</w:t>
      </w:r>
    </w:p>
    <w:p>
      <w:pPr>
        <w:widowControl/>
      </w:pPr>
      <w:r>
        <w:t>Airport traffic and delays, route summaries, all rankings, component labels, triangles and paths are saved as Parquet and CSV parts. Validation reloads outputs and checks conservation, endpoint integrity, label stability, rank mass, convergence, clustering bounds and path semantics. Multipart CSV export verifies headers and hashes. Independent Python oracles are restricted to deterministic tiny graphs; full flight processing remains in Scala Spark.</w:t>
      </w:r>
    </w:p>
    <w:p>
      <w:r>
        <w:br w:type="page"/>
      </w:r>
    </w:p>
    <w:p>
      <w:pPr>
        <w:pStyle w:val="Heading1"/>
      </w:pPr>
      <w:r>
        <w:t>Results &amp; Analysis</w:t>
      </w:r>
    </w:p>
    <w:p>
      <w:pPr>
        <w:widowControl/>
      </w:pPr>
      <w:r>
        <w:t>The selected real-data run is full-2015-final-001. A second complete HDFS run, full-2015-final-002, repeated the analysis using identical input hashes, computational source and effective parameters. The results below refer to the selected run unless a repeat comparison is stated.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4118"/>
      </w:tblGrid>
      <w:tr>
        <w:trPr>
          <w:cantSplit/>
          <w:tblHeader/>
        </w:trPr>
        <w:tc>
          <w:tcPr>
            <w:tcW w:type="dxa" w:w="5328"/>
            <w:vAlign w:val="center"/>
            <w:tcMar>
              <w:top w:w="70" w:type="dxa"/>
              <w:bottom w:w="70" w:type="dxa"/>
              <w:left w:w="95" w:type="dxa"/>
              <w:right w:w="95" w:type="dxa"/>
            </w:tcMar>
            <w:shd w:fill="E7EDF2"/>
          </w:tcPr>
          <w:p>
            <w:pPr>
              <w:spacing w:after="0" w:line="252" w:lineRule="auto"/>
              <w:jc w:val="left"/>
            </w:pPr>
            <w:r>
              <w:rPr>
                <w:b/>
                <w:color w:val="000000"/>
                <w:sz w:val="21"/>
              </w:rPr>
              <w:t>Measure</w:t>
            </w:r>
          </w:p>
        </w:tc>
        <w:tc>
          <w:tcPr>
            <w:tcW w:type="dxa" w:w="4118"/>
            <w:vAlign w:val="center"/>
            <w:tcMar>
              <w:top w:w="70" w:type="dxa"/>
              <w:bottom w:w="70" w:type="dxa"/>
              <w:left w:w="95" w:type="dxa"/>
              <w:right w:w="95" w:type="dxa"/>
            </w:tcMar>
            <w:shd w:fill="E7EDF2"/>
          </w:tcPr>
          <w:p>
            <w:pPr>
              <w:spacing w:after="0" w:line="252" w:lineRule="auto"/>
              <w:jc w:val="center"/>
            </w:pPr>
            <w:r>
              <w:rPr>
                <w:b/>
                <w:color w:val="000000"/>
                <w:sz w:val="21"/>
              </w:rPr>
              <w:t>Observed value</w:t>
            </w:r>
          </w:p>
        </w:tc>
      </w:tr>
      <w:tr>
        <w:trPr>
          <w:cantSplit/>
        </w:trPr>
        <w:tc>
          <w:tcPr>
            <w:tcW w:type="dxa" w:w="5328"/>
            <w:vAlign w:val="center"/>
            <w:tcMar>
              <w:top w:w="70" w:type="dxa"/>
              <w:bottom w:w="70" w:type="dxa"/>
              <w:left w:w="95" w:type="dxa"/>
              <w:right w:w="95" w:type="dxa"/>
            </w:tcMar>
            <w:shd w:fill="FFFFFF"/>
          </w:tcPr>
          <w:p>
            <w:pPr>
              <w:spacing w:after="0" w:line="252" w:lineRule="auto"/>
              <w:jc w:val="left"/>
            </w:pPr>
            <w:r>
              <w:rPr>
                <w:b w:val="0"/>
                <w:color w:val="000000"/>
                <w:sz w:val="21"/>
              </w:rPr>
              <w:t>Raw flight records</w:t>
            </w:r>
          </w:p>
        </w:tc>
        <w:tc>
          <w:tcPr>
            <w:tcW w:type="dxa" w:w="4118"/>
            <w:vAlign w:val="center"/>
            <w:tcMar>
              <w:top w:w="70" w:type="dxa"/>
              <w:bottom w:w="70" w:type="dxa"/>
              <w:left w:w="95" w:type="dxa"/>
              <w:right w:w="95" w:type="dxa"/>
            </w:tcMar>
            <w:shd w:fill="FFFFFF"/>
          </w:tcPr>
          <w:p>
            <w:pPr>
              <w:spacing w:after="0" w:line="252" w:lineRule="auto"/>
              <w:jc w:val="center"/>
            </w:pPr>
            <w:r>
              <w:rPr>
                <w:b w:val="0"/>
                <w:color w:val="000000"/>
                <w:sz w:val="21"/>
              </w:rPr>
              <w:t>5,819,079</w:t>
            </w:r>
          </w:p>
        </w:tc>
      </w:tr>
      <w:tr>
        <w:trPr>
          <w:cantSplit/>
        </w:trPr>
        <w:tc>
          <w:tcPr>
            <w:tcW w:type="dxa" w:w="5328"/>
            <w:vAlign w:val="center"/>
            <w:tcMar>
              <w:top w:w="70" w:type="dxa"/>
              <w:bottom w:w="70" w:type="dxa"/>
              <w:left w:w="95" w:type="dxa"/>
              <w:right w:w="95" w:type="dxa"/>
            </w:tcMar>
            <w:shd w:fill="FFFFFF"/>
          </w:tcPr>
          <w:p>
            <w:pPr>
              <w:spacing w:after="0" w:line="252" w:lineRule="auto"/>
              <w:jc w:val="left"/>
            </w:pPr>
            <w:r>
              <w:rPr>
                <w:b w:val="0"/>
                <w:color w:val="000000"/>
                <w:sz w:val="21"/>
              </w:rPr>
              <w:t>Retained flights</w:t>
            </w:r>
          </w:p>
        </w:tc>
        <w:tc>
          <w:tcPr>
            <w:tcW w:type="dxa" w:w="4118"/>
            <w:vAlign w:val="center"/>
            <w:tcMar>
              <w:top w:w="70" w:type="dxa"/>
              <w:bottom w:w="70" w:type="dxa"/>
              <w:left w:w="95" w:type="dxa"/>
              <w:right w:w="95" w:type="dxa"/>
            </w:tcMar>
            <w:shd w:fill="FFFFFF"/>
          </w:tcPr>
          <w:p>
            <w:pPr>
              <w:spacing w:after="0" w:line="252" w:lineRule="auto"/>
              <w:jc w:val="center"/>
            </w:pPr>
            <w:r>
              <w:rPr>
                <w:b w:val="0"/>
                <w:color w:val="000000"/>
                <w:sz w:val="21"/>
              </w:rPr>
              <w:t>5,231,130  (89.896%)</w:t>
            </w:r>
          </w:p>
        </w:tc>
      </w:tr>
      <w:tr>
        <w:trPr>
          <w:cantSplit/>
        </w:trPr>
        <w:tc>
          <w:tcPr>
            <w:tcW w:type="dxa" w:w="5328"/>
            <w:vAlign w:val="center"/>
            <w:tcMar>
              <w:top w:w="70" w:type="dxa"/>
              <w:bottom w:w="70" w:type="dxa"/>
              <w:left w:w="95" w:type="dxa"/>
              <w:right w:w="95" w:type="dxa"/>
            </w:tcMar>
            <w:shd w:fill="FFFFFF"/>
          </w:tcPr>
          <w:p>
            <w:pPr>
              <w:spacing w:after="0" w:line="252" w:lineRule="auto"/>
              <w:jc w:val="left"/>
            </w:pPr>
            <w:r>
              <w:rPr>
                <w:b w:val="0"/>
                <w:color w:val="000000"/>
                <w:sz w:val="21"/>
              </w:rPr>
              <w:t>Excluded flights</w:t>
            </w:r>
          </w:p>
        </w:tc>
        <w:tc>
          <w:tcPr>
            <w:tcW w:type="dxa" w:w="4118"/>
            <w:vAlign w:val="center"/>
            <w:tcMar>
              <w:top w:w="70" w:type="dxa"/>
              <w:bottom w:w="70" w:type="dxa"/>
              <w:left w:w="95" w:type="dxa"/>
              <w:right w:w="95" w:type="dxa"/>
            </w:tcMar>
            <w:shd w:fill="FFFFFF"/>
          </w:tcPr>
          <w:p>
            <w:pPr>
              <w:spacing w:after="0" w:line="252" w:lineRule="auto"/>
              <w:jc w:val="center"/>
            </w:pPr>
            <w:r>
              <w:rPr>
                <w:b w:val="0"/>
                <w:color w:val="000000"/>
                <w:sz w:val="21"/>
              </w:rPr>
              <w:t>587,949  (10.104%)</w:t>
            </w:r>
          </w:p>
        </w:tc>
      </w:tr>
      <w:tr>
        <w:trPr>
          <w:cantSplit/>
        </w:trPr>
        <w:tc>
          <w:tcPr>
            <w:tcW w:type="dxa" w:w="5328"/>
            <w:vAlign w:val="center"/>
            <w:tcMar>
              <w:top w:w="70" w:type="dxa"/>
              <w:bottom w:w="70" w:type="dxa"/>
              <w:left w:w="95" w:type="dxa"/>
              <w:right w:w="95" w:type="dxa"/>
            </w:tcMar>
            <w:shd w:fill="FFFFFF"/>
          </w:tcPr>
          <w:p>
            <w:pPr>
              <w:spacing w:after="0" w:line="252" w:lineRule="auto"/>
              <w:jc w:val="left"/>
            </w:pPr>
            <w:r>
              <w:rPr>
                <w:b w:val="0"/>
                <w:color w:val="000000"/>
                <w:sz w:val="21"/>
              </w:rPr>
              <w:t>Active airports</w:t>
            </w:r>
          </w:p>
        </w:tc>
        <w:tc>
          <w:tcPr>
            <w:tcW w:type="dxa" w:w="4118"/>
            <w:vAlign w:val="center"/>
            <w:tcMar>
              <w:top w:w="70" w:type="dxa"/>
              <w:bottom w:w="70" w:type="dxa"/>
              <w:left w:w="95" w:type="dxa"/>
              <w:right w:w="95" w:type="dxa"/>
            </w:tcMar>
            <w:shd w:fill="FFFFFF"/>
          </w:tcPr>
          <w:p>
            <w:pPr>
              <w:spacing w:after="0" w:line="252" w:lineRule="auto"/>
              <w:jc w:val="center"/>
            </w:pPr>
            <w:r>
              <w:rPr>
                <w:b w:val="0"/>
                <w:color w:val="000000"/>
                <w:sz w:val="21"/>
              </w:rPr>
              <w:t>322</w:t>
            </w:r>
          </w:p>
        </w:tc>
      </w:tr>
      <w:tr>
        <w:trPr>
          <w:cantSplit/>
        </w:trPr>
        <w:tc>
          <w:tcPr>
            <w:tcW w:type="dxa" w:w="5328"/>
            <w:vAlign w:val="center"/>
            <w:tcMar>
              <w:top w:w="70" w:type="dxa"/>
              <w:bottom w:w="70" w:type="dxa"/>
              <w:left w:w="95" w:type="dxa"/>
              <w:right w:w="95" w:type="dxa"/>
            </w:tcMar>
            <w:shd w:fill="FFFFFF"/>
          </w:tcPr>
          <w:p>
            <w:pPr>
              <w:spacing w:after="0" w:line="252" w:lineRule="auto"/>
              <w:jc w:val="left"/>
            </w:pPr>
            <w:r>
              <w:rPr>
                <w:b w:val="0"/>
                <w:color w:val="000000"/>
                <w:sz w:val="21"/>
              </w:rPr>
              <w:t>Directed routes / undirected pairs</w:t>
            </w:r>
          </w:p>
        </w:tc>
        <w:tc>
          <w:tcPr>
            <w:tcW w:type="dxa" w:w="4118"/>
            <w:vAlign w:val="center"/>
            <w:tcMar>
              <w:top w:w="70" w:type="dxa"/>
              <w:bottom w:w="70" w:type="dxa"/>
              <w:left w:w="95" w:type="dxa"/>
              <w:right w:w="95" w:type="dxa"/>
            </w:tcMar>
            <w:shd w:fill="FFFFFF"/>
          </w:tcPr>
          <w:p>
            <w:pPr>
              <w:spacing w:after="0" w:line="252" w:lineRule="auto"/>
              <w:jc w:val="center"/>
            </w:pPr>
            <w:r>
              <w:rPr>
                <w:b w:val="0"/>
                <w:color w:val="000000"/>
                <w:sz w:val="21"/>
              </w:rPr>
              <w:t>4,656 / 2,346</w:t>
            </w:r>
          </w:p>
        </w:tc>
      </w:tr>
      <w:tr>
        <w:trPr>
          <w:cantSplit/>
        </w:trPr>
        <w:tc>
          <w:tcPr>
            <w:tcW w:type="dxa" w:w="5328"/>
            <w:vAlign w:val="center"/>
            <w:tcMar>
              <w:top w:w="70" w:type="dxa"/>
              <w:bottom w:w="70" w:type="dxa"/>
              <w:left w:w="95" w:type="dxa"/>
              <w:right w:w="95" w:type="dxa"/>
            </w:tcMar>
            <w:shd w:fill="FFFFFF"/>
          </w:tcPr>
          <w:p>
            <w:pPr>
              <w:spacing w:after="0" w:line="252" w:lineRule="auto"/>
              <w:jc w:val="left"/>
            </w:pPr>
            <w:r>
              <w:rPr>
                <w:b w:val="0"/>
                <w:color w:val="000000"/>
                <w:sz w:val="21"/>
              </w:rPr>
              <w:t>Average retained flights per directed route</w:t>
            </w:r>
          </w:p>
        </w:tc>
        <w:tc>
          <w:tcPr>
            <w:tcW w:type="dxa" w:w="4118"/>
            <w:vAlign w:val="center"/>
            <w:tcMar>
              <w:top w:w="70" w:type="dxa"/>
              <w:bottom w:w="70" w:type="dxa"/>
              <w:left w:w="95" w:type="dxa"/>
              <w:right w:w="95" w:type="dxa"/>
            </w:tcMar>
            <w:shd w:fill="FFFFFF"/>
          </w:tcPr>
          <w:p>
            <w:pPr>
              <w:spacing w:after="0" w:line="252" w:lineRule="auto"/>
              <w:jc w:val="center"/>
            </w:pPr>
            <w:r>
              <w:rPr>
                <w:b w:val="0"/>
                <w:color w:val="000000"/>
                <w:sz w:val="21"/>
              </w:rPr>
              <w:t>1,123.5</w:t>
            </w:r>
          </w:p>
        </w:tc>
      </w:tr>
    </w:tbl>
    <w:p>
      <w:pPr>
        <w:widowControl/>
        <w:spacing w:after="0"/>
      </w:pPr>
    </w:p>
    <w:p>
      <w:pPr>
        <w:keepNext/>
        <w:spacing w:after="60"/>
        <w:jc w:val="center"/>
      </w:pPr>
      <w:r>
        <w:drawing>
          <wp:inline xmlns:a="http://schemas.openxmlformats.org/drawingml/2006/main" xmlns:pic="http://schemas.openxmlformats.org/drawingml/2006/picture">
            <wp:extent cx="5760720" cy="3341218"/>
            <wp:docPr id="2" name="Picture 2" descr="Figure 2  Monthly retention and exclusive numeric identifier exclusions"/>
            <wp:cNvGraphicFramePr>
              <a:graphicFrameLocks noChangeAspect="1"/>
            </wp:cNvGraphicFramePr>
            <a:graphic>
              <a:graphicData uri="http://schemas.openxmlformats.org/drawingml/2006/picture">
                <pic:pic>
                  <pic:nvPicPr>
                    <pic:cNvPr id="0" name="monthly.png"/>
                    <pic:cNvPicPr/>
                  </pic:nvPicPr>
                  <pic:blipFill>
                    <a:blip r:embed="rId11"/>
                    <a:stretch>
                      <a:fillRect/>
                    </a:stretch>
                  </pic:blipFill>
                  <pic:spPr>
                    <a:xfrm>
                      <a:off x="0" y="0"/>
                      <a:ext cx="5760720" cy="3341218"/>
                    </a:xfrm>
                    <a:prstGeom prst="rect"/>
                  </pic:spPr>
                </pic:pic>
              </a:graphicData>
            </a:graphic>
          </wp:inline>
        </w:drawing>
      </w:r>
    </w:p>
    <w:p>
      <w:pPr>
        <w:pStyle w:val="Caption"/>
        <w:widowControl/>
        <w:jc w:val="center"/>
      </w:pPr>
      <w:r>
        <w:t>Figure 2  Monthly retention and exclusive numeric identifier exclusions</w:t>
      </w:r>
    </w:p>
    <w:p>
      <w:pPr>
        <w:pStyle w:val="Heading3"/>
      </w:pPr>
      <w:r>
        <w:t>The principal coverage limitation</w:t>
      </w:r>
    </w:p>
    <w:p>
      <w:pPr>
        <w:widowControl/>
      </w:pPr>
      <w:r>
        <w:t>October contains 486,165 raw flights and zero retained flights. After the earlier cancellation/diversion filter, 482,878 October records receive the numeric-airport exclusion reason. The remaining 3,287 were removed earlier. Consequently, annual aggregation here combines retained records from the other eleven months. Airport rankings and delays must not be described as complete-year service measurements.</w:t>
      </w:r>
    </w:p>
    <w:p>
      <w:pPr>
        <w:widowControl/>
      </w:pPr>
      <w:r>
        <w:t>All inputs had zero CSV width mismatches. The lookup joins resolved every retained endpoint, and no unknown airline or invalid retained delay was recorded. These checks establish consistency of the retained dataset; they do not remove the seasonal bias introduced by the IATA-only policy.</w:t>
      </w:r>
    </w:p>
    <w:p>
      <w:r>
        <w:br w:type="page"/>
      </w:r>
    </w:p>
    <w:p>
      <w:pPr>
        <w:pStyle w:val="Heading2"/>
      </w:pPr>
      <w:r>
        <w:t>Centrality and traffic</w:t>
      </w:r>
    </w:p>
    <w:p>
      <w:pPr>
        <w:keepNext/>
        <w:spacing w:after="60"/>
        <w:jc w:val="center"/>
      </w:pPr>
      <w:r>
        <w:drawing>
          <wp:inline xmlns:a="http://schemas.openxmlformats.org/drawingml/2006/main" xmlns:pic="http://schemas.openxmlformats.org/drawingml/2006/picture">
            <wp:extent cx="5760720" cy="3341218"/>
            <wp:docPr id="3" name="Picture 3" descr="Figure 3  Normalized topology and traffic weighted PageRank comparisons"/>
            <wp:cNvGraphicFramePr>
              <a:graphicFrameLocks noChangeAspect="1"/>
            </wp:cNvGraphicFramePr>
            <a:graphic>
              <a:graphicData uri="http://schemas.openxmlformats.org/drawingml/2006/picture">
                <pic:pic>
                  <pic:nvPicPr>
                    <pic:cNvPr id="0" name="pagerank.png"/>
                    <pic:cNvPicPr/>
                  </pic:nvPicPr>
                  <pic:blipFill>
                    <a:blip r:embed="rId12"/>
                    <a:stretch>
                      <a:fillRect/>
                    </a:stretch>
                  </pic:blipFill>
                  <pic:spPr>
                    <a:xfrm>
                      <a:off x="0" y="0"/>
                      <a:ext cx="5760720" cy="3341218"/>
                    </a:xfrm>
                    <a:prstGeom prst="rect"/>
                  </pic:spPr>
                </pic:pic>
              </a:graphicData>
            </a:graphic>
          </wp:inline>
        </w:drawing>
      </w:r>
    </w:p>
    <w:p>
      <w:pPr>
        <w:pStyle w:val="Caption"/>
        <w:widowControl/>
        <w:jc w:val="center"/>
      </w:pPr>
      <w:r>
        <w:t>Figure 3  Normalized topology and traffic weighted PageRank comparisons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613"/>
        <w:gridCol w:w="2880"/>
        <w:gridCol w:w="3082"/>
      </w:tblGrid>
      <w:tr>
        <w:trPr>
          <w:cantSplit/>
          <w:tblHeader/>
        </w:trPr>
        <w:tc>
          <w:tcPr>
            <w:tcW w:type="dxa" w:w="1872"/>
            <w:vAlign w:val="center"/>
            <w:tcMar>
              <w:top w:w="70" w:type="dxa"/>
              <w:bottom w:w="70" w:type="dxa"/>
              <w:left w:w="95" w:type="dxa"/>
              <w:right w:w="95" w:type="dxa"/>
            </w:tcMar>
            <w:shd w:fill="E7EDF2"/>
          </w:tcPr>
          <w:p>
            <w:pPr>
              <w:spacing w:after="0" w:line="252" w:lineRule="auto"/>
              <w:jc w:val="left"/>
            </w:pPr>
            <w:r>
              <w:rPr>
                <w:b/>
                <w:color w:val="000000"/>
                <w:sz w:val="21"/>
              </w:rPr>
              <w:t>Weighted rank</w:t>
            </w:r>
          </w:p>
        </w:tc>
        <w:tc>
          <w:tcPr>
            <w:tcW w:type="dxa" w:w="1613"/>
            <w:vAlign w:val="center"/>
            <w:tcMar>
              <w:top w:w="70" w:type="dxa"/>
              <w:bottom w:w="70" w:type="dxa"/>
              <w:left w:w="95" w:type="dxa"/>
              <w:right w:w="95" w:type="dxa"/>
            </w:tcMar>
            <w:shd w:fill="E7EDF2"/>
          </w:tcPr>
          <w:p>
            <w:pPr>
              <w:spacing w:after="0" w:line="252" w:lineRule="auto"/>
              <w:jc w:val="center"/>
            </w:pPr>
            <w:r>
              <w:rPr>
                <w:b/>
                <w:color w:val="000000"/>
                <w:sz w:val="21"/>
              </w:rPr>
              <w:t>Airport</w:t>
            </w:r>
          </w:p>
        </w:tc>
        <w:tc>
          <w:tcPr>
            <w:tcW w:type="dxa" w:w="2880"/>
            <w:vAlign w:val="center"/>
            <w:tcMar>
              <w:top w:w="70" w:type="dxa"/>
              <w:bottom w:w="70" w:type="dxa"/>
              <w:left w:w="95" w:type="dxa"/>
              <w:right w:w="95" w:type="dxa"/>
            </w:tcMar>
            <w:shd w:fill="E7EDF2"/>
          </w:tcPr>
          <w:p>
            <w:pPr>
              <w:spacing w:after="0" w:line="252" w:lineRule="auto"/>
              <w:jc w:val="center"/>
            </w:pPr>
            <w:r>
              <w:rPr>
                <w:b/>
                <w:color w:val="000000"/>
                <w:sz w:val="21"/>
              </w:rPr>
              <w:t>Weighted score</w:t>
            </w:r>
          </w:p>
        </w:tc>
        <w:tc>
          <w:tcPr>
            <w:tcW w:type="dxa" w:w="3082"/>
            <w:vAlign w:val="center"/>
            <w:tcMar>
              <w:top w:w="70" w:type="dxa"/>
              <w:bottom w:w="70" w:type="dxa"/>
              <w:left w:w="95" w:type="dxa"/>
              <w:right w:w="95" w:type="dxa"/>
            </w:tcMar>
            <w:shd w:fill="E7EDF2"/>
          </w:tcPr>
          <w:p>
            <w:pPr>
              <w:spacing w:after="0" w:line="252" w:lineRule="auto"/>
              <w:jc w:val="center"/>
            </w:pPr>
            <w:r>
              <w:rPr>
                <w:b/>
                <w:color w:val="000000"/>
                <w:sz w:val="21"/>
              </w:rPr>
              <w:t>Uniform rank</w:t>
            </w:r>
          </w:p>
        </w:tc>
      </w:tr>
      <w:tr>
        <w:trPr>
          <w:cantSplit/>
        </w:trPr>
        <w:tc>
          <w:tcPr>
            <w:tcW w:type="dxa" w:w="1872"/>
            <w:vAlign w:val="center"/>
            <w:tcMar>
              <w:top w:w="70" w:type="dxa"/>
              <w:bottom w:w="70" w:type="dxa"/>
              <w:left w:w="95" w:type="dxa"/>
              <w:right w:w="95" w:type="dxa"/>
            </w:tcMar>
            <w:shd w:fill="FFFFFF"/>
          </w:tcPr>
          <w:p>
            <w:pPr>
              <w:spacing w:after="0" w:line="252" w:lineRule="auto"/>
              <w:jc w:val="left"/>
            </w:pPr>
            <w:r>
              <w:rPr>
                <w:b w:val="0"/>
                <w:color w:val="000000"/>
                <w:sz w:val="21"/>
              </w:rPr>
              <w:t>1</w:t>
            </w:r>
          </w:p>
        </w:tc>
        <w:tc>
          <w:tcPr>
            <w:tcW w:type="dxa" w:w="1613"/>
            <w:vAlign w:val="center"/>
            <w:tcMar>
              <w:top w:w="70" w:type="dxa"/>
              <w:bottom w:w="70" w:type="dxa"/>
              <w:left w:w="95" w:type="dxa"/>
              <w:right w:w="95" w:type="dxa"/>
            </w:tcMar>
            <w:shd w:fill="FFFFFF"/>
          </w:tcPr>
          <w:p>
            <w:pPr>
              <w:spacing w:after="0" w:line="252" w:lineRule="auto"/>
              <w:jc w:val="center"/>
            </w:pPr>
            <w:r>
              <w:rPr>
                <w:b w:val="0"/>
                <w:color w:val="000000"/>
                <w:sz w:val="21"/>
              </w:rPr>
              <w:t>ATL</w:t>
            </w:r>
          </w:p>
        </w:tc>
        <w:tc>
          <w:tcPr>
            <w:tcW w:type="dxa" w:w="2880"/>
            <w:vAlign w:val="center"/>
            <w:tcMar>
              <w:top w:w="70" w:type="dxa"/>
              <w:bottom w:w="70" w:type="dxa"/>
              <w:left w:w="95" w:type="dxa"/>
              <w:right w:w="95" w:type="dxa"/>
            </w:tcMar>
            <w:shd w:fill="FFFFFF"/>
          </w:tcPr>
          <w:p>
            <w:pPr>
              <w:spacing w:after="0" w:line="252" w:lineRule="auto"/>
              <w:jc w:val="center"/>
            </w:pPr>
            <w:r>
              <w:rPr>
                <w:b w:val="0"/>
                <w:color w:val="000000"/>
                <w:sz w:val="21"/>
              </w:rPr>
              <w:t>0.061534</w:t>
            </w:r>
          </w:p>
        </w:tc>
        <w:tc>
          <w:tcPr>
            <w:tcW w:type="dxa" w:w="3082"/>
            <w:vAlign w:val="center"/>
            <w:tcMar>
              <w:top w:w="70" w:type="dxa"/>
              <w:bottom w:w="70" w:type="dxa"/>
              <w:left w:w="95" w:type="dxa"/>
              <w:right w:w="95" w:type="dxa"/>
            </w:tcMar>
            <w:shd w:fill="FFFFFF"/>
          </w:tcPr>
          <w:p>
            <w:pPr>
              <w:spacing w:after="0" w:line="252" w:lineRule="auto"/>
              <w:jc w:val="center"/>
            </w:pPr>
            <w:r>
              <w:rPr>
                <w:b w:val="0"/>
                <w:color w:val="000000"/>
                <w:sz w:val="21"/>
              </w:rPr>
              <w:t>1</w:t>
            </w:r>
          </w:p>
        </w:tc>
      </w:tr>
      <w:tr>
        <w:trPr>
          <w:cantSplit/>
        </w:trPr>
        <w:tc>
          <w:tcPr>
            <w:tcW w:type="dxa" w:w="1872"/>
            <w:vAlign w:val="center"/>
            <w:tcMar>
              <w:top w:w="70" w:type="dxa"/>
              <w:bottom w:w="70" w:type="dxa"/>
              <w:left w:w="95" w:type="dxa"/>
              <w:right w:w="95" w:type="dxa"/>
            </w:tcMar>
            <w:shd w:fill="FFFFFF"/>
          </w:tcPr>
          <w:p>
            <w:pPr>
              <w:spacing w:after="0" w:line="252" w:lineRule="auto"/>
              <w:jc w:val="left"/>
            </w:pPr>
            <w:r>
              <w:rPr>
                <w:b w:val="0"/>
                <w:color w:val="000000"/>
                <w:sz w:val="21"/>
              </w:rPr>
              <w:t>2</w:t>
            </w:r>
          </w:p>
        </w:tc>
        <w:tc>
          <w:tcPr>
            <w:tcW w:type="dxa" w:w="1613"/>
            <w:vAlign w:val="center"/>
            <w:tcMar>
              <w:top w:w="70" w:type="dxa"/>
              <w:bottom w:w="70" w:type="dxa"/>
              <w:left w:w="95" w:type="dxa"/>
              <w:right w:w="95" w:type="dxa"/>
            </w:tcMar>
            <w:shd w:fill="FFFFFF"/>
          </w:tcPr>
          <w:p>
            <w:pPr>
              <w:spacing w:after="0" w:line="252" w:lineRule="auto"/>
              <w:jc w:val="center"/>
            </w:pPr>
            <w:r>
              <w:rPr>
                <w:b w:val="0"/>
                <w:color w:val="000000"/>
                <w:sz w:val="21"/>
              </w:rPr>
              <w:t>ORD</w:t>
            </w:r>
          </w:p>
        </w:tc>
        <w:tc>
          <w:tcPr>
            <w:tcW w:type="dxa" w:w="2880"/>
            <w:vAlign w:val="center"/>
            <w:tcMar>
              <w:top w:w="70" w:type="dxa"/>
              <w:bottom w:w="70" w:type="dxa"/>
              <w:left w:w="95" w:type="dxa"/>
              <w:right w:w="95" w:type="dxa"/>
            </w:tcMar>
            <w:shd w:fill="FFFFFF"/>
          </w:tcPr>
          <w:p>
            <w:pPr>
              <w:spacing w:after="0" w:line="252" w:lineRule="auto"/>
              <w:jc w:val="center"/>
            </w:pPr>
            <w:r>
              <w:rPr>
                <w:b w:val="0"/>
                <w:color w:val="000000"/>
                <w:sz w:val="21"/>
              </w:rPr>
              <w:t>0.052170</w:t>
            </w:r>
          </w:p>
        </w:tc>
        <w:tc>
          <w:tcPr>
            <w:tcW w:type="dxa" w:w="3082"/>
            <w:vAlign w:val="center"/>
            <w:tcMar>
              <w:top w:w="70" w:type="dxa"/>
              <w:bottom w:w="70" w:type="dxa"/>
              <w:left w:w="95" w:type="dxa"/>
              <w:right w:w="95" w:type="dxa"/>
            </w:tcMar>
            <w:shd w:fill="FFFFFF"/>
          </w:tcPr>
          <w:p>
            <w:pPr>
              <w:spacing w:after="0" w:line="252" w:lineRule="auto"/>
              <w:jc w:val="center"/>
            </w:pPr>
            <w:r>
              <w:rPr>
                <w:b w:val="0"/>
                <w:color w:val="000000"/>
                <w:sz w:val="21"/>
              </w:rPr>
              <w:t>2</w:t>
            </w:r>
          </w:p>
        </w:tc>
      </w:tr>
      <w:tr>
        <w:trPr>
          <w:cantSplit/>
        </w:trPr>
        <w:tc>
          <w:tcPr>
            <w:tcW w:type="dxa" w:w="1872"/>
            <w:vAlign w:val="center"/>
            <w:tcMar>
              <w:top w:w="70" w:type="dxa"/>
              <w:bottom w:w="70" w:type="dxa"/>
              <w:left w:w="95" w:type="dxa"/>
              <w:right w:w="95" w:type="dxa"/>
            </w:tcMar>
            <w:shd w:fill="FFFFFF"/>
          </w:tcPr>
          <w:p>
            <w:pPr>
              <w:spacing w:after="0" w:line="252" w:lineRule="auto"/>
              <w:jc w:val="left"/>
            </w:pPr>
            <w:r>
              <w:rPr>
                <w:b w:val="0"/>
                <w:color w:val="000000"/>
                <w:sz w:val="21"/>
              </w:rPr>
              <w:t>3</w:t>
            </w:r>
          </w:p>
        </w:tc>
        <w:tc>
          <w:tcPr>
            <w:tcW w:type="dxa" w:w="1613"/>
            <w:vAlign w:val="center"/>
            <w:tcMar>
              <w:top w:w="70" w:type="dxa"/>
              <w:bottom w:w="70" w:type="dxa"/>
              <w:left w:w="95" w:type="dxa"/>
              <w:right w:w="95" w:type="dxa"/>
            </w:tcMar>
            <w:shd w:fill="FFFFFF"/>
          </w:tcPr>
          <w:p>
            <w:pPr>
              <w:spacing w:after="0" w:line="252" w:lineRule="auto"/>
              <w:jc w:val="center"/>
            </w:pPr>
            <w:r>
              <w:rPr>
                <w:b w:val="0"/>
                <w:color w:val="000000"/>
                <w:sz w:val="21"/>
              </w:rPr>
              <w:t>DFW</w:t>
            </w:r>
          </w:p>
        </w:tc>
        <w:tc>
          <w:tcPr>
            <w:tcW w:type="dxa" w:w="2880"/>
            <w:vAlign w:val="center"/>
            <w:tcMar>
              <w:top w:w="70" w:type="dxa"/>
              <w:bottom w:w="70" w:type="dxa"/>
              <w:left w:w="95" w:type="dxa"/>
              <w:right w:w="95" w:type="dxa"/>
            </w:tcMar>
            <w:shd w:fill="FFFFFF"/>
          </w:tcPr>
          <w:p>
            <w:pPr>
              <w:spacing w:after="0" w:line="252" w:lineRule="auto"/>
              <w:jc w:val="center"/>
            </w:pPr>
            <w:r>
              <w:rPr>
                <w:b w:val="0"/>
                <w:color w:val="000000"/>
                <w:sz w:val="21"/>
              </w:rPr>
              <w:t>0.044481</w:t>
            </w:r>
          </w:p>
        </w:tc>
        <w:tc>
          <w:tcPr>
            <w:tcW w:type="dxa" w:w="3082"/>
            <w:vAlign w:val="center"/>
            <w:tcMar>
              <w:top w:w="70" w:type="dxa"/>
              <w:bottom w:w="70" w:type="dxa"/>
              <w:left w:w="95" w:type="dxa"/>
              <w:right w:w="95" w:type="dxa"/>
            </w:tcMar>
            <w:shd w:fill="FFFFFF"/>
          </w:tcPr>
          <w:p>
            <w:pPr>
              <w:spacing w:after="0" w:line="252" w:lineRule="auto"/>
              <w:jc w:val="center"/>
            </w:pPr>
            <w:r>
              <w:rPr>
                <w:b w:val="0"/>
                <w:color w:val="000000"/>
                <w:sz w:val="21"/>
              </w:rPr>
              <w:t>3</w:t>
            </w:r>
          </w:p>
        </w:tc>
      </w:tr>
      <w:tr>
        <w:trPr>
          <w:cantSplit/>
        </w:trPr>
        <w:tc>
          <w:tcPr>
            <w:tcW w:type="dxa" w:w="1872"/>
            <w:vAlign w:val="center"/>
            <w:tcMar>
              <w:top w:w="70" w:type="dxa"/>
              <w:bottom w:w="70" w:type="dxa"/>
              <w:left w:w="95" w:type="dxa"/>
              <w:right w:w="95" w:type="dxa"/>
            </w:tcMar>
            <w:shd w:fill="FFFFFF"/>
          </w:tcPr>
          <w:p>
            <w:pPr>
              <w:spacing w:after="0" w:line="252" w:lineRule="auto"/>
              <w:jc w:val="left"/>
            </w:pPr>
            <w:r>
              <w:rPr>
                <w:b w:val="0"/>
                <w:color w:val="000000"/>
                <w:sz w:val="21"/>
              </w:rPr>
              <w:t>4</w:t>
            </w:r>
          </w:p>
        </w:tc>
        <w:tc>
          <w:tcPr>
            <w:tcW w:type="dxa" w:w="1613"/>
            <w:vAlign w:val="center"/>
            <w:tcMar>
              <w:top w:w="70" w:type="dxa"/>
              <w:bottom w:w="70" w:type="dxa"/>
              <w:left w:w="95" w:type="dxa"/>
              <w:right w:w="95" w:type="dxa"/>
            </w:tcMar>
            <w:shd w:fill="FFFFFF"/>
          </w:tcPr>
          <w:p>
            <w:pPr>
              <w:spacing w:after="0" w:line="252" w:lineRule="auto"/>
              <w:jc w:val="center"/>
            </w:pPr>
            <w:r>
              <w:rPr>
                <w:b w:val="0"/>
                <w:color w:val="000000"/>
                <w:sz w:val="21"/>
              </w:rPr>
              <w:t>DEN</w:t>
            </w:r>
          </w:p>
        </w:tc>
        <w:tc>
          <w:tcPr>
            <w:tcW w:type="dxa" w:w="2880"/>
            <w:vAlign w:val="center"/>
            <w:tcMar>
              <w:top w:w="70" w:type="dxa"/>
              <w:bottom w:w="70" w:type="dxa"/>
              <w:left w:w="95" w:type="dxa"/>
              <w:right w:w="95" w:type="dxa"/>
            </w:tcMar>
            <w:shd w:fill="FFFFFF"/>
          </w:tcPr>
          <w:p>
            <w:pPr>
              <w:spacing w:after="0" w:line="252" w:lineRule="auto"/>
              <w:jc w:val="center"/>
            </w:pPr>
            <w:r>
              <w:rPr>
                <w:b w:val="0"/>
                <w:color w:val="000000"/>
                <w:sz w:val="21"/>
              </w:rPr>
              <w:t>0.035022</w:t>
            </w:r>
          </w:p>
        </w:tc>
        <w:tc>
          <w:tcPr>
            <w:tcW w:type="dxa" w:w="3082"/>
            <w:vAlign w:val="center"/>
            <w:tcMar>
              <w:top w:w="70" w:type="dxa"/>
              <w:bottom w:w="70" w:type="dxa"/>
              <w:left w:w="95" w:type="dxa"/>
              <w:right w:w="95" w:type="dxa"/>
            </w:tcMar>
            <w:shd w:fill="FFFFFF"/>
          </w:tcPr>
          <w:p>
            <w:pPr>
              <w:spacing w:after="0" w:line="252" w:lineRule="auto"/>
              <w:jc w:val="center"/>
            </w:pPr>
            <w:r>
              <w:rPr>
                <w:b w:val="0"/>
                <w:color w:val="000000"/>
                <w:sz w:val="21"/>
              </w:rPr>
              <w:t>4</w:t>
            </w:r>
          </w:p>
        </w:tc>
      </w:tr>
      <w:tr>
        <w:trPr>
          <w:cantSplit/>
        </w:trPr>
        <w:tc>
          <w:tcPr>
            <w:tcW w:type="dxa" w:w="1872"/>
            <w:vAlign w:val="center"/>
            <w:tcMar>
              <w:top w:w="70" w:type="dxa"/>
              <w:bottom w:w="70" w:type="dxa"/>
              <w:left w:w="95" w:type="dxa"/>
              <w:right w:w="95" w:type="dxa"/>
            </w:tcMar>
            <w:shd w:fill="FFFFFF"/>
          </w:tcPr>
          <w:p>
            <w:pPr>
              <w:spacing w:after="0" w:line="252" w:lineRule="auto"/>
              <w:jc w:val="left"/>
            </w:pPr>
            <w:r>
              <w:rPr>
                <w:b w:val="0"/>
                <w:color w:val="000000"/>
                <w:sz w:val="21"/>
              </w:rPr>
              <w:t>5</w:t>
            </w:r>
          </w:p>
        </w:tc>
        <w:tc>
          <w:tcPr>
            <w:tcW w:type="dxa" w:w="1613"/>
            <w:vAlign w:val="center"/>
            <w:tcMar>
              <w:top w:w="70" w:type="dxa"/>
              <w:bottom w:w="70" w:type="dxa"/>
              <w:left w:w="95" w:type="dxa"/>
              <w:right w:w="95" w:type="dxa"/>
            </w:tcMar>
            <w:shd w:fill="FFFFFF"/>
          </w:tcPr>
          <w:p>
            <w:pPr>
              <w:spacing w:after="0" w:line="252" w:lineRule="auto"/>
              <w:jc w:val="center"/>
            </w:pPr>
            <w:r>
              <w:rPr>
                <w:b w:val="0"/>
                <w:color w:val="000000"/>
                <w:sz w:val="21"/>
              </w:rPr>
              <w:t>LAX</w:t>
            </w:r>
          </w:p>
        </w:tc>
        <w:tc>
          <w:tcPr>
            <w:tcW w:type="dxa" w:w="2880"/>
            <w:vAlign w:val="center"/>
            <w:tcMar>
              <w:top w:w="70" w:type="dxa"/>
              <w:bottom w:w="70" w:type="dxa"/>
              <w:left w:w="95" w:type="dxa"/>
              <w:right w:w="95" w:type="dxa"/>
            </w:tcMar>
            <w:shd w:fill="FFFFFF"/>
          </w:tcPr>
          <w:p>
            <w:pPr>
              <w:spacing w:after="0" w:line="252" w:lineRule="auto"/>
              <w:jc w:val="center"/>
            </w:pPr>
            <w:r>
              <w:rPr>
                <w:b w:val="0"/>
                <w:color w:val="000000"/>
                <w:sz w:val="21"/>
              </w:rPr>
              <w:t>0.029258</w:t>
            </w:r>
          </w:p>
        </w:tc>
        <w:tc>
          <w:tcPr>
            <w:tcW w:type="dxa" w:w="3082"/>
            <w:vAlign w:val="center"/>
            <w:tcMar>
              <w:top w:w="70" w:type="dxa"/>
              <w:bottom w:w="70" w:type="dxa"/>
              <w:left w:w="95" w:type="dxa"/>
              <w:right w:w="95" w:type="dxa"/>
            </w:tcMar>
            <w:shd w:fill="FFFFFF"/>
          </w:tcPr>
          <w:p>
            <w:pPr>
              <w:spacing w:after="0" w:line="252" w:lineRule="auto"/>
              <w:jc w:val="center"/>
            </w:pPr>
            <w:r>
              <w:rPr>
                <w:b w:val="0"/>
                <w:color w:val="000000"/>
                <w:sz w:val="21"/>
              </w:rPr>
              <w:t>10</w:t>
            </w:r>
          </w:p>
        </w:tc>
      </w:tr>
      <w:tr>
        <w:trPr>
          <w:cantSplit/>
        </w:trPr>
        <w:tc>
          <w:tcPr>
            <w:tcW w:type="dxa" w:w="1872"/>
            <w:vAlign w:val="center"/>
            <w:tcMar>
              <w:top w:w="70" w:type="dxa"/>
              <w:bottom w:w="70" w:type="dxa"/>
              <w:left w:w="95" w:type="dxa"/>
              <w:right w:w="95" w:type="dxa"/>
            </w:tcMar>
            <w:shd w:fill="FFFFFF"/>
          </w:tcPr>
          <w:p>
            <w:pPr>
              <w:spacing w:after="0" w:line="252" w:lineRule="auto"/>
              <w:jc w:val="left"/>
            </w:pPr>
            <w:r>
              <w:rPr>
                <w:b w:val="0"/>
                <w:color w:val="000000"/>
                <w:sz w:val="21"/>
              </w:rPr>
              <w:t>6</w:t>
            </w:r>
          </w:p>
        </w:tc>
        <w:tc>
          <w:tcPr>
            <w:tcW w:type="dxa" w:w="1613"/>
            <w:vAlign w:val="center"/>
            <w:tcMar>
              <w:top w:w="70" w:type="dxa"/>
              <w:bottom w:w="70" w:type="dxa"/>
              <w:left w:w="95" w:type="dxa"/>
              <w:right w:w="95" w:type="dxa"/>
            </w:tcMar>
            <w:shd w:fill="FFFFFF"/>
          </w:tcPr>
          <w:p>
            <w:pPr>
              <w:spacing w:after="0" w:line="252" w:lineRule="auto"/>
              <w:jc w:val="center"/>
            </w:pPr>
            <w:r>
              <w:rPr>
                <w:b w:val="0"/>
                <w:color w:val="000000"/>
                <w:sz w:val="21"/>
              </w:rPr>
              <w:t>IAH</w:t>
            </w:r>
          </w:p>
        </w:tc>
        <w:tc>
          <w:tcPr>
            <w:tcW w:type="dxa" w:w="2880"/>
            <w:vAlign w:val="center"/>
            <w:tcMar>
              <w:top w:w="70" w:type="dxa"/>
              <w:bottom w:w="70" w:type="dxa"/>
              <w:left w:w="95" w:type="dxa"/>
              <w:right w:w="95" w:type="dxa"/>
            </w:tcMar>
            <w:shd w:fill="FFFFFF"/>
          </w:tcPr>
          <w:p>
            <w:pPr>
              <w:spacing w:after="0" w:line="252" w:lineRule="auto"/>
              <w:jc w:val="center"/>
            </w:pPr>
            <w:r>
              <w:rPr>
                <w:b w:val="0"/>
                <w:color w:val="000000"/>
                <w:sz w:val="21"/>
              </w:rPr>
              <w:t>0.024679</w:t>
            </w:r>
          </w:p>
        </w:tc>
        <w:tc>
          <w:tcPr>
            <w:tcW w:type="dxa" w:w="3082"/>
            <w:vAlign w:val="center"/>
            <w:tcMar>
              <w:top w:w="70" w:type="dxa"/>
              <w:bottom w:w="70" w:type="dxa"/>
              <w:left w:w="95" w:type="dxa"/>
              <w:right w:w="95" w:type="dxa"/>
            </w:tcMar>
            <w:shd w:fill="FFFFFF"/>
          </w:tcPr>
          <w:p>
            <w:pPr>
              <w:spacing w:after="0" w:line="252" w:lineRule="auto"/>
              <w:jc w:val="center"/>
            </w:pPr>
            <w:r>
              <w:rPr>
                <w:b w:val="0"/>
                <w:color w:val="000000"/>
                <w:sz w:val="21"/>
              </w:rPr>
              <w:t>6</w:t>
            </w:r>
          </w:p>
        </w:tc>
      </w:tr>
      <w:tr>
        <w:trPr>
          <w:cantSplit/>
        </w:trPr>
        <w:tc>
          <w:tcPr>
            <w:tcW w:type="dxa" w:w="1872"/>
            <w:vAlign w:val="center"/>
            <w:tcMar>
              <w:top w:w="70" w:type="dxa"/>
              <w:bottom w:w="70" w:type="dxa"/>
              <w:left w:w="95" w:type="dxa"/>
              <w:right w:w="95" w:type="dxa"/>
            </w:tcMar>
            <w:shd w:fill="FFFFFF"/>
          </w:tcPr>
          <w:p>
            <w:pPr>
              <w:spacing w:after="0" w:line="252" w:lineRule="auto"/>
              <w:jc w:val="left"/>
            </w:pPr>
            <w:r>
              <w:rPr>
                <w:b w:val="0"/>
                <w:color w:val="000000"/>
                <w:sz w:val="21"/>
              </w:rPr>
              <w:t>7</w:t>
            </w:r>
          </w:p>
        </w:tc>
        <w:tc>
          <w:tcPr>
            <w:tcW w:type="dxa" w:w="1613"/>
            <w:vAlign w:val="center"/>
            <w:tcMar>
              <w:top w:w="70" w:type="dxa"/>
              <w:bottom w:w="70" w:type="dxa"/>
              <w:left w:w="95" w:type="dxa"/>
              <w:right w:w="95" w:type="dxa"/>
            </w:tcMar>
            <w:shd w:fill="FFFFFF"/>
          </w:tcPr>
          <w:p>
            <w:pPr>
              <w:spacing w:after="0" w:line="252" w:lineRule="auto"/>
              <w:jc w:val="center"/>
            </w:pPr>
            <w:r>
              <w:rPr>
                <w:b w:val="0"/>
                <w:color w:val="000000"/>
                <w:sz w:val="21"/>
              </w:rPr>
              <w:t>SFO</w:t>
            </w:r>
          </w:p>
        </w:tc>
        <w:tc>
          <w:tcPr>
            <w:tcW w:type="dxa" w:w="2880"/>
            <w:vAlign w:val="center"/>
            <w:tcMar>
              <w:top w:w="70" w:type="dxa"/>
              <w:bottom w:w="70" w:type="dxa"/>
              <w:left w:w="95" w:type="dxa"/>
              <w:right w:w="95" w:type="dxa"/>
            </w:tcMar>
            <w:shd w:fill="FFFFFF"/>
          </w:tcPr>
          <w:p>
            <w:pPr>
              <w:spacing w:after="0" w:line="252" w:lineRule="auto"/>
              <w:jc w:val="center"/>
            </w:pPr>
            <w:r>
              <w:rPr>
                <w:b w:val="0"/>
                <w:color w:val="000000"/>
                <w:sz w:val="21"/>
              </w:rPr>
              <w:t>0.024350</w:t>
            </w:r>
          </w:p>
        </w:tc>
        <w:tc>
          <w:tcPr>
            <w:tcW w:type="dxa" w:w="3082"/>
            <w:vAlign w:val="center"/>
            <w:tcMar>
              <w:top w:w="70" w:type="dxa"/>
              <w:bottom w:w="70" w:type="dxa"/>
              <w:left w:w="95" w:type="dxa"/>
              <w:right w:w="95" w:type="dxa"/>
            </w:tcMar>
            <w:shd w:fill="FFFFFF"/>
          </w:tcPr>
          <w:p>
            <w:pPr>
              <w:spacing w:after="0" w:line="252" w:lineRule="auto"/>
              <w:jc w:val="center"/>
            </w:pPr>
            <w:r>
              <w:rPr>
                <w:b w:val="0"/>
                <w:color w:val="000000"/>
                <w:sz w:val="21"/>
              </w:rPr>
              <w:t>9</w:t>
            </w:r>
          </w:p>
        </w:tc>
      </w:tr>
      <w:tr>
        <w:trPr>
          <w:cantSplit/>
        </w:trPr>
        <w:tc>
          <w:tcPr>
            <w:tcW w:type="dxa" w:w="1872"/>
            <w:vAlign w:val="center"/>
            <w:tcMar>
              <w:top w:w="70" w:type="dxa"/>
              <w:bottom w:w="70" w:type="dxa"/>
              <w:left w:w="95" w:type="dxa"/>
              <w:right w:w="95" w:type="dxa"/>
            </w:tcMar>
            <w:shd w:fill="FFFFFF"/>
          </w:tcPr>
          <w:p>
            <w:pPr>
              <w:spacing w:after="0" w:line="252" w:lineRule="auto"/>
              <w:jc w:val="left"/>
            </w:pPr>
            <w:r>
              <w:rPr>
                <w:b w:val="0"/>
                <w:color w:val="000000"/>
                <w:sz w:val="21"/>
              </w:rPr>
              <w:t>8</w:t>
            </w:r>
          </w:p>
        </w:tc>
        <w:tc>
          <w:tcPr>
            <w:tcW w:type="dxa" w:w="1613"/>
            <w:vAlign w:val="center"/>
            <w:tcMar>
              <w:top w:w="70" w:type="dxa"/>
              <w:bottom w:w="70" w:type="dxa"/>
              <w:left w:w="95" w:type="dxa"/>
              <w:right w:w="95" w:type="dxa"/>
            </w:tcMar>
            <w:shd w:fill="FFFFFF"/>
          </w:tcPr>
          <w:p>
            <w:pPr>
              <w:spacing w:after="0" w:line="252" w:lineRule="auto"/>
              <w:jc w:val="center"/>
            </w:pPr>
            <w:r>
              <w:rPr>
                <w:b w:val="0"/>
                <w:color w:val="000000"/>
                <w:sz w:val="21"/>
              </w:rPr>
              <w:t>PHX</w:t>
            </w:r>
          </w:p>
        </w:tc>
        <w:tc>
          <w:tcPr>
            <w:tcW w:type="dxa" w:w="2880"/>
            <w:vAlign w:val="center"/>
            <w:tcMar>
              <w:top w:w="70" w:type="dxa"/>
              <w:bottom w:w="70" w:type="dxa"/>
              <w:left w:w="95" w:type="dxa"/>
              <w:right w:w="95" w:type="dxa"/>
            </w:tcMar>
            <w:shd w:fill="FFFFFF"/>
          </w:tcPr>
          <w:p>
            <w:pPr>
              <w:spacing w:after="0" w:line="252" w:lineRule="auto"/>
              <w:jc w:val="center"/>
            </w:pPr>
            <w:r>
              <w:rPr>
                <w:b w:val="0"/>
                <w:color w:val="000000"/>
                <w:sz w:val="21"/>
              </w:rPr>
              <w:t>0.022660</w:t>
            </w:r>
          </w:p>
        </w:tc>
        <w:tc>
          <w:tcPr>
            <w:tcW w:type="dxa" w:w="3082"/>
            <w:vAlign w:val="center"/>
            <w:tcMar>
              <w:top w:w="70" w:type="dxa"/>
              <w:bottom w:w="70" w:type="dxa"/>
              <w:left w:w="95" w:type="dxa"/>
              <w:right w:w="95" w:type="dxa"/>
            </w:tcMar>
            <w:shd w:fill="FFFFFF"/>
          </w:tcPr>
          <w:p>
            <w:pPr>
              <w:spacing w:after="0" w:line="252" w:lineRule="auto"/>
              <w:jc w:val="center"/>
            </w:pPr>
            <w:r>
              <w:rPr>
                <w:b w:val="0"/>
                <w:color w:val="000000"/>
                <w:sz w:val="21"/>
              </w:rPr>
              <w:t>12</w:t>
            </w:r>
          </w:p>
        </w:tc>
      </w:tr>
      <w:tr>
        <w:trPr>
          <w:cantSplit/>
        </w:trPr>
        <w:tc>
          <w:tcPr>
            <w:tcW w:type="dxa" w:w="1872"/>
            <w:vAlign w:val="center"/>
            <w:tcMar>
              <w:top w:w="70" w:type="dxa"/>
              <w:bottom w:w="70" w:type="dxa"/>
              <w:left w:w="95" w:type="dxa"/>
              <w:right w:w="95" w:type="dxa"/>
            </w:tcMar>
            <w:shd w:fill="FFFFFF"/>
          </w:tcPr>
          <w:p>
            <w:pPr>
              <w:spacing w:after="0" w:line="252" w:lineRule="auto"/>
              <w:jc w:val="left"/>
            </w:pPr>
            <w:r>
              <w:rPr>
                <w:b w:val="0"/>
                <w:color w:val="000000"/>
                <w:sz w:val="21"/>
              </w:rPr>
              <w:t>9</w:t>
            </w:r>
          </w:p>
        </w:tc>
        <w:tc>
          <w:tcPr>
            <w:tcW w:type="dxa" w:w="1613"/>
            <w:vAlign w:val="center"/>
            <w:tcMar>
              <w:top w:w="70" w:type="dxa"/>
              <w:bottom w:w="70" w:type="dxa"/>
              <w:left w:w="95" w:type="dxa"/>
              <w:right w:w="95" w:type="dxa"/>
            </w:tcMar>
            <w:shd w:fill="FFFFFF"/>
          </w:tcPr>
          <w:p>
            <w:pPr>
              <w:spacing w:after="0" w:line="252" w:lineRule="auto"/>
              <w:jc w:val="center"/>
            </w:pPr>
            <w:r>
              <w:rPr>
                <w:b w:val="0"/>
                <w:color w:val="000000"/>
                <w:sz w:val="21"/>
              </w:rPr>
              <w:t>MSP</w:t>
            </w:r>
          </w:p>
        </w:tc>
        <w:tc>
          <w:tcPr>
            <w:tcW w:type="dxa" w:w="2880"/>
            <w:vAlign w:val="center"/>
            <w:tcMar>
              <w:top w:w="70" w:type="dxa"/>
              <w:bottom w:w="70" w:type="dxa"/>
              <w:left w:w="95" w:type="dxa"/>
              <w:right w:w="95" w:type="dxa"/>
            </w:tcMar>
            <w:shd w:fill="FFFFFF"/>
          </w:tcPr>
          <w:p>
            <w:pPr>
              <w:spacing w:after="0" w:line="252" w:lineRule="auto"/>
              <w:jc w:val="center"/>
            </w:pPr>
            <w:r>
              <w:rPr>
                <w:b w:val="0"/>
                <w:color w:val="000000"/>
                <w:sz w:val="21"/>
              </w:rPr>
              <w:t>0.022133</w:t>
            </w:r>
          </w:p>
        </w:tc>
        <w:tc>
          <w:tcPr>
            <w:tcW w:type="dxa" w:w="3082"/>
            <w:vAlign w:val="center"/>
            <w:tcMar>
              <w:top w:w="70" w:type="dxa"/>
              <w:bottom w:w="70" w:type="dxa"/>
              <w:left w:w="95" w:type="dxa"/>
              <w:right w:w="95" w:type="dxa"/>
            </w:tcMar>
            <w:shd w:fill="FFFFFF"/>
          </w:tcPr>
          <w:p>
            <w:pPr>
              <w:spacing w:after="0" w:line="252" w:lineRule="auto"/>
              <w:jc w:val="center"/>
            </w:pPr>
            <w:r>
              <w:rPr>
                <w:b w:val="0"/>
                <w:color w:val="000000"/>
                <w:sz w:val="21"/>
              </w:rPr>
              <w:t>5</w:t>
            </w:r>
          </w:p>
        </w:tc>
      </w:tr>
      <w:tr>
        <w:trPr>
          <w:cantSplit/>
        </w:trPr>
        <w:tc>
          <w:tcPr>
            <w:tcW w:type="dxa" w:w="1872"/>
            <w:vAlign w:val="center"/>
            <w:tcMar>
              <w:top w:w="70" w:type="dxa"/>
              <w:bottom w:w="70" w:type="dxa"/>
              <w:left w:w="95" w:type="dxa"/>
              <w:right w:w="95" w:type="dxa"/>
            </w:tcMar>
            <w:shd w:fill="FFFFFF"/>
          </w:tcPr>
          <w:p>
            <w:pPr>
              <w:spacing w:after="0" w:line="252" w:lineRule="auto"/>
              <w:jc w:val="left"/>
            </w:pPr>
            <w:r>
              <w:rPr>
                <w:b w:val="0"/>
                <w:color w:val="000000"/>
                <w:sz w:val="21"/>
              </w:rPr>
              <w:t>10</w:t>
            </w:r>
          </w:p>
        </w:tc>
        <w:tc>
          <w:tcPr>
            <w:tcW w:type="dxa" w:w="1613"/>
            <w:vAlign w:val="center"/>
            <w:tcMar>
              <w:top w:w="70" w:type="dxa"/>
              <w:bottom w:w="70" w:type="dxa"/>
              <w:left w:w="95" w:type="dxa"/>
              <w:right w:w="95" w:type="dxa"/>
            </w:tcMar>
            <w:shd w:fill="FFFFFF"/>
          </w:tcPr>
          <w:p>
            <w:pPr>
              <w:spacing w:after="0" w:line="252" w:lineRule="auto"/>
              <w:jc w:val="center"/>
            </w:pPr>
            <w:r>
              <w:rPr>
                <w:b w:val="0"/>
                <w:color w:val="000000"/>
                <w:sz w:val="21"/>
              </w:rPr>
              <w:t>SLC</w:t>
            </w:r>
          </w:p>
        </w:tc>
        <w:tc>
          <w:tcPr>
            <w:tcW w:type="dxa" w:w="2880"/>
            <w:vAlign w:val="center"/>
            <w:tcMar>
              <w:top w:w="70" w:type="dxa"/>
              <w:bottom w:w="70" w:type="dxa"/>
              <w:left w:w="95" w:type="dxa"/>
              <w:right w:w="95" w:type="dxa"/>
            </w:tcMar>
            <w:shd w:fill="FFFFFF"/>
          </w:tcPr>
          <w:p>
            <w:pPr>
              <w:spacing w:after="0" w:line="252" w:lineRule="auto"/>
              <w:jc w:val="center"/>
            </w:pPr>
            <w:r>
              <w:rPr>
                <w:b w:val="0"/>
                <w:color w:val="000000"/>
                <w:sz w:val="21"/>
              </w:rPr>
              <w:t>0.021081</w:t>
            </w:r>
          </w:p>
        </w:tc>
        <w:tc>
          <w:tcPr>
            <w:tcW w:type="dxa" w:w="3082"/>
            <w:vAlign w:val="center"/>
            <w:tcMar>
              <w:top w:w="70" w:type="dxa"/>
              <w:bottom w:w="70" w:type="dxa"/>
              <w:left w:w="95" w:type="dxa"/>
              <w:right w:w="95" w:type="dxa"/>
            </w:tcMar>
            <w:shd w:fill="FFFFFF"/>
          </w:tcPr>
          <w:p>
            <w:pPr>
              <w:spacing w:after="0" w:line="252" w:lineRule="auto"/>
              <w:jc w:val="center"/>
            </w:pPr>
            <w:r>
              <w:rPr>
                <w:b w:val="0"/>
                <w:color w:val="000000"/>
                <w:sz w:val="21"/>
              </w:rPr>
              <w:t>8</w:t>
            </w:r>
          </w:p>
        </w:tc>
      </w:tr>
    </w:tbl>
    <w:p>
      <w:pPr>
        <w:widowControl/>
        <w:spacing w:after="0"/>
      </w:pPr>
    </w:p>
    <w:p>
      <w:pPr>
        <w:widowControl/>
      </w:pPr>
      <w:r>
        <w:t>ATL, ORD and DFW lead the weighted ranking. Weighted and uniform-custom scores have Spearman correlation 0.9121 and share 18 airports in their top 20. HDN shows the largest absolute rank shift, from uniform rank 102 to weighted rank 273. Distinct-route connectivity and repeated traffic therefore do not give identical importance.</w:t>
      </w:r>
    </w:p>
    <w:p>
      <w:pPr>
        <w:widowControl/>
      </w:pPr>
      <w:r>
        <w:t>Across 322 airports, weighted centrality has Spearman correlation 0.9527 with incoming flight traffic and 0.8859 with incoming route degree. Median in-degree is four; the maximum is 168. These results support comparing several metrics, consistent with the motivation of air-network research [4], while using a different graph and centrality measure.</w:t>
      </w:r>
    </w:p>
    <w:p>
      <w:r>
        <w:br w:type="page"/>
      </w:r>
    </w:p>
    <w:p>
      <w:pPr>
        <w:pStyle w:val="Heading2"/>
      </w:pPr>
      <w:r>
        <w:t>Connectivity clustering and hub reachability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4118"/>
      </w:tblGrid>
      <w:tr>
        <w:trPr>
          <w:cantSplit/>
          <w:tblHeader/>
        </w:trPr>
        <w:tc>
          <w:tcPr>
            <w:tcW w:type="dxa" w:w="5328"/>
            <w:vAlign w:val="center"/>
            <w:tcMar>
              <w:top w:w="70" w:type="dxa"/>
              <w:bottom w:w="70" w:type="dxa"/>
              <w:left w:w="95" w:type="dxa"/>
              <w:right w:w="95" w:type="dxa"/>
            </w:tcMar>
            <w:shd w:fill="E7EDF2"/>
          </w:tcPr>
          <w:p>
            <w:pPr>
              <w:spacing w:after="0" w:line="252" w:lineRule="auto"/>
              <w:jc w:val="left"/>
            </w:pPr>
            <w:r>
              <w:rPr>
                <w:b/>
                <w:color w:val="000000"/>
                <w:sz w:val="21"/>
              </w:rPr>
              <w:t>Structural measure</w:t>
            </w:r>
          </w:p>
        </w:tc>
        <w:tc>
          <w:tcPr>
            <w:tcW w:type="dxa" w:w="4118"/>
            <w:vAlign w:val="center"/>
            <w:tcMar>
              <w:top w:w="70" w:type="dxa"/>
              <w:bottom w:w="70" w:type="dxa"/>
              <w:left w:w="95" w:type="dxa"/>
              <w:right w:w="95" w:type="dxa"/>
            </w:tcMar>
            <w:shd w:fill="E7EDF2"/>
          </w:tcPr>
          <w:p>
            <w:pPr>
              <w:spacing w:after="0" w:line="252" w:lineRule="auto"/>
              <w:jc w:val="center"/>
            </w:pPr>
            <w:r>
              <w:rPr>
                <w:b/>
                <w:color w:val="000000"/>
                <w:sz w:val="21"/>
              </w:rPr>
              <w:t>Observed value</w:t>
            </w:r>
          </w:p>
        </w:tc>
      </w:tr>
      <w:tr>
        <w:trPr>
          <w:cantSplit/>
        </w:trPr>
        <w:tc>
          <w:tcPr>
            <w:tcW w:type="dxa" w:w="5328"/>
            <w:vAlign w:val="center"/>
            <w:tcMar>
              <w:top w:w="70" w:type="dxa"/>
              <w:bottom w:w="70" w:type="dxa"/>
              <w:left w:w="95" w:type="dxa"/>
              <w:right w:w="95" w:type="dxa"/>
            </w:tcMar>
            <w:shd w:fill="FFFFFF"/>
          </w:tcPr>
          <w:p>
            <w:pPr>
              <w:spacing w:after="0" w:line="252" w:lineRule="auto"/>
              <w:jc w:val="left"/>
            </w:pPr>
            <w:r>
              <w:rPr>
                <w:b w:val="0"/>
                <w:color w:val="000000"/>
                <w:sz w:val="21"/>
              </w:rPr>
              <w:t>Weak components</w:t>
            </w:r>
          </w:p>
        </w:tc>
        <w:tc>
          <w:tcPr>
            <w:tcW w:type="dxa" w:w="4118"/>
            <w:vAlign w:val="center"/>
            <w:tcMar>
              <w:top w:w="70" w:type="dxa"/>
              <w:bottom w:w="70" w:type="dxa"/>
              <w:left w:w="95" w:type="dxa"/>
              <w:right w:w="95" w:type="dxa"/>
            </w:tcMar>
            <w:shd w:fill="FFFFFF"/>
          </w:tcPr>
          <w:p>
            <w:pPr>
              <w:spacing w:after="0" w:line="252" w:lineRule="auto"/>
              <w:jc w:val="center"/>
            </w:pPr>
            <w:r>
              <w:rPr>
                <w:b w:val="0"/>
                <w:color w:val="000000"/>
                <w:sz w:val="21"/>
              </w:rPr>
              <w:t>1; all 322 active airports</w:t>
            </w:r>
          </w:p>
        </w:tc>
      </w:tr>
      <w:tr>
        <w:trPr>
          <w:cantSplit/>
        </w:trPr>
        <w:tc>
          <w:tcPr>
            <w:tcW w:type="dxa" w:w="5328"/>
            <w:vAlign w:val="center"/>
            <w:tcMar>
              <w:top w:w="70" w:type="dxa"/>
              <w:bottom w:w="70" w:type="dxa"/>
              <w:left w:w="95" w:type="dxa"/>
              <w:right w:w="95" w:type="dxa"/>
            </w:tcMar>
            <w:shd w:fill="FFFFFF"/>
          </w:tcPr>
          <w:p>
            <w:pPr>
              <w:spacing w:after="0" w:line="252" w:lineRule="auto"/>
              <w:jc w:val="left"/>
            </w:pPr>
            <w:r>
              <w:rPr>
                <w:b w:val="0"/>
                <w:color w:val="000000"/>
                <w:sz w:val="21"/>
              </w:rPr>
              <w:t>Undirected triangles</w:t>
            </w:r>
          </w:p>
        </w:tc>
        <w:tc>
          <w:tcPr>
            <w:tcW w:type="dxa" w:w="4118"/>
            <w:vAlign w:val="center"/>
            <w:tcMar>
              <w:top w:w="70" w:type="dxa"/>
              <w:bottom w:w="70" w:type="dxa"/>
              <w:left w:w="95" w:type="dxa"/>
              <w:right w:w="95" w:type="dxa"/>
            </w:tcMar>
            <w:shd w:fill="FFFFFF"/>
          </w:tcPr>
          <w:p>
            <w:pPr>
              <w:spacing w:after="0" w:line="252" w:lineRule="auto"/>
              <w:jc w:val="center"/>
            </w:pPr>
            <w:r>
              <w:rPr>
                <w:b w:val="0"/>
                <w:color w:val="000000"/>
                <w:sz w:val="21"/>
              </w:rPr>
              <w:t>15,867</w:t>
            </w:r>
          </w:p>
        </w:tc>
      </w:tr>
      <w:tr>
        <w:trPr>
          <w:cantSplit/>
        </w:trPr>
        <w:tc>
          <w:tcPr>
            <w:tcW w:type="dxa" w:w="5328"/>
            <w:vAlign w:val="center"/>
            <w:tcMar>
              <w:top w:w="70" w:type="dxa"/>
              <w:bottom w:w="70" w:type="dxa"/>
              <w:left w:w="95" w:type="dxa"/>
              <w:right w:w="95" w:type="dxa"/>
            </w:tcMar>
            <w:shd w:fill="FFFFFF"/>
          </w:tcPr>
          <w:p>
            <w:pPr>
              <w:spacing w:after="0" w:line="252" w:lineRule="auto"/>
              <w:jc w:val="left"/>
            </w:pPr>
            <w:r>
              <w:rPr>
                <w:b w:val="0"/>
                <w:color w:val="000000"/>
                <w:sz w:val="21"/>
              </w:rPr>
              <w:t>Mean local clustering</w:t>
            </w:r>
          </w:p>
        </w:tc>
        <w:tc>
          <w:tcPr>
            <w:tcW w:type="dxa" w:w="4118"/>
            <w:vAlign w:val="center"/>
            <w:tcMar>
              <w:top w:w="70" w:type="dxa"/>
              <w:bottom w:w="70" w:type="dxa"/>
              <w:left w:w="95" w:type="dxa"/>
              <w:right w:w="95" w:type="dxa"/>
            </w:tcMar>
            <w:shd w:fill="FFFFFF"/>
          </w:tcPr>
          <w:p>
            <w:pPr>
              <w:spacing w:after="0" w:line="252" w:lineRule="auto"/>
              <w:jc w:val="center"/>
            </w:pPr>
            <w:r>
              <w:rPr>
                <w:b w:val="0"/>
                <w:color w:val="000000"/>
                <w:sz w:val="21"/>
              </w:rPr>
              <w:t>0.6554</w:t>
            </w:r>
          </w:p>
        </w:tc>
      </w:tr>
      <w:tr>
        <w:trPr>
          <w:cantSplit/>
        </w:trPr>
        <w:tc>
          <w:tcPr>
            <w:tcW w:type="dxa" w:w="5328"/>
            <w:vAlign w:val="center"/>
            <w:tcMar>
              <w:top w:w="70" w:type="dxa"/>
              <w:bottom w:w="70" w:type="dxa"/>
              <w:left w:w="95" w:type="dxa"/>
              <w:right w:w="95" w:type="dxa"/>
            </w:tcMar>
            <w:shd w:fill="FFFFFF"/>
          </w:tcPr>
          <w:p>
            <w:pPr>
              <w:spacing w:after="0" w:line="252" w:lineRule="auto"/>
              <w:jc w:val="left"/>
            </w:pPr>
            <w:r>
              <w:rPr>
                <w:b w:val="0"/>
                <w:color w:val="000000"/>
                <w:sz w:val="21"/>
              </w:rPr>
              <w:t>Largest component fraction</w:t>
            </w:r>
          </w:p>
        </w:tc>
        <w:tc>
          <w:tcPr>
            <w:tcW w:type="dxa" w:w="4118"/>
            <w:vAlign w:val="center"/>
            <w:tcMar>
              <w:top w:w="70" w:type="dxa"/>
              <w:bottom w:w="70" w:type="dxa"/>
              <w:left w:w="95" w:type="dxa"/>
              <w:right w:w="95" w:type="dxa"/>
            </w:tcMar>
            <w:shd w:fill="FFFFFF"/>
          </w:tcPr>
          <w:p>
            <w:pPr>
              <w:spacing w:after="0" w:line="252" w:lineRule="auto"/>
              <w:jc w:val="center"/>
            </w:pPr>
            <w:r>
              <w:rPr>
                <w:b w:val="0"/>
                <w:color w:val="000000"/>
                <w:sz w:val="21"/>
              </w:rPr>
              <w:t>100%</w:t>
            </w:r>
          </w:p>
        </w:tc>
      </w:tr>
    </w:tbl>
    <w:p>
      <w:pPr>
        <w:widowControl/>
        <w:spacing w:after="0"/>
      </w:pPr>
    </w:p>
    <w:p>
      <w:pPr>
        <w:keepNext/>
        <w:spacing w:after="60"/>
        <w:jc w:val="center"/>
      </w:pPr>
      <w:r>
        <w:drawing>
          <wp:inline xmlns:a="http://schemas.openxmlformats.org/drawingml/2006/main" xmlns:pic="http://schemas.openxmlformats.org/drawingml/2006/picture">
            <wp:extent cx="5760720" cy="3341218"/>
            <wp:docPr id="4" name="Picture 4" descr="Figure 4  Airports with the most undirected triangles"/>
            <wp:cNvGraphicFramePr>
              <a:graphicFrameLocks noChangeAspect="1"/>
            </wp:cNvGraphicFramePr>
            <a:graphic>
              <a:graphicData uri="http://schemas.openxmlformats.org/drawingml/2006/picture">
                <pic:pic>
                  <pic:nvPicPr>
                    <pic:cNvPr id="0" name="triangles.png"/>
                    <pic:cNvPicPr/>
                  </pic:nvPicPr>
                  <pic:blipFill>
                    <a:blip r:embed="rId13"/>
                    <a:stretch>
                      <a:fillRect/>
                    </a:stretch>
                  </pic:blipFill>
                  <pic:spPr>
                    <a:xfrm>
                      <a:off x="0" y="0"/>
                      <a:ext cx="5760720" cy="3341218"/>
                    </a:xfrm>
                    <a:prstGeom prst="rect"/>
                  </pic:spPr>
                </pic:pic>
              </a:graphicData>
            </a:graphic>
          </wp:inline>
        </w:drawing>
      </w:r>
    </w:p>
    <w:p>
      <w:pPr>
        <w:pStyle w:val="Caption"/>
        <w:widowControl/>
        <w:jc w:val="center"/>
      </w:pPr>
      <w:r>
        <w:t>Figure 4  Airports with the most undirected triangles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2909"/>
        <w:gridCol w:w="2333"/>
        <w:gridCol w:w="3053"/>
      </w:tblGrid>
      <w:tr>
        <w:trPr>
          <w:cantSplit/>
          <w:tblHeader/>
        </w:trPr>
        <w:tc>
          <w:tcPr>
            <w:tcW w:type="dxa" w:w="1152"/>
            <w:vAlign w:val="center"/>
            <w:tcMar>
              <w:top w:w="70" w:type="dxa"/>
              <w:bottom w:w="70" w:type="dxa"/>
              <w:left w:w="95" w:type="dxa"/>
              <w:right w:w="95" w:type="dxa"/>
            </w:tcMar>
            <w:shd w:fill="E7EDF2"/>
          </w:tcPr>
          <w:p>
            <w:pPr>
              <w:spacing w:after="0" w:line="252" w:lineRule="auto"/>
              <w:jc w:val="left"/>
            </w:pPr>
            <w:r>
              <w:rPr>
                <w:b/>
                <w:color w:val="000000"/>
                <w:sz w:val="21"/>
              </w:rPr>
              <w:t>Hub</w:t>
            </w:r>
          </w:p>
        </w:tc>
        <w:tc>
          <w:tcPr>
            <w:tcW w:type="dxa" w:w="2909"/>
            <w:vAlign w:val="center"/>
            <w:tcMar>
              <w:top w:w="70" w:type="dxa"/>
              <w:bottom w:w="70" w:type="dxa"/>
              <w:left w:w="95" w:type="dxa"/>
              <w:right w:w="95" w:type="dxa"/>
            </w:tcMar>
            <w:shd w:fill="E7EDF2"/>
          </w:tcPr>
          <w:p>
            <w:pPr>
              <w:spacing w:after="0" w:line="252" w:lineRule="auto"/>
              <w:jc w:val="center"/>
            </w:pPr>
            <w:r>
              <w:rPr>
                <w:b/>
                <w:color w:val="000000"/>
                <w:sz w:val="21"/>
              </w:rPr>
              <w:t>Reachable airports</w:t>
            </w:r>
          </w:p>
        </w:tc>
        <w:tc>
          <w:tcPr>
            <w:tcW w:type="dxa" w:w="2333"/>
            <w:vAlign w:val="center"/>
            <w:tcMar>
              <w:top w:w="70" w:type="dxa"/>
              <w:bottom w:w="70" w:type="dxa"/>
              <w:left w:w="95" w:type="dxa"/>
              <w:right w:w="95" w:type="dxa"/>
            </w:tcMar>
            <w:shd w:fill="E7EDF2"/>
          </w:tcPr>
          <w:p>
            <w:pPr>
              <w:spacing w:after="0" w:line="252" w:lineRule="auto"/>
              <w:jc w:val="center"/>
            </w:pPr>
            <w:r>
              <w:rPr>
                <w:b/>
                <w:color w:val="000000"/>
                <w:sz w:val="21"/>
              </w:rPr>
              <w:t>Unreachable</w:t>
            </w:r>
          </w:p>
        </w:tc>
        <w:tc>
          <w:tcPr>
            <w:tcW w:type="dxa" w:w="3053"/>
            <w:vAlign w:val="center"/>
            <w:tcMar>
              <w:top w:w="70" w:type="dxa"/>
              <w:bottom w:w="70" w:type="dxa"/>
              <w:left w:w="95" w:type="dxa"/>
              <w:right w:w="95" w:type="dxa"/>
            </w:tcMar>
            <w:shd w:fill="E7EDF2"/>
          </w:tcPr>
          <w:p>
            <w:pPr>
              <w:spacing w:after="0" w:line="252" w:lineRule="auto"/>
              <w:jc w:val="center"/>
            </w:pPr>
            <w:r>
              <w:rPr>
                <w:b/>
                <w:color w:val="000000"/>
                <w:sz w:val="21"/>
              </w:rPr>
              <w:t>Maximum legs</w:t>
            </w:r>
          </w:p>
        </w:tc>
      </w:tr>
      <w:tr>
        <w:trPr>
          <w:cantSplit/>
        </w:trPr>
        <w:tc>
          <w:tcPr>
            <w:tcW w:type="dxa" w:w="1152"/>
            <w:vAlign w:val="center"/>
            <w:tcMar>
              <w:top w:w="70" w:type="dxa"/>
              <w:bottom w:w="70" w:type="dxa"/>
              <w:left w:w="95" w:type="dxa"/>
              <w:right w:w="95" w:type="dxa"/>
            </w:tcMar>
            <w:shd w:fill="FFFFFF"/>
          </w:tcPr>
          <w:p>
            <w:pPr>
              <w:spacing w:after="0" w:line="252" w:lineRule="auto"/>
              <w:jc w:val="left"/>
            </w:pPr>
            <w:r>
              <w:rPr>
                <w:b w:val="0"/>
                <w:color w:val="000000"/>
                <w:sz w:val="21"/>
              </w:rPr>
              <w:t>ATL</w:t>
            </w:r>
          </w:p>
        </w:tc>
        <w:tc>
          <w:tcPr>
            <w:tcW w:type="dxa" w:w="2909"/>
            <w:vAlign w:val="center"/>
            <w:tcMar>
              <w:top w:w="70" w:type="dxa"/>
              <w:bottom w:w="70" w:type="dxa"/>
              <w:left w:w="95" w:type="dxa"/>
              <w:right w:w="95" w:type="dxa"/>
            </w:tcMar>
            <w:shd w:fill="FFFFFF"/>
          </w:tcPr>
          <w:p>
            <w:pPr>
              <w:spacing w:after="0" w:line="252" w:lineRule="auto"/>
              <w:jc w:val="center"/>
            </w:pPr>
            <w:r>
              <w:rPr>
                <w:b w:val="0"/>
                <w:color w:val="000000"/>
                <w:sz w:val="21"/>
              </w:rPr>
              <w:t>322</w:t>
            </w:r>
          </w:p>
        </w:tc>
        <w:tc>
          <w:tcPr>
            <w:tcW w:type="dxa" w:w="2333"/>
            <w:vAlign w:val="center"/>
            <w:tcMar>
              <w:top w:w="70" w:type="dxa"/>
              <w:bottom w:w="70" w:type="dxa"/>
              <w:left w:w="95" w:type="dxa"/>
              <w:right w:w="95" w:type="dxa"/>
            </w:tcMar>
            <w:shd w:fill="FFFFFF"/>
          </w:tcPr>
          <w:p>
            <w:pPr>
              <w:spacing w:after="0" w:line="252" w:lineRule="auto"/>
              <w:jc w:val="center"/>
            </w:pPr>
            <w:r>
              <w:rPr>
                <w:b w:val="0"/>
                <w:color w:val="000000"/>
                <w:sz w:val="21"/>
              </w:rPr>
              <w:t>0</w:t>
            </w:r>
          </w:p>
        </w:tc>
        <w:tc>
          <w:tcPr>
            <w:tcW w:type="dxa" w:w="3053"/>
            <w:vAlign w:val="center"/>
            <w:tcMar>
              <w:top w:w="70" w:type="dxa"/>
              <w:bottom w:w="70" w:type="dxa"/>
              <w:left w:w="95" w:type="dxa"/>
              <w:right w:w="95" w:type="dxa"/>
            </w:tcMar>
            <w:shd w:fill="FFFFFF"/>
          </w:tcPr>
          <w:p>
            <w:pPr>
              <w:spacing w:after="0" w:line="252" w:lineRule="auto"/>
              <w:jc w:val="center"/>
            </w:pPr>
            <w:r>
              <w:rPr>
                <w:b w:val="0"/>
                <w:color w:val="000000"/>
                <w:sz w:val="21"/>
              </w:rPr>
              <w:t>3</w:t>
            </w:r>
          </w:p>
        </w:tc>
      </w:tr>
      <w:tr>
        <w:trPr>
          <w:cantSplit/>
        </w:trPr>
        <w:tc>
          <w:tcPr>
            <w:tcW w:type="dxa" w:w="1152"/>
            <w:vAlign w:val="center"/>
            <w:tcMar>
              <w:top w:w="70" w:type="dxa"/>
              <w:bottom w:w="70" w:type="dxa"/>
              <w:left w:w="95" w:type="dxa"/>
              <w:right w:w="95" w:type="dxa"/>
            </w:tcMar>
            <w:shd w:fill="FFFFFF"/>
          </w:tcPr>
          <w:p>
            <w:pPr>
              <w:spacing w:after="0" w:line="252" w:lineRule="auto"/>
              <w:jc w:val="left"/>
            </w:pPr>
            <w:r>
              <w:rPr>
                <w:b w:val="0"/>
                <w:color w:val="000000"/>
                <w:sz w:val="21"/>
              </w:rPr>
              <w:t>ORD</w:t>
            </w:r>
          </w:p>
        </w:tc>
        <w:tc>
          <w:tcPr>
            <w:tcW w:type="dxa" w:w="2909"/>
            <w:vAlign w:val="center"/>
            <w:tcMar>
              <w:top w:w="70" w:type="dxa"/>
              <w:bottom w:w="70" w:type="dxa"/>
              <w:left w:w="95" w:type="dxa"/>
              <w:right w:w="95" w:type="dxa"/>
            </w:tcMar>
            <w:shd w:fill="FFFFFF"/>
          </w:tcPr>
          <w:p>
            <w:pPr>
              <w:spacing w:after="0" w:line="252" w:lineRule="auto"/>
              <w:jc w:val="center"/>
            </w:pPr>
            <w:r>
              <w:rPr>
                <w:b w:val="0"/>
                <w:color w:val="000000"/>
                <w:sz w:val="21"/>
              </w:rPr>
              <w:t>322</w:t>
            </w:r>
          </w:p>
        </w:tc>
        <w:tc>
          <w:tcPr>
            <w:tcW w:type="dxa" w:w="2333"/>
            <w:vAlign w:val="center"/>
            <w:tcMar>
              <w:top w:w="70" w:type="dxa"/>
              <w:bottom w:w="70" w:type="dxa"/>
              <w:left w:w="95" w:type="dxa"/>
              <w:right w:w="95" w:type="dxa"/>
            </w:tcMar>
            <w:shd w:fill="FFFFFF"/>
          </w:tcPr>
          <w:p>
            <w:pPr>
              <w:spacing w:after="0" w:line="252" w:lineRule="auto"/>
              <w:jc w:val="center"/>
            </w:pPr>
            <w:r>
              <w:rPr>
                <w:b w:val="0"/>
                <w:color w:val="000000"/>
                <w:sz w:val="21"/>
              </w:rPr>
              <w:t>0</w:t>
            </w:r>
          </w:p>
        </w:tc>
        <w:tc>
          <w:tcPr>
            <w:tcW w:type="dxa" w:w="3053"/>
            <w:vAlign w:val="center"/>
            <w:tcMar>
              <w:top w:w="70" w:type="dxa"/>
              <w:bottom w:w="70" w:type="dxa"/>
              <w:left w:w="95" w:type="dxa"/>
              <w:right w:w="95" w:type="dxa"/>
            </w:tcMar>
            <w:shd w:fill="FFFFFF"/>
          </w:tcPr>
          <w:p>
            <w:pPr>
              <w:spacing w:after="0" w:line="252" w:lineRule="auto"/>
              <w:jc w:val="center"/>
            </w:pPr>
            <w:r>
              <w:rPr>
                <w:b w:val="0"/>
                <w:color w:val="000000"/>
                <w:sz w:val="21"/>
              </w:rPr>
              <w:t>3</w:t>
            </w:r>
          </w:p>
        </w:tc>
      </w:tr>
      <w:tr>
        <w:trPr>
          <w:cantSplit/>
        </w:trPr>
        <w:tc>
          <w:tcPr>
            <w:tcW w:type="dxa" w:w="1152"/>
            <w:vAlign w:val="center"/>
            <w:tcMar>
              <w:top w:w="70" w:type="dxa"/>
              <w:bottom w:w="70" w:type="dxa"/>
              <w:left w:w="95" w:type="dxa"/>
              <w:right w:w="95" w:type="dxa"/>
            </w:tcMar>
            <w:shd w:fill="FFFFFF"/>
          </w:tcPr>
          <w:p>
            <w:pPr>
              <w:spacing w:after="0" w:line="252" w:lineRule="auto"/>
              <w:jc w:val="left"/>
            </w:pPr>
            <w:r>
              <w:rPr>
                <w:b w:val="0"/>
                <w:color w:val="000000"/>
                <w:sz w:val="21"/>
              </w:rPr>
              <w:t>DFW</w:t>
            </w:r>
          </w:p>
        </w:tc>
        <w:tc>
          <w:tcPr>
            <w:tcW w:type="dxa" w:w="2909"/>
            <w:vAlign w:val="center"/>
            <w:tcMar>
              <w:top w:w="70" w:type="dxa"/>
              <w:bottom w:w="70" w:type="dxa"/>
              <w:left w:w="95" w:type="dxa"/>
              <w:right w:w="95" w:type="dxa"/>
            </w:tcMar>
            <w:shd w:fill="FFFFFF"/>
          </w:tcPr>
          <w:p>
            <w:pPr>
              <w:spacing w:after="0" w:line="252" w:lineRule="auto"/>
              <w:jc w:val="center"/>
            </w:pPr>
            <w:r>
              <w:rPr>
                <w:b w:val="0"/>
                <w:color w:val="000000"/>
                <w:sz w:val="21"/>
              </w:rPr>
              <w:t>322</w:t>
            </w:r>
          </w:p>
        </w:tc>
        <w:tc>
          <w:tcPr>
            <w:tcW w:type="dxa" w:w="2333"/>
            <w:vAlign w:val="center"/>
            <w:tcMar>
              <w:top w:w="70" w:type="dxa"/>
              <w:bottom w:w="70" w:type="dxa"/>
              <w:left w:w="95" w:type="dxa"/>
              <w:right w:w="95" w:type="dxa"/>
            </w:tcMar>
            <w:shd w:fill="FFFFFF"/>
          </w:tcPr>
          <w:p>
            <w:pPr>
              <w:spacing w:after="0" w:line="252" w:lineRule="auto"/>
              <w:jc w:val="center"/>
            </w:pPr>
            <w:r>
              <w:rPr>
                <w:b w:val="0"/>
                <w:color w:val="000000"/>
                <w:sz w:val="21"/>
              </w:rPr>
              <w:t>0</w:t>
            </w:r>
          </w:p>
        </w:tc>
        <w:tc>
          <w:tcPr>
            <w:tcW w:type="dxa" w:w="3053"/>
            <w:vAlign w:val="center"/>
            <w:tcMar>
              <w:top w:w="70" w:type="dxa"/>
              <w:bottom w:w="70" w:type="dxa"/>
              <w:left w:w="95" w:type="dxa"/>
              <w:right w:w="95" w:type="dxa"/>
            </w:tcMar>
            <w:shd w:fill="FFFFFF"/>
          </w:tcPr>
          <w:p>
            <w:pPr>
              <w:spacing w:after="0" w:line="252" w:lineRule="auto"/>
              <w:jc w:val="center"/>
            </w:pPr>
            <w:r>
              <w:rPr>
                <w:b w:val="0"/>
                <w:color w:val="000000"/>
                <w:sz w:val="21"/>
              </w:rPr>
              <w:t>3</w:t>
            </w:r>
          </w:p>
        </w:tc>
      </w:tr>
    </w:tbl>
    <w:p>
      <w:pPr>
        <w:widowControl/>
        <w:spacing w:after="0"/>
      </w:pPr>
    </w:p>
    <w:p>
      <w:pPr>
        <w:widowControl/>
      </w:pPr>
      <w:r>
        <w:t>ATL has the highest raw triangle count. Several low-degree airports attain clustering one, so a fully connected neighborhood is not equivalent to a high-volume hub. Triangle counts should be read with degree and clustering rather than used interchangeably.</w:t>
      </w:r>
    </w:p>
    <w:p>
      <w:pPr>
        <w:widowControl/>
      </w:pPr>
      <w:r>
        <w:t>Every active airport can reach ATL, ORD and DFW within three observed flight legs. These are directed paths toward each landmark and include its zero-leg self-distance. Weak connectivity alone would not imply this result; it is established separately by the directed path outputs. Neither the component calculation nor triangle counting is community detection.</w:t>
      </w:r>
    </w:p>
    <w:p>
      <w:r>
        <w:br w:type="page"/>
      </w:r>
    </w:p>
    <w:p>
      <w:pPr>
        <w:pStyle w:val="Heading2"/>
      </w:pPr>
      <w:r>
        <w:t>Arrival delay analysis</w:t>
      </w:r>
    </w:p>
    <w:p>
      <w:pPr>
        <w:widowControl/>
      </w:pPr>
      <w:r>
        <w:t>Every retained flight has a numeric arrival delay: 5,231,130 observations out of 5,231,130 flights. Their sum is 25,558,794 minutes and the observation-weighted mean is 4.886 minutes. Negative delays represent early arrivals. Cancellation and diversion outcomes are outside this retained-flight delay estimate.</w:t>
      </w:r>
    </w:p>
    <w:p>
      <w:pPr>
        <w:keepNext/>
        <w:spacing w:after="60"/>
        <w:jc w:val="center"/>
      </w:pPr>
      <w:r>
        <w:drawing>
          <wp:inline xmlns:a="http://schemas.openxmlformats.org/drawingml/2006/main" xmlns:pic="http://schemas.openxmlformats.org/drawingml/2006/picture">
            <wp:extent cx="5760720" cy="3341218"/>
            <wp:docPr id="5" name="Picture 5" descr="Figure 5  Mean arrival delay for routes with at least 100 retained flights"/>
            <wp:cNvGraphicFramePr>
              <a:graphicFrameLocks noChangeAspect="1"/>
            </wp:cNvGraphicFramePr>
            <a:graphic>
              <a:graphicData uri="http://schemas.openxmlformats.org/drawingml/2006/picture">
                <pic:pic>
                  <pic:nvPicPr>
                    <pic:cNvPr id="0" name="delay.png"/>
                    <pic:cNvPicPr/>
                  </pic:nvPicPr>
                  <pic:blipFill>
                    <a:blip r:embed="rId14"/>
                    <a:stretch>
                      <a:fillRect/>
                    </a:stretch>
                  </pic:blipFill>
                  <pic:spPr>
                    <a:xfrm>
                      <a:off x="0" y="0"/>
                      <a:ext cx="5760720" cy="3341218"/>
                    </a:xfrm>
                    <a:prstGeom prst="rect"/>
                  </pic:spPr>
                </pic:pic>
              </a:graphicData>
            </a:graphic>
          </wp:inline>
        </w:drawing>
      </w:r>
    </w:p>
    <w:p>
      <w:pPr>
        <w:pStyle w:val="Caption"/>
        <w:widowControl/>
        <w:jc w:val="center"/>
      </w:pPr>
      <w:r>
        <w:t>Figure 5  Mean arrival delay for routes with at least 100 retained flights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90"/>
        <w:gridCol w:w="1584"/>
        <w:gridCol w:w="2376"/>
        <w:gridCol w:w="3096"/>
      </w:tblGrid>
      <w:tr>
        <w:trPr>
          <w:cantSplit/>
          <w:tblHeader/>
        </w:trPr>
        <w:tc>
          <w:tcPr>
            <w:tcW w:type="dxa" w:w="2390"/>
            <w:vAlign w:val="center"/>
            <w:tcMar>
              <w:top w:w="70" w:type="dxa"/>
              <w:bottom w:w="70" w:type="dxa"/>
              <w:left w:w="95" w:type="dxa"/>
              <w:right w:w="95" w:type="dxa"/>
            </w:tcMar>
            <w:shd w:fill="E7EDF2"/>
          </w:tcPr>
          <w:p>
            <w:pPr>
              <w:spacing w:after="0" w:line="252" w:lineRule="auto"/>
              <w:jc w:val="left"/>
            </w:pPr>
            <w:r>
              <w:rPr>
                <w:b/>
                <w:color w:val="000000"/>
                <w:sz w:val="21"/>
              </w:rPr>
              <w:t>Route</w:t>
            </w:r>
          </w:p>
        </w:tc>
        <w:tc>
          <w:tcPr>
            <w:tcW w:type="dxa" w:w="1584"/>
            <w:vAlign w:val="center"/>
            <w:tcMar>
              <w:top w:w="70" w:type="dxa"/>
              <w:bottom w:w="70" w:type="dxa"/>
              <w:left w:w="95" w:type="dxa"/>
              <w:right w:w="95" w:type="dxa"/>
            </w:tcMar>
            <w:shd w:fill="E7EDF2"/>
          </w:tcPr>
          <w:p>
            <w:pPr>
              <w:spacing w:after="0" w:line="252" w:lineRule="auto"/>
              <w:jc w:val="center"/>
            </w:pPr>
            <w:r>
              <w:rPr>
                <w:b/>
                <w:color w:val="000000"/>
                <w:sz w:val="21"/>
              </w:rPr>
              <w:t>Flights</w:t>
            </w:r>
          </w:p>
        </w:tc>
        <w:tc>
          <w:tcPr>
            <w:tcW w:type="dxa" w:w="2376"/>
            <w:vAlign w:val="center"/>
            <w:tcMar>
              <w:top w:w="70" w:type="dxa"/>
              <w:bottom w:w="70" w:type="dxa"/>
              <w:left w:w="95" w:type="dxa"/>
              <w:right w:w="95" w:type="dxa"/>
            </w:tcMar>
            <w:shd w:fill="E7EDF2"/>
          </w:tcPr>
          <w:p>
            <w:pPr>
              <w:spacing w:after="0" w:line="252" w:lineRule="auto"/>
              <w:jc w:val="center"/>
            </w:pPr>
            <w:r>
              <w:rPr>
                <w:b/>
                <w:color w:val="000000"/>
                <w:sz w:val="21"/>
              </w:rPr>
              <w:t>Delay observations</w:t>
            </w:r>
          </w:p>
        </w:tc>
        <w:tc>
          <w:tcPr>
            <w:tcW w:type="dxa" w:w="3096"/>
            <w:vAlign w:val="center"/>
            <w:tcMar>
              <w:top w:w="70" w:type="dxa"/>
              <w:bottom w:w="70" w:type="dxa"/>
              <w:left w:w="95" w:type="dxa"/>
              <w:right w:w="95" w:type="dxa"/>
            </w:tcMar>
            <w:shd w:fill="E7EDF2"/>
          </w:tcPr>
          <w:p>
            <w:pPr>
              <w:spacing w:after="0" w:line="252" w:lineRule="auto"/>
              <w:jc w:val="center"/>
            </w:pPr>
            <w:r>
              <w:rPr>
                <w:b/>
                <w:color w:val="000000"/>
                <w:sz w:val="21"/>
              </w:rPr>
              <w:t>Mean delay in minutes</w:t>
            </w:r>
          </w:p>
        </w:tc>
      </w:tr>
      <w:tr>
        <w:trPr>
          <w:cantSplit/>
        </w:trPr>
        <w:tc>
          <w:tcPr>
            <w:tcW w:type="dxa" w:w="2390"/>
            <w:vAlign w:val="center"/>
            <w:tcMar>
              <w:top w:w="70" w:type="dxa"/>
              <w:bottom w:w="70" w:type="dxa"/>
              <w:left w:w="95" w:type="dxa"/>
              <w:right w:w="95" w:type="dxa"/>
            </w:tcMar>
            <w:shd w:fill="FFFFFF"/>
          </w:tcPr>
          <w:p>
            <w:pPr>
              <w:spacing w:after="0" w:line="252" w:lineRule="auto"/>
              <w:jc w:val="left"/>
            </w:pPr>
            <w:r>
              <w:rPr>
                <w:b w:val="0"/>
                <w:color w:val="000000"/>
                <w:sz w:val="21"/>
              </w:rPr>
              <w:t>ASE to DFW</w:t>
            </w:r>
          </w:p>
        </w:tc>
        <w:tc>
          <w:tcPr>
            <w:tcW w:type="dxa" w:w="1584"/>
            <w:vAlign w:val="center"/>
            <w:tcMar>
              <w:top w:w="70" w:type="dxa"/>
              <w:bottom w:w="70" w:type="dxa"/>
              <w:left w:w="95" w:type="dxa"/>
              <w:right w:w="95" w:type="dxa"/>
            </w:tcMar>
            <w:shd w:fill="FFFFFF"/>
          </w:tcPr>
          <w:p>
            <w:pPr>
              <w:spacing w:after="0" w:line="252" w:lineRule="auto"/>
              <w:jc w:val="center"/>
            </w:pPr>
            <w:r>
              <w:rPr>
                <w:b w:val="0"/>
                <w:color w:val="000000"/>
                <w:sz w:val="21"/>
              </w:rPr>
              <w:t>262</w:t>
            </w:r>
          </w:p>
        </w:tc>
        <w:tc>
          <w:tcPr>
            <w:tcW w:type="dxa" w:w="2376"/>
            <w:vAlign w:val="center"/>
            <w:tcMar>
              <w:top w:w="70" w:type="dxa"/>
              <w:bottom w:w="70" w:type="dxa"/>
              <w:left w:w="95" w:type="dxa"/>
              <w:right w:w="95" w:type="dxa"/>
            </w:tcMar>
            <w:shd w:fill="FFFFFF"/>
          </w:tcPr>
          <w:p>
            <w:pPr>
              <w:spacing w:after="0" w:line="252" w:lineRule="auto"/>
              <w:jc w:val="center"/>
            </w:pPr>
            <w:r>
              <w:rPr>
                <w:b w:val="0"/>
                <w:color w:val="000000"/>
                <w:sz w:val="21"/>
              </w:rPr>
              <w:t>262</w:t>
            </w:r>
          </w:p>
        </w:tc>
        <w:tc>
          <w:tcPr>
            <w:tcW w:type="dxa" w:w="3096"/>
            <w:vAlign w:val="center"/>
            <w:tcMar>
              <w:top w:w="70" w:type="dxa"/>
              <w:bottom w:w="70" w:type="dxa"/>
              <w:left w:w="95" w:type="dxa"/>
              <w:right w:w="95" w:type="dxa"/>
            </w:tcMar>
            <w:shd w:fill="FFFFFF"/>
          </w:tcPr>
          <w:p>
            <w:pPr>
              <w:spacing w:after="0" w:line="252" w:lineRule="auto"/>
              <w:jc w:val="center"/>
            </w:pPr>
            <w:r>
              <w:rPr>
                <w:b w:val="0"/>
                <w:color w:val="000000"/>
                <w:sz w:val="21"/>
              </w:rPr>
              <w:t>39.97</w:t>
            </w:r>
          </w:p>
        </w:tc>
      </w:tr>
      <w:tr>
        <w:trPr>
          <w:cantSplit/>
        </w:trPr>
        <w:tc>
          <w:tcPr>
            <w:tcW w:type="dxa" w:w="2390"/>
            <w:vAlign w:val="center"/>
            <w:tcMar>
              <w:top w:w="70" w:type="dxa"/>
              <w:bottom w:w="70" w:type="dxa"/>
              <w:left w:w="95" w:type="dxa"/>
              <w:right w:w="95" w:type="dxa"/>
            </w:tcMar>
            <w:shd w:fill="FFFFFF"/>
          </w:tcPr>
          <w:p>
            <w:pPr>
              <w:spacing w:after="0" w:line="252" w:lineRule="auto"/>
              <w:jc w:val="left"/>
            </w:pPr>
            <w:r>
              <w:rPr>
                <w:b w:val="0"/>
                <w:color w:val="000000"/>
                <w:sz w:val="21"/>
              </w:rPr>
              <w:t>JFK to EGE</w:t>
            </w:r>
          </w:p>
        </w:tc>
        <w:tc>
          <w:tcPr>
            <w:tcW w:type="dxa" w:w="1584"/>
            <w:vAlign w:val="center"/>
            <w:tcMar>
              <w:top w:w="70" w:type="dxa"/>
              <w:bottom w:w="70" w:type="dxa"/>
              <w:left w:w="95" w:type="dxa"/>
              <w:right w:w="95" w:type="dxa"/>
            </w:tcMar>
            <w:shd w:fill="FFFFFF"/>
          </w:tcPr>
          <w:p>
            <w:pPr>
              <w:spacing w:after="0" w:line="252" w:lineRule="auto"/>
              <w:jc w:val="center"/>
            </w:pPr>
            <w:r>
              <w:rPr>
                <w:b w:val="0"/>
                <w:color w:val="000000"/>
                <w:sz w:val="21"/>
              </w:rPr>
              <w:t>105</w:t>
            </w:r>
          </w:p>
        </w:tc>
        <w:tc>
          <w:tcPr>
            <w:tcW w:type="dxa" w:w="2376"/>
            <w:vAlign w:val="center"/>
            <w:tcMar>
              <w:top w:w="70" w:type="dxa"/>
              <w:bottom w:w="70" w:type="dxa"/>
              <w:left w:w="95" w:type="dxa"/>
              <w:right w:w="95" w:type="dxa"/>
            </w:tcMar>
            <w:shd w:fill="FFFFFF"/>
          </w:tcPr>
          <w:p>
            <w:pPr>
              <w:spacing w:after="0" w:line="252" w:lineRule="auto"/>
              <w:jc w:val="center"/>
            </w:pPr>
            <w:r>
              <w:rPr>
                <w:b w:val="0"/>
                <w:color w:val="000000"/>
                <w:sz w:val="21"/>
              </w:rPr>
              <w:t>105</w:t>
            </w:r>
          </w:p>
        </w:tc>
        <w:tc>
          <w:tcPr>
            <w:tcW w:type="dxa" w:w="3096"/>
            <w:vAlign w:val="center"/>
            <w:tcMar>
              <w:top w:w="70" w:type="dxa"/>
              <w:bottom w:w="70" w:type="dxa"/>
              <w:left w:w="95" w:type="dxa"/>
              <w:right w:w="95" w:type="dxa"/>
            </w:tcMar>
            <w:shd w:fill="FFFFFF"/>
          </w:tcPr>
          <w:p>
            <w:pPr>
              <w:spacing w:after="0" w:line="252" w:lineRule="auto"/>
              <w:jc w:val="center"/>
            </w:pPr>
            <w:r>
              <w:rPr>
                <w:b w:val="0"/>
                <w:color w:val="000000"/>
                <w:sz w:val="21"/>
              </w:rPr>
              <w:t>38.01</w:t>
            </w:r>
          </w:p>
        </w:tc>
      </w:tr>
      <w:tr>
        <w:trPr>
          <w:cantSplit/>
        </w:trPr>
        <w:tc>
          <w:tcPr>
            <w:tcW w:type="dxa" w:w="2390"/>
            <w:vAlign w:val="center"/>
            <w:tcMar>
              <w:top w:w="70" w:type="dxa"/>
              <w:bottom w:w="70" w:type="dxa"/>
              <w:left w:w="95" w:type="dxa"/>
              <w:right w:w="95" w:type="dxa"/>
            </w:tcMar>
            <w:shd w:fill="FFFFFF"/>
          </w:tcPr>
          <w:p>
            <w:pPr>
              <w:spacing w:after="0" w:line="252" w:lineRule="auto"/>
              <w:jc w:val="left"/>
            </w:pPr>
            <w:r>
              <w:rPr>
                <w:b w:val="0"/>
                <w:color w:val="000000"/>
                <w:sz w:val="21"/>
              </w:rPr>
              <w:t>OAK to IAH</w:t>
            </w:r>
          </w:p>
        </w:tc>
        <w:tc>
          <w:tcPr>
            <w:tcW w:type="dxa" w:w="1584"/>
            <w:vAlign w:val="center"/>
            <w:tcMar>
              <w:top w:w="70" w:type="dxa"/>
              <w:bottom w:w="70" w:type="dxa"/>
              <w:left w:w="95" w:type="dxa"/>
              <w:right w:w="95" w:type="dxa"/>
            </w:tcMar>
            <w:shd w:fill="FFFFFF"/>
          </w:tcPr>
          <w:p>
            <w:pPr>
              <w:spacing w:after="0" w:line="252" w:lineRule="auto"/>
              <w:jc w:val="center"/>
            </w:pPr>
            <w:r>
              <w:rPr>
                <w:b w:val="0"/>
                <w:color w:val="000000"/>
                <w:sz w:val="21"/>
              </w:rPr>
              <w:t>174</w:t>
            </w:r>
          </w:p>
        </w:tc>
        <w:tc>
          <w:tcPr>
            <w:tcW w:type="dxa" w:w="2376"/>
            <w:vAlign w:val="center"/>
            <w:tcMar>
              <w:top w:w="70" w:type="dxa"/>
              <w:bottom w:w="70" w:type="dxa"/>
              <w:left w:w="95" w:type="dxa"/>
              <w:right w:w="95" w:type="dxa"/>
            </w:tcMar>
            <w:shd w:fill="FFFFFF"/>
          </w:tcPr>
          <w:p>
            <w:pPr>
              <w:spacing w:after="0" w:line="252" w:lineRule="auto"/>
              <w:jc w:val="center"/>
            </w:pPr>
            <w:r>
              <w:rPr>
                <w:b w:val="0"/>
                <w:color w:val="000000"/>
                <w:sz w:val="21"/>
              </w:rPr>
              <w:t>174</w:t>
            </w:r>
          </w:p>
        </w:tc>
        <w:tc>
          <w:tcPr>
            <w:tcW w:type="dxa" w:w="3096"/>
            <w:vAlign w:val="center"/>
            <w:tcMar>
              <w:top w:w="70" w:type="dxa"/>
              <w:bottom w:w="70" w:type="dxa"/>
              <w:left w:w="95" w:type="dxa"/>
              <w:right w:w="95" w:type="dxa"/>
            </w:tcMar>
            <w:shd w:fill="FFFFFF"/>
          </w:tcPr>
          <w:p>
            <w:pPr>
              <w:spacing w:after="0" w:line="252" w:lineRule="auto"/>
              <w:jc w:val="center"/>
            </w:pPr>
            <w:r>
              <w:rPr>
                <w:b w:val="0"/>
                <w:color w:val="000000"/>
                <w:sz w:val="21"/>
              </w:rPr>
              <w:t>34.03</w:t>
            </w:r>
          </w:p>
        </w:tc>
      </w:tr>
      <w:tr>
        <w:trPr>
          <w:cantSplit/>
        </w:trPr>
        <w:tc>
          <w:tcPr>
            <w:tcW w:type="dxa" w:w="2390"/>
            <w:vAlign w:val="center"/>
            <w:tcMar>
              <w:top w:w="70" w:type="dxa"/>
              <w:bottom w:w="70" w:type="dxa"/>
              <w:left w:w="95" w:type="dxa"/>
              <w:right w:w="95" w:type="dxa"/>
            </w:tcMar>
            <w:shd w:fill="FFFFFF"/>
          </w:tcPr>
          <w:p>
            <w:pPr>
              <w:spacing w:after="0" w:line="252" w:lineRule="auto"/>
              <w:jc w:val="left"/>
            </w:pPr>
            <w:r>
              <w:rPr>
                <w:b w:val="0"/>
                <w:color w:val="000000"/>
                <w:sz w:val="21"/>
              </w:rPr>
              <w:t>ACY to DTW</w:t>
            </w:r>
          </w:p>
        </w:tc>
        <w:tc>
          <w:tcPr>
            <w:tcW w:type="dxa" w:w="1584"/>
            <w:vAlign w:val="center"/>
            <w:tcMar>
              <w:top w:w="70" w:type="dxa"/>
              <w:bottom w:w="70" w:type="dxa"/>
              <w:left w:w="95" w:type="dxa"/>
              <w:right w:w="95" w:type="dxa"/>
            </w:tcMar>
            <w:shd w:fill="FFFFFF"/>
          </w:tcPr>
          <w:p>
            <w:pPr>
              <w:spacing w:after="0" w:line="252" w:lineRule="auto"/>
              <w:jc w:val="center"/>
            </w:pPr>
            <w:r>
              <w:rPr>
                <w:b w:val="0"/>
                <w:color w:val="000000"/>
                <w:sz w:val="21"/>
              </w:rPr>
              <w:t>145</w:t>
            </w:r>
          </w:p>
        </w:tc>
        <w:tc>
          <w:tcPr>
            <w:tcW w:type="dxa" w:w="2376"/>
            <w:vAlign w:val="center"/>
            <w:tcMar>
              <w:top w:w="70" w:type="dxa"/>
              <w:bottom w:w="70" w:type="dxa"/>
              <w:left w:w="95" w:type="dxa"/>
              <w:right w:w="95" w:type="dxa"/>
            </w:tcMar>
            <w:shd w:fill="FFFFFF"/>
          </w:tcPr>
          <w:p>
            <w:pPr>
              <w:spacing w:after="0" w:line="252" w:lineRule="auto"/>
              <w:jc w:val="center"/>
            </w:pPr>
            <w:r>
              <w:rPr>
                <w:b w:val="0"/>
                <w:color w:val="000000"/>
                <w:sz w:val="21"/>
              </w:rPr>
              <w:t>145</w:t>
            </w:r>
          </w:p>
        </w:tc>
        <w:tc>
          <w:tcPr>
            <w:tcW w:type="dxa" w:w="3096"/>
            <w:vAlign w:val="center"/>
            <w:tcMar>
              <w:top w:w="70" w:type="dxa"/>
              <w:bottom w:w="70" w:type="dxa"/>
              <w:left w:w="95" w:type="dxa"/>
              <w:right w:w="95" w:type="dxa"/>
            </w:tcMar>
            <w:shd w:fill="FFFFFF"/>
          </w:tcPr>
          <w:p>
            <w:pPr>
              <w:spacing w:after="0" w:line="252" w:lineRule="auto"/>
              <w:jc w:val="center"/>
            </w:pPr>
            <w:r>
              <w:rPr>
                <w:b w:val="0"/>
                <w:color w:val="000000"/>
                <w:sz w:val="21"/>
              </w:rPr>
              <w:t>30.90</w:t>
            </w:r>
          </w:p>
        </w:tc>
      </w:tr>
      <w:tr>
        <w:trPr>
          <w:cantSplit/>
        </w:trPr>
        <w:tc>
          <w:tcPr>
            <w:tcW w:type="dxa" w:w="2390"/>
            <w:vAlign w:val="center"/>
            <w:tcMar>
              <w:top w:w="70" w:type="dxa"/>
              <w:bottom w:w="70" w:type="dxa"/>
              <w:left w:w="95" w:type="dxa"/>
              <w:right w:w="95" w:type="dxa"/>
            </w:tcMar>
            <w:shd w:fill="FFFFFF"/>
          </w:tcPr>
          <w:p>
            <w:pPr>
              <w:spacing w:after="0" w:line="252" w:lineRule="auto"/>
              <w:jc w:val="left"/>
            </w:pPr>
            <w:r>
              <w:rPr>
                <w:b w:val="0"/>
                <w:color w:val="000000"/>
                <w:sz w:val="21"/>
              </w:rPr>
              <w:t>MSP to TTN</w:t>
            </w:r>
          </w:p>
        </w:tc>
        <w:tc>
          <w:tcPr>
            <w:tcW w:type="dxa" w:w="1584"/>
            <w:vAlign w:val="center"/>
            <w:tcMar>
              <w:top w:w="70" w:type="dxa"/>
              <w:bottom w:w="70" w:type="dxa"/>
              <w:left w:w="95" w:type="dxa"/>
              <w:right w:w="95" w:type="dxa"/>
            </w:tcMar>
            <w:shd w:fill="FFFFFF"/>
          </w:tcPr>
          <w:p>
            <w:pPr>
              <w:spacing w:after="0" w:line="252" w:lineRule="auto"/>
              <w:jc w:val="center"/>
            </w:pPr>
            <w:r>
              <w:rPr>
                <w:b w:val="0"/>
                <w:color w:val="000000"/>
                <w:sz w:val="21"/>
              </w:rPr>
              <w:t>151</w:t>
            </w:r>
          </w:p>
        </w:tc>
        <w:tc>
          <w:tcPr>
            <w:tcW w:type="dxa" w:w="2376"/>
            <w:vAlign w:val="center"/>
            <w:tcMar>
              <w:top w:w="70" w:type="dxa"/>
              <w:bottom w:w="70" w:type="dxa"/>
              <w:left w:w="95" w:type="dxa"/>
              <w:right w:w="95" w:type="dxa"/>
            </w:tcMar>
            <w:shd w:fill="FFFFFF"/>
          </w:tcPr>
          <w:p>
            <w:pPr>
              <w:spacing w:after="0" w:line="252" w:lineRule="auto"/>
              <w:jc w:val="center"/>
            </w:pPr>
            <w:r>
              <w:rPr>
                <w:b w:val="0"/>
                <w:color w:val="000000"/>
                <w:sz w:val="21"/>
              </w:rPr>
              <w:t>151</w:t>
            </w:r>
          </w:p>
        </w:tc>
        <w:tc>
          <w:tcPr>
            <w:tcW w:type="dxa" w:w="3096"/>
            <w:vAlign w:val="center"/>
            <w:tcMar>
              <w:top w:w="70" w:type="dxa"/>
              <w:bottom w:w="70" w:type="dxa"/>
              <w:left w:w="95" w:type="dxa"/>
              <w:right w:w="95" w:type="dxa"/>
            </w:tcMar>
            <w:shd w:fill="FFFFFF"/>
          </w:tcPr>
          <w:p>
            <w:pPr>
              <w:spacing w:after="0" w:line="252" w:lineRule="auto"/>
              <w:jc w:val="center"/>
            </w:pPr>
            <w:r>
              <w:rPr>
                <w:b w:val="0"/>
                <w:color w:val="000000"/>
                <w:sz w:val="21"/>
              </w:rPr>
              <w:t>30.23</w:t>
            </w:r>
          </w:p>
        </w:tc>
      </w:tr>
    </w:tbl>
    <w:p>
      <w:pPr>
        <w:widowControl/>
        <w:spacing w:after="0"/>
      </w:pPr>
    </w:p>
    <w:p>
      <w:pPr>
        <w:widowControl/>
      </w:pPr>
      <w:r>
        <w:t>The 100-flight threshold leaves 4,075 routes with an observed mean. ASE to DFW has the largest mean among these qualifying routes. The threshold improves minimum data support but does not make every displayed route high-volume relative to the busiest services. Route averages should therefore be interpreted together with observation counts.</w:t>
      </w:r>
    </w:p>
    <w:p>
      <w:pPr>
        <w:widowControl/>
      </w:pPr>
      <w:r>
        <w:t>Airport-level weighted centrality versus average arrival delay has Spearman correlation 0.0646 across 322 airports. This provides little monotonic association in the descriptive summary. Airports receive equal weight in that correlation, unlike the overall flight-weighted mean. Weather, season, airport mix and scheduling are uncontrolled; no significance test or causal claim is made.</w:t>
      </w:r>
    </w:p>
    <w:p>
      <w:r>
        <w:br w:type="page"/>
      </w:r>
    </w:p>
    <w:p>
      <w:pPr>
        <w:pStyle w:val="Heading2"/>
      </w:pPr>
      <w:r>
        <w:t>Validation repeatability and performance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17"/>
        <w:gridCol w:w="5530"/>
      </w:tblGrid>
      <w:tr>
        <w:trPr>
          <w:cantSplit/>
          <w:tblHeader/>
        </w:trPr>
        <w:tc>
          <w:tcPr>
            <w:tcW w:type="dxa" w:w="3917"/>
            <w:vAlign w:val="center"/>
            <w:tcMar>
              <w:top w:w="70" w:type="dxa"/>
              <w:bottom w:w="70" w:type="dxa"/>
              <w:left w:w="95" w:type="dxa"/>
              <w:right w:w="95" w:type="dxa"/>
            </w:tcMar>
            <w:shd w:fill="E7EDF2"/>
          </w:tcPr>
          <w:p>
            <w:pPr>
              <w:spacing w:after="0" w:line="252" w:lineRule="auto"/>
              <w:jc w:val="left"/>
            </w:pPr>
            <w:r>
              <w:rPr>
                <w:b/>
                <w:color w:val="000000"/>
                <w:sz w:val="21"/>
              </w:rPr>
              <w:t>Evidence</w:t>
            </w:r>
          </w:p>
        </w:tc>
        <w:tc>
          <w:tcPr>
            <w:tcW w:type="dxa" w:w="5530"/>
            <w:vAlign w:val="center"/>
            <w:tcMar>
              <w:top w:w="70" w:type="dxa"/>
              <w:bottom w:w="70" w:type="dxa"/>
              <w:left w:w="95" w:type="dxa"/>
              <w:right w:w="95" w:type="dxa"/>
            </w:tcMar>
            <w:shd w:fill="E7EDF2"/>
          </w:tcPr>
          <w:p>
            <w:pPr>
              <w:spacing w:after="0" w:line="252" w:lineRule="auto"/>
              <w:jc w:val="center"/>
            </w:pPr>
            <w:r>
              <w:rPr>
                <w:b/>
                <w:color w:val="000000"/>
                <w:sz w:val="21"/>
              </w:rPr>
              <w:t>Result</w:t>
            </w:r>
          </w:p>
        </w:tc>
      </w:tr>
      <w:tr>
        <w:trPr>
          <w:cantSplit/>
        </w:trPr>
        <w:tc>
          <w:tcPr>
            <w:tcW w:type="dxa" w:w="3917"/>
            <w:vAlign w:val="center"/>
            <w:tcMar>
              <w:top w:w="70" w:type="dxa"/>
              <w:bottom w:w="70" w:type="dxa"/>
              <w:left w:w="95" w:type="dxa"/>
              <w:right w:w="95" w:type="dxa"/>
            </w:tcMar>
            <w:shd w:fill="FFFFFF"/>
          </w:tcPr>
          <w:p>
            <w:pPr>
              <w:spacing w:after="0" w:line="252" w:lineRule="auto"/>
              <w:jc w:val="left"/>
            </w:pPr>
            <w:r>
              <w:rPr>
                <w:b w:val="0"/>
                <w:color w:val="000000"/>
                <w:sz w:val="21"/>
              </w:rPr>
              <w:t>Full saved-output validation</w:t>
            </w:r>
          </w:p>
        </w:tc>
        <w:tc>
          <w:tcPr>
            <w:tcW w:type="dxa" w:w="5530"/>
            <w:vAlign w:val="center"/>
            <w:tcMar>
              <w:top w:w="70" w:type="dxa"/>
              <w:bottom w:w="70" w:type="dxa"/>
              <w:left w:w="95" w:type="dxa"/>
              <w:right w:w="95" w:type="dxa"/>
            </w:tcMar>
            <w:shd w:fill="FFFFFF"/>
          </w:tcPr>
          <w:p>
            <w:pPr>
              <w:spacing w:after="0" w:line="252" w:lineRule="auto"/>
              <w:jc w:val="left"/>
            </w:pPr>
            <w:r>
              <w:rPr>
                <w:b w:val="0"/>
                <w:color w:val="000000"/>
                <w:sz w:val="21"/>
              </w:rPr>
              <w:t>31 checks passed in each full run</w:t>
            </w:r>
          </w:p>
        </w:tc>
      </w:tr>
      <w:tr>
        <w:trPr>
          <w:cantSplit/>
        </w:trPr>
        <w:tc>
          <w:tcPr>
            <w:tcW w:type="dxa" w:w="3917"/>
            <w:vAlign w:val="center"/>
            <w:tcMar>
              <w:top w:w="70" w:type="dxa"/>
              <w:bottom w:w="70" w:type="dxa"/>
              <w:left w:w="95" w:type="dxa"/>
              <w:right w:w="95" w:type="dxa"/>
            </w:tcMar>
            <w:shd w:fill="FFFFFF"/>
          </w:tcPr>
          <w:p>
            <w:pPr>
              <w:spacing w:after="0" w:line="252" w:lineRule="auto"/>
              <w:jc w:val="left"/>
            </w:pPr>
            <w:r>
              <w:rPr>
                <w:b w:val="0"/>
                <w:color w:val="000000"/>
                <w:sz w:val="21"/>
              </w:rPr>
              <w:t>Full export integrity</w:t>
            </w:r>
          </w:p>
        </w:tc>
        <w:tc>
          <w:tcPr>
            <w:tcW w:type="dxa" w:w="5530"/>
            <w:vAlign w:val="center"/>
            <w:tcMar>
              <w:top w:w="70" w:type="dxa"/>
              <w:bottom w:w="70" w:type="dxa"/>
              <w:left w:w="95" w:type="dxa"/>
              <w:right w:w="95" w:type="dxa"/>
            </w:tcMar>
            <w:shd w:fill="FFFFFF"/>
          </w:tcPr>
          <w:p>
            <w:pPr>
              <w:spacing w:after="0" w:line="252" w:lineRule="auto"/>
              <w:jc w:val="left"/>
            </w:pPr>
            <w:r>
              <w:rPr>
                <w:b w:val="0"/>
                <w:color w:val="000000"/>
                <w:sz w:val="21"/>
              </w:rPr>
              <w:t>16 checks passed in each full run</w:t>
            </w:r>
          </w:p>
        </w:tc>
      </w:tr>
      <w:tr>
        <w:trPr>
          <w:cantSplit/>
        </w:trPr>
        <w:tc>
          <w:tcPr>
            <w:tcW w:type="dxa" w:w="3917"/>
            <w:vAlign w:val="center"/>
            <w:tcMar>
              <w:top w:w="70" w:type="dxa"/>
              <w:bottom w:w="70" w:type="dxa"/>
              <w:left w:w="95" w:type="dxa"/>
              <w:right w:w="95" w:type="dxa"/>
            </w:tcMar>
            <w:shd w:fill="FFFFFF"/>
          </w:tcPr>
          <w:p>
            <w:pPr>
              <w:spacing w:after="0" w:line="252" w:lineRule="auto"/>
              <w:jc w:val="left"/>
            </w:pPr>
            <w:r>
              <w:rPr>
                <w:b w:val="0"/>
                <w:color w:val="000000"/>
                <w:sz w:val="21"/>
              </w:rPr>
              <w:t>HDFS fixture and independent oracles</w:t>
            </w:r>
          </w:p>
        </w:tc>
        <w:tc>
          <w:tcPr>
            <w:tcW w:type="dxa" w:w="5530"/>
            <w:vAlign w:val="center"/>
            <w:tcMar>
              <w:top w:w="70" w:type="dxa"/>
              <w:bottom w:w="70" w:type="dxa"/>
              <w:left w:w="95" w:type="dxa"/>
              <w:right w:w="95" w:type="dxa"/>
            </w:tcMar>
            <w:shd w:fill="FFFFFF"/>
          </w:tcPr>
          <w:p>
            <w:pPr>
              <w:spacing w:after="0" w:line="252" w:lineRule="auto"/>
              <w:jc w:val="left"/>
            </w:pPr>
            <w:r>
              <w:rPr>
                <w:b w:val="0"/>
                <w:color w:val="000000"/>
                <w:sz w:val="21"/>
              </w:rPr>
              <w:t>31 saved checks; 57 export/oracle checks; seven graph cases</w:t>
            </w:r>
          </w:p>
        </w:tc>
      </w:tr>
      <w:tr>
        <w:trPr>
          <w:cantSplit/>
        </w:trPr>
        <w:tc>
          <w:tcPr>
            <w:tcW w:type="dxa" w:w="3917"/>
            <w:vAlign w:val="center"/>
            <w:tcMar>
              <w:top w:w="70" w:type="dxa"/>
              <w:bottom w:w="70" w:type="dxa"/>
              <w:left w:w="95" w:type="dxa"/>
              <w:right w:w="95" w:type="dxa"/>
            </w:tcMar>
            <w:shd w:fill="FFFFFF"/>
          </w:tcPr>
          <w:p>
            <w:pPr>
              <w:spacing w:after="0" w:line="252" w:lineRule="auto"/>
              <w:jc w:val="left"/>
            </w:pPr>
            <w:r>
              <w:rPr>
                <w:b w:val="0"/>
                <w:color w:val="000000"/>
                <w:sz w:val="21"/>
              </w:rPr>
              <w:t>Repeatability</w:t>
            </w:r>
          </w:p>
        </w:tc>
        <w:tc>
          <w:tcPr>
            <w:tcW w:type="dxa" w:w="5530"/>
            <w:vAlign w:val="center"/>
            <w:tcMar>
              <w:top w:w="70" w:type="dxa"/>
              <w:bottom w:w="70" w:type="dxa"/>
              <w:left w:w="95" w:type="dxa"/>
              <w:right w:w="95" w:type="dxa"/>
            </w:tcMar>
            <w:shd w:fill="FFFFFF"/>
          </w:tcPr>
          <w:p>
            <w:pPr>
              <w:spacing w:after="0" w:line="252" w:lineRule="auto"/>
              <w:jc w:val="left"/>
            </w:pPr>
            <w:r>
              <w:rPr>
                <w:b w:val="0"/>
                <w:color w:val="000000"/>
                <w:sz w:val="21"/>
              </w:rPr>
              <w:t>All 14 non-timing tables equivalent within 10⁻⁸</w:t>
            </w:r>
          </w:p>
        </w:tc>
      </w:tr>
      <w:tr>
        <w:trPr>
          <w:cantSplit/>
        </w:trPr>
        <w:tc>
          <w:tcPr>
            <w:tcW w:type="dxa" w:w="3917"/>
            <w:vAlign w:val="center"/>
            <w:tcMar>
              <w:top w:w="70" w:type="dxa"/>
              <w:bottom w:w="70" w:type="dxa"/>
              <w:left w:w="95" w:type="dxa"/>
              <w:right w:w="95" w:type="dxa"/>
            </w:tcMar>
            <w:shd w:fill="FFFFFF"/>
          </w:tcPr>
          <w:p>
            <w:pPr>
              <w:spacing w:after="0" w:line="252" w:lineRule="auto"/>
              <w:jc w:val="left"/>
            </w:pPr>
            <w:r>
              <w:rPr>
                <w:b w:val="0"/>
                <w:color w:val="000000"/>
                <w:sz w:val="21"/>
              </w:rPr>
              <w:t>Failure handling</w:t>
            </w:r>
          </w:p>
        </w:tc>
        <w:tc>
          <w:tcPr>
            <w:tcW w:type="dxa" w:w="5530"/>
            <w:vAlign w:val="center"/>
            <w:tcMar>
              <w:top w:w="70" w:type="dxa"/>
              <w:bottom w:w="70" w:type="dxa"/>
              <w:left w:w="95" w:type="dxa"/>
              <w:right w:w="95" w:type="dxa"/>
            </w:tcMar>
            <w:shd w:fill="FFFFFF"/>
          </w:tcPr>
          <w:p>
            <w:pPr>
              <w:spacing w:after="0" w:line="252" w:lineRule="auto"/>
              <w:jc w:val="left"/>
            </w:pPr>
            <w:r>
              <w:rPr>
                <w:b w:val="0"/>
                <w:color w:val="000000"/>
                <w:sz w:val="21"/>
              </w:rPr>
              <w:t>Conflicting lookup rejected; no success marker</w:t>
            </w:r>
          </w:p>
        </w:tc>
      </w:tr>
      <w:tr>
        <w:trPr>
          <w:cantSplit/>
        </w:trPr>
        <w:tc>
          <w:tcPr>
            <w:tcW w:type="dxa" w:w="3917"/>
            <w:vAlign w:val="center"/>
            <w:tcMar>
              <w:top w:w="70" w:type="dxa"/>
              <w:bottom w:w="70" w:type="dxa"/>
              <w:left w:w="95" w:type="dxa"/>
              <w:right w:w="95" w:type="dxa"/>
            </w:tcMar>
            <w:shd w:fill="FFFFFF"/>
          </w:tcPr>
          <w:p>
            <w:pPr>
              <w:spacing w:after="0" w:line="252" w:lineRule="auto"/>
              <w:jc w:val="left"/>
            </w:pPr>
            <w:r>
              <w:rPr>
                <w:b w:val="0"/>
                <w:color w:val="000000"/>
                <w:sz w:val="21"/>
              </w:rPr>
              <w:t>Document and export tests</w:t>
            </w:r>
          </w:p>
        </w:tc>
        <w:tc>
          <w:tcPr>
            <w:tcW w:type="dxa" w:w="5530"/>
            <w:vAlign w:val="center"/>
            <w:tcMar>
              <w:top w:w="70" w:type="dxa"/>
              <w:bottom w:w="70" w:type="dxa"/>
              <w:left w:w="95" w:type="dxa"/>
              <w:right w:w="95" w:type="dxa"/>
            </w:tcMar>
            <w:shd w:fill="FFFFFF"/>
          </w:tcPr>
          <w:p>
            <w:pPr>
              <w:spacing w:after="0" w:line="252" w:lineRule="auto"/>
              <w:jc w:val="left"/>
            </w:pPr>
            <w:r>
              <w:rPr>
                <w:b w:val="0"/>
                <w:color w:val="000000"/>
                <w:sz w:val="21"/>
              </w:rPr>
              <w:t>Eight tests passed; extracted package verified</w:t>
            </w:r>
          </w:p>
        </w:tc>
      </w:tr>
    </w:tbl>
    <w:p>
      <w:pPr>
        <w:widowControl/>
        <w:spacing w:after="0"/>
      </w:pPr>
    </w:p>
    <w:p>
      <w:pPr>
        <w:widowControl/>
      </w:pPr>
      <w:r>
        <w:t>Fixture cases cover an equal cycle, a reverse-ID triangle, a directed chain, disconnected groups, dangling and isolated vertices, asymmetric weights and reciprocal-edge projection. HDFS checks found the project raw and result paths healthy. These tests establish algorithm and storage behavior separately from the real-airline conclusions.</w:t>
      </w:r>
    </w:p>
    <w:p>
      <w:pPr>
        <w:pStyle w:val="Heading3"/>
      </w:pPr>
      <w:r>
        <w:t>Convergence and runtime</w:t>
      </w:r>
    </w:p>
    <w:p>
      <w:pPr>
        <w:widowControl/>
      </w:pPr>
      <w:r>
        <w:t>Weighted PageRank converged in 28 iterations with residual 6.83 × 10⁻⁹ and score sum approximately one. The uniform custom run converged in 35 iterations with residual 5.33 × 10⁻⁹. The weighted iteration itself took 8.579 seconds; the complete analytics stage also includes graph loading, other algorithms and output writes.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2448"/>
        <w:gridCol w:w="2434"/>
        <w:gridCol w:w="2477"/>
      </w:tblGrid>
      <w:tr>
        <w:trPr>
          <w:cantSplit/>
          <w:tblHeader/>
        </w:trPr>
        <w:tc>
          <w:tcPr>
            <w:tcW w:type="dxa" w:w="2088"/>
            <w:vAlign w:val="center"/>
            <w:tcMar>
              <w:top w:w="70" w:type="dxa"/>
              <w:bottom w:w="70" w:type="dxa"/>
              <w:left w:w="95" w:type="dxa"/>
              <w:right w:w="95" w:type="dxa"/>
            </w:tcMar>
            <w:shd w:fill="E7EDF2"/>
          </w:tcPr>
          <w:p>
            <w:pPr>
              <w:spacing w:after="0" w:line="252" w:lineRule="auto"/>
              <w:jc w:val="left"/>
            </w:pPr>
            <w:r>
              <w:rPr>
                <w:b/>
                <w:color w:val="000000"/>
                <w:sz w:val="21"/>
              </w:rPr>
              <w:t>Stage</w:t>
            </w:r>
          </w:p>
        </w:tc>
        <w:tc>
          <w:tcPr>
            <w:tcW w:type="dxa" w:w="2448"/>
            <w:vAlign w:val="center"/>
            <w:tcMar>
              <w:top w:w="70" w:type="dxa"/>
              <w:bottom w:w="70" w:type="dxa"/>
              <w:left w:w="95" w:type="dxa"/>
              <w:right w:w="95" w:type="dxa"/>
            </w:tcMar>
            <w:shd w:fill="E7EDF2"/>
          </w:tcPr>
          <w:p>
            <w:pPr>
              <w:spacing w:after="0" w:line="252" w:lineRule="auto"/>
              <w:jc w:val="center"/>
            </w:pPr>
            <w:r>
              <w:rPr>
                <w:b/>
                <w:color w:val="000000"/>
                <w:sz w:val="21"/>
              </w:rPr>
              <w:t>Selected materialized seconds</w:t>
            </w:r>
          </w:p>
        </w:tc>
        <w:tc>
          <w:tcPr>
            <w:tcW w:type="dxa" w:w="2434"/>
            <w:vAlign w:val="center"/>
            <w:tcMar>
              <w:top w:w="70" w:type="dxa"/>
              <w:bottom w:w="70" w:type="dxa"/>
              <w:left w:w="95" w:type="dxa"/>
              <w:right w:w="95" w:type="dxa"/>
            </w:tcMar>
            <w:shd w:fill="E7EDF2"/>
          </w:tcPr>
          <w:p>
            <w:pPr>
              <w:spacing w:after="0" w:line="252" w:lineRule="auto"/>
              <w:jc w:val="center"/>
            </w:pPr>
            <w:r>
              <w:rPr>
                <w:b/>
                <w:color w:val="000000"/>
                <w:sz w:val="21"/>
              </w:rPr>
              <w:t>Selected wrapper seconds</w:t>
            </w:r>
          </w:p>
        </w:tc>
        <w:tc>
          <w:tcPr>
            <w:tcW w:type="dxa" w:w="2477"/>
            <w:vAlign w:val="center"/>
            <w:tcMar>
              <w:top w:w="70" w:type="dxa"/>
              <w:bottom w:w="70" w:type="dxa"/>
              <w:left w:w="95" w:type="dxa"/>
              <w:right w:w="95" w:type="dxa"/>
            </w:tcMar>
            <w:shd w:fill="E7EDF2"/>
          </w:tcPr>
          <w:p>
            <w:pPr>
              <w:spacing w:after="0" w:line="252" w:lineRule="auto"/>
              <w:jc w:val="center"/>
            </w:pPr>
            <w:r>
              <w:rPr>
                <w:b/>
                <w:color w:val="000000"/>
                <w:sz w:val="21"/>
              </w:rPr>
              <w:t>Repeat materialized seconds</w:t>
            </w:r>
          </w:p>
        </w:tc>
      </w:tr>
      <w:tr>
        <w:trPr>
          <w:cantSplit/>
        </w:trPr>
        <w:tc>
          <w:tcPr>
            <w:tcW w:type="dxa" w:w="2088"/>
            <w:vAlign w:val="center"/>
            <w:tcMar>
              <w:top w:w="70" w:type="dxa"/>
              <w:bottom w:w="70" w:type="dxa"/>
              <w:left w:w="95" w:type="dxa"/>
              <w:right w:w="95" w:type="dxa"/>
            </w:tcMar>
            <w:shd w:fill="FFFFFF"/>
          </w:tcPr>
          <w:p>
            <w:pPr>
              <w:spacing w:after="0" w:line="252" w:lineRule="auto"/>
              <w:jc w:val="left"/>
            </w:pPr>
            <w:r>
              <w:rPr>
                <w:b w:val="0"/>
                <w:color w:val="000000"/>
                <w:sz w:val="21"/>
              </w:rPr>
              <w:t>Smoke</w:t>
            </w:r>
          </w:p>
        </w:tc>
        <w:tc>
          <w:tcPr>
            <w:tcW w:type="dxa" w:w="2448"/>
            <w:vAlign w:val="center"/>
            <w:tcMar>
              <w:top w:w="70" w:type="dxa"/>
              <w:bottom w:w="70" w:type="dxa"/>
              <w:left w:w="95" w:type="dxa"/>
              <w:right w:w="95" w:type="dxa"/>
            </w:tcMar>
            <w:shd w:fill="FFFFFF"/>
          </w:tcPr>
          <w:p>
            <w:pPr>
              <w:spacing w:after="0" w:line="252" w:lineRule="auto"/>
              <w:jc w:val="center"/>
            </w:pPr>
            <w:r>
              <w:rPr>
                <w:b w:val="0"/>
                <w:color w:val="000000"/>
                <w:sz w:val="21"/>
              </w:rPr>
              <w:t>2.988</w:t>
            </w:r>
          </w:p>
        </w:tc>
        <w:tc>
          <w:tcPr>
            <w:tcW w:type="dxa" w:w="2434"/>
            <w:vAlign w:val="center"/>
            <w:tcMar>
              <w:top w:w="70" w:type="dxa"/>
              <w:bottom w:w="70" w:type="dxa"/>
              <w:left w:w="95" w:type="dxa"/>
              <w:right w:w="95" w:type="dxa"/>
            </w:tcMar>
            <w:shd w:fill="FFFFFF"/>
          </w:tcPr>
          <w:p>
            <w:pPr>
              <w:spacing w:after="0" w:line="252" w:lineRule="auto"/>
              <w:jc w:val="center"/>
            </w:pPr>
            <w:r>
              <w:rPr>
                <w:b w:val="0"/>
                <w:color w:val="000000"/>
                <w:sz w:val="21"/>
              </w:rPr>
              <w:t>15</w:t>
            </w:r>
          </w:p>
        </w:tc>
        <w:tc>
          <w:tcPr>
            <w:tcW w:type="dxa" w:w="2477"/>
            <w:vAlign w:val="center"/>
            <w:tcMar>
              <w:top w:w="70" w:type="dxa"/>
              <w:bottom w:w="70" w:type="dxa"/>
              <w:left w:w="95" w:type="dxa"/>
              <w:right w:w="95" w:type="dxa"/>
            </w:tcMar>
            <w:shd w:fill="FFFFFF"/>
          </w:tcPr>
          <w:p>
            <w:pPr>
              <w:spacing w:after="0" w:line="252" w:lineRule="auto"/>
              <w:jc w:val="center"/>
            </w:pPr>
            <w:r>
              <w:rPr>
                <w:b w:val="0"/>
                <w:color w:val="000000"/>
                <w:sz w:val="21"/>
              </w:rPr>
              <w:t>3.190</w:t>
            </w:r>
          </w:p>
        </w:tc>
      </w:tr>
      <w:tr>
        <w:trPr>
          <w:cantSplit/>
        </w:trPr>
        <w:tc>
          <w:tcPr>
            <w:tcW w:type="dxa" w:w="2088"/>
            <w:vAlign w:val="center"/>
            <w:tcMar>
              <w:top w:w="70" w:type="dxa"/>
              <w:bottom w:w="70" w:type="dxa"/>
              <w:left w:w="95" w:type="dxa"/>
              <w:right w:w="95" w:type="dxa"/>
            </w:tcMar>
            <w:shd w:fill="FFFFFF"/>
          </w:tcPr>
          <w:p>
            <w:pPr>
              <w:spacing w:after="0" w:line="252" w:lineRule="auto"/>
              <w:jc w:val="left"/>
            </w:pPr>
            <w:r>
              <w:rPr>
                <w:b w:val="0"/>
                <w:color w:val="000000"/>
                <w:sz w:val="21"/>
              </w:rPr>
              <w:t>Preprocessing</w:t>
            </w:r>
          </w:p>
        </w:tc>
        <w:tc>
          <w:tcPr>
            <w:tcW w:type="dxa" w:w="2448"/>
            <w:vAlign w:val="center"/>
            <w:tcMar>
              <w:top w:w="70" w:type="dxa"/>
              <w:bottom w:w="70" w:type="dxa"/>
              <w:left w:w="95" w:type="dxa"/>
              <w:right w:w="95" w:type="dxa"/>
            </w:tcMar>
            <w:shd w:fill="FFFFFF"/>
          </w:tcPr>
          <w:p>
            <w:pPr>
              <w:spacing w:after="0" w:line="252" w:lineRule="auto"/>
              <w:jc w:val="center"/>
            </w:pPr>
            <w:r>
              <w:rPr>
                <w:b w:val="0"/>
                <w:color w:val="000000"/>
                <w:sz w:val="21"/>
              </w:rPr>
              <w:t>139.319</w:t>
            </w:r>
          </w:p>
        </w:tc>
        <w:tc>
          <w:tcPr>
            <w:tcW w:type="dxa" w:w="2434"/>
            <w:vAlign w:val="center"/>
            <w:tcMar>
              <w:top w:w="70" w:type="dxa"/>
              <w:bottom w:w="70" w:type="dxa"/>
              <w:left w:w="95" w:type="dxa"/>
              <w:right w:w="95" w:type="dxa"/>
            </w:tcMar>
            <w:shd w:fill="FFFFFF"/>
          </w:tcPr>
          <w:p>
            <w:pPr>
              <w:spacing w:after="0" w:line="252" w:lineRule="auto"/>
              <w:jc w:val="center"/>
            </w:pPr>
            <w:r>
              <w:rPr>
                <w:b w:val="0"/>
                <w:color w:val="000000"/>
                <w:sz w:val="21"/>
              </w:rPr>
              <w:t>152</w:t>
            </w:r>
          </w:p>
        </w:tc>
        <w:tc>
          <w:tcPr>
            <w:tcW w:type="dxa" w:w="2477"/>
            <w:vAlign w:val="center"/>
            <w:tcMar>
              <w:top w:w="70" w:type="dxa"/>
              <w:bottom w:w="70" w:type="dxa"/>
              <w:left w:w="95" w:type="dxa"/>
              <w:right w:w="95" w:type="dxa"/>
            </w:tcMar>
            <w:shd w:fill="FFFFFF"/>
          </w:tcPr>
          <w:p>
            <w:pPr>
              <w:spacing w:after="0" w:line="252" w:lineRule="auto"/>
              <w:jc w:val="center"/>
            </w:pPr>
            <w:r>
              <w:rPr>
                <w:b w:val="0"/>
                <w:color w:val="000000"/>
                <w:sz w:val="21"/>
              </w:rPr>
              <w:t>148.657</w:t>
            </w:r>
          </w:p>
        </w:tc>
      </w:tr>
      <w:tr>
        <w:trPr>
          <w:cantSplit/>
        </w:trPr>
        <w:tc>
          <w:tcPr>
            <w:tcW w:type="dxa" w:w="2088"/>
            <w:vAlign w:val="center"/>
            <w:tcMar>
              <w:top w:w="70" w:type="dxa"/>
              <w:bottom w:w="70" w:type="dxa"/>
              <w:left w:w="95" w:type="dxa"/>
              <w:right w:w="95" w:type="dxa"/>
            </w:tcMar>
            <w:shd w:fill="FFFFFF"/>
          </w:tcPr>
          <w:p>
            <w:pPr>
              <w:spacing w:after="0" w:line="252" w:lineRule="auto"/>
              <w:jc w:val="left"/>
            </w:pPr>
            <w:r>
              <w:rPr>
                <w:b w:val="0"/>
                <w:color w:val="000000"/>
                <w:sz w:val="21"/>
              </w:rPr>
              <w:t>Graph analysis</w:t>
            </w:r>
          </w:p>
        </w:tc>
        <w:tc>
          <w:tcPr>
            <w:tcW w:type="dxa" w:w="2448"/>
            <w:vAlign w:val="center"/>
            <w:tcMar>
              <w:top w:w="70" w:type="dxa"/>
              <w:bottom w:w="70" w:type="dxa"/>
              <w:left w:w="95" w:type="dxa"/>
              <w:right w:w="95" w:type="dxa"/>
            </w:tcMar>
            <w:shd w:fill="FFFFFF"/>
          </w:tcPr>
          <w:p>
            <w:pPr>
              <w:spacing w:after="0" w:line="252" w:lineRule="auto"/>
              <w:jc w:val="center"/>
            </w:pPr>
            <w:r>
              <w:rPr>
                <w:b w:val="0"/>
                <w:color w:val="000000"/>
                <w:sz w:val="21"/>
              </w:rPr>
              <w:t>39.732</w:t>
            </w:r>
          </w:p>
        </w:tc>
        <w:tc>
          <w:tcPr>
            <w:tcW w:type="dxa" w:w="2434"/>
            <w:vAlign w:val="center"/>
            <w:tcMar>
              <w:top w:w="70" w:type="dxa"/>
              <w:bottom w:w="70" w:type="dxa"/>
              <w:left w:w="95" w:type="dxa"/>
              <w:right w:w="95" w:type="dxa"/>
            </w:tcMar>
            <w:shd w:fill="FFFFFF"/>
          </w:tcPr>
          <w:p>
            <w:pPr>
              <w:spacing w:after="0" w:line="252" w:lineRule="auto"/>
              <w:jc w:val="center"/>
            </w:pPr>
            <w:r>
              <w:rPr>
                <w:b w:val="0"/>
                <w:color w:val="000000"/>
                <w:sz w:val="21"/>
              </w:rPr>
              <w:t>52</w:t>
            </w:r>
          </w:p>
        </w:tc>
        <w:tc>
          <w:tcPr>
            <w:tcW w:type="dxa" w:w="2477"/>
            <w:vAlign w:val="center"/>
            <w:tcMar>
              <w:top w:w="70" w:type="dxa"/>
              <w:bottom w:w="70" w:type="dxa"/>
              <w:left w:w="95" w:type="dxa"/>
              <w:right w:w="95" w:type="dxa"/>
            </w:tcMar>
            <w:shd w:fill="FFFFFF"/>
          </w:tcPr>
          <w:p>
            <w:pPr>
              <w:spacing w:after="0" w:line="252" w:lineRule="auto"/>
              <w:jc w:val="center"/>
            </w:pPr>
            <w:r>
              <w:rPr>
                <w:b w:val="0"/>
                <w:color w:val="000000"/>
                <w:sz w:val="21"/>
              </w:rPr>
              <w:t>40.887</w:t>
            </w:r>
          </w:p>
        </w:tc>
      </w:tr>
      <w:tr>
        <w:trPr>
          <w:cantSplit/>
        </w:trPr>
        <w:tc>
          <w:tcPr>
            <w:tcW w:type="dxa" w:w="2088"/>
            <w:vAlign w:val="center"/>
            <w:tcMar>
              <w:top w:w="70" w:type="dxa"/>
              <w:bottom w:w="70" w:type="dxa"/>
              <w:left w:w="95" w:type="dxa"/>
              <w:right w:w="95" w:type="dxa"/>
            </w:tcMar>
            <w:shd w:fill="FFFFFF"/>
          </w:tcPr>
          <w:p>
            <w:pPr>
              <w:spacing w:after="0" w:line="252" w:lineRule="auto"/>
              <w:jc w:val="left"/>
            </w:pPr>
            <w:r>
              <w:rPr>
                <w:b w:val="0"/>
                <w:color w:val="000000"/>
                <w:sz w:val="21"/>
              </w:rPr>
              <w:t>Validation</w:t>
            </w:r>
          </w:p>
        </w:tc>
        <w:tc>
          <w:tcPr>
            <w:tcW w:type="dxa" w:w="2448"/>
            <w:vAlign w:val="center"/>
            <w:tcMar>
              <w:top w:w="70" w:type="dxa"/>
              <w:bottom w:w="70" w:type="dxa"/>
              <w:left w:w="95" w:type="dxa"/>
              <w:right w:w="95" w:type="dxa"/>
            </w:tcMar>
            <w:shd w:fill="FFFFFF"/>
          </w:tcPr>
          <w:p>
            <w:pPr>
              <w:spacing w:after="0" w:line="252" w:lineRule="auto"/>
              <w:jc w:val="center"/>
            </w:pPr>
            <w:r>
              <w:rPr>
                <w:b w:val="0"/>
                <w:color w:val="000000"/>
                <w:sz w:val="21"/>
              </w:rPr>
              <w:t>10.222</w:t>
            </w:r>
          </w:p>
        </w:tc>
        <w:tc>
          <w:tcPr>
            <w:tcW w:type="dxa" w:w="2434"/>
            <w:vAlign w:val="center"/>
            <w:tcMar>
              <w:top w:w="70" w:type="dxa"/>
              <w:bottom w:w="70" w:type="dxa"/>
              <w:left w:w="95" w:type="dxa"/>
              <w:right w:w="95" w:type="dxa"/>
            </w:tcMar>
            <w:shd w:fill="FFFFFF"/>
          </w:tcPr>
          <w:p>
            <w:pPr>
              <w:spacing w:after="0" w:line="252" w:lineRule="auto"/>
              <w:jc w:val="center"/>
            </w:pPr>
            <w:r>
              <w:rPr>
                <w:b w:val="0"/>
                <w:color w:val="000000"/>
                <w:sz w:val="21"/>
              </w:rPr>
              <w:t>21</w:t>
            </w:r>
          </w:p>
        </w:tc>
        <w:tc>
          <w:tcPr>
            <w:tcW w:type="dxa" w:w="2477"/>
            <w:vAlign w:val="center"/>
            <w:tcMar>
              <w:top w:w="70" w:type="dxa"/>
              <w:bottom w:w="70" w:type="dxa"/>
              <w:left w:w="95" w:type="dxa"/>
              <w:right w:w="95" w:type="dxa"/>
            </w:tcMar>
            <w:shd w:fill="FFFFFF"/>
          </w:tcPr>
          <w:p>
            <w:pPr>
              <w:spacing w:after="0" w:line="252" w:lineRule="auto"/>
              <w:jc w:val="center"/>
            </w:pPr>
            <w:r>
              <w:rPr>
                <w:b w:val="0"/>
                <w:color w:val="000000"/>
                <w:sz w:val="21"/>
              </w:rPr>
              <w:t>10.523</w:t>
            </w:r>
          </w:p>
        </w:tc>
      </w:tr>
    </w:tbl>
    <w:p>
      <w:pPr>
        <w:widowControl/>
        <w:spacing w:after="0"/>
      </w:pPr>
    </w:p>
    <w:p>
      <w:pPr>
        <w:pStyle w:val="Heading3"/>
      </w:pPr>
      <w:r>
        <w:t>Measurement boundaries and operational limits</w:t>
      </w:r>
    </w:p>
    <w:p>
      <w:pPr>
        <w:widowControl/>
      </w:pPr>
      <w:r>
        <w:t>Materialized stage time includes computation and writes after Spark startup. Wrapper time includes process startup and Scala compilation; it contains, rather than adds to, the materialized time. Acquisition, input inspection, ingestion and export are outside these four stage measurements. The two runs demonstrate repeatability, not a statistically established speedup.</w:t>
      </w:r>
    </w:p>
    <w:p>
      <w:pPr>
        <w:widowControl/>
      </w:pPr>
      <w:r>
        <w:t>Spark ran with two local threads, a 2 GiB driver heap and four partitions. Wide-aggregation spill warnings occurred without failure. Peak memory was not instrumented. The final graph is small relative to the input table, and no multi-node benchmark or separate clean-machine reproduction was performed. A supported daemon JDK, explicit HDFS smoke check and safe-mode readiness check resolved the observed operational issues.</w:t>
      </w:r>
    </w:p>
    <w:p>
      <w:r>
        <w:br w:type="page"/>
      </w:r>
    </w:p>
    <w:p>
      <w:pPr>
        <w:pStyle w:val="Heading1"/>
      </w:pPr>
      <w:r>
        <w:t>Conclusion</w:t>
      </w:r>
    </w:p>
    <w:p>
      <w:pPr>
        <w:widowControl/>
      </w:pPr>
      <w:r>
        <w:t>The project completed a native HDFS, Spark SQL and Scala GraphX workflow on the acquired US DOT flight data. It transformed 5,819,079 raw rows into a validated network of 322 airports and 4,656 directed routes, with explicit cleaning audits and persisted reloads at each analysis boundary. Two full runs reproduced all non-timing aggregate tables within the recorded tolerance.</w:t>
      </w:r>
    </w:p>
    <w:p>
      <w:pPr>
        <w:widowControl/>
      </w:pPr>
      <w:r>
        <w:t>Traffic weighting changes airport importance even when the iterative implementation is held fixed. ATL, ORD and DFW lead the weighted ranking, while the largest rank changes show that destination count alone does not represent repeated traffic. The retained network has one weak component, 15,867 undirected triangles and directed access to each selected hub from every active airport within three legs. The centrality-delay association is weak in the airport-level descriptive summary.</w:t>
      </w:r>
    </w:p>
    <w:p>
      <w:pPr>
        <w:widowControl/>
      </w:pPr>
      <w:r>
        <w:t>The most consequential limitation is the exclusion of October from the IATA-only baseline. Together with cancellation/diversion filtering, historical coverage and uncontrolled operational factors, this limits generalization of ranks and delays. Single-machine execution validates integration and observed cost, not distributed scalability or physical redundancy. Hop distances are not schedule-aware itineraries, and weak components are not communities.</w:t>
      </w:r>
    </w:p>
    <w:p>
      <w:pPr>
        <w:pStyle w:val="Heading2"/>
      </w:pPr>
      <w:r>
        <w:t>Future work</w:t>
      </w:r>
    </w:p>
    <w:p>
      <w:pPr>
        <w:widowControl/>
      </w:pPr>
      <w:r>
        <w:t>A verified date-specific numeric-ID crosswalk would allow October coverage to be recovered without guessing mappings. Other extensions include monthly network comparisons, actual community detection, weather-adjusted delay models and controlled multi-node experiments. These extensions require new data validation or experiments and are outside the implemented baseline.</w:t>
      </w:r>
    </w:p>
    <w:p>
      <w:pPr>
        <w:pStyle w:val="Heading2"/>
      </w:pPr>
      <w:r>
        <w:t>Team contributions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160"/>
        <w:gridCol w:w="5486"/>
      </w:tblGrid>
      <w:tr>
        <w:trPr>
          <w:cantSplit/>
          <w:tblHeader/>
        </w:trPr>
        <w:tc>
          <w:tcPr>
            <w:tcW w:type="dxa" w:w="1800"/>
            <w:vAlign w:val="center"/>
            <w:tcMar>
              <w:top w:w="70" w:type="dxa"/>
              <w:bottom w:w="70" w:type="dxa"/>
              <w:left w:w="95" w:type="dxa"/>
              <w:right w:w="95" w:type="dxa"/>
            </w:tcMar>
            <w:shd w:fill="E7EDF2"/>
          </w:tcPr>
          <w:p>
            <w:pPr>
              <w:spacing w:after="0" w:line="252" w:lineRule="auto"/>
              <w:jc w:val="left"/>
            </w:pPr>
            <w:r>
              <w:rPr>
                <w:b/>
                <w:color w:val="000000"/>
                <w:sz w:val="21"/>
              </w:rPr>
              <w:t>Member</w:t>
            </w:r>
          </w:p>
        </w:tc>
        <w:tc>
          <w:tcPr>
            <w:tcW w:type="dxa" w:w="2160"/>
            <w:vAlign w:val="center"/>
            <w:tcMar>
              <w:top w:w="70" w:type="dxa"/>
              <w:bottom w:w="70" w:type="dxa"/>
              <w:left w:w="95" w:type="dxa"/>
              <w:right w:w="95" w:type="dxa"/>
            </w:tcMar>
            <w:shd w:fill="E7EDF2"/>
          </w:tcPr>
          <w:p>
            <w:pPr>
              <w:spacing w:after="0" w:line="252" w:lineRule="auto"/>
              <w:jc w:val="center"/>
            </w:pPr>
            <w:r>
              <w:rPr>
                <w:b/>
                <w:color w:val="000000"/>
                <w:sz w:val="21"/>
              </w:rPr>
              <w:t>Contribution share</w:t>
            </w:r>
          </w:p>
        </w:tc>
        <w:tc>
          <w:tcPr>
            <w:tcW w:type="dxa" w:w="5486"/>
            <w:vAlign w:val="center"/>
            <w:tcMar>
              <w:top w:w="70" w:type="dxa"/>
              <w:bottom w:w="70" w:type="dxa"/>
              <w:left w:w="95" w:type="dxa"/>
              <w:right w:w="95" w:type="dxa"/>
            </w:tcMar>
            <w:shd w:fill="E7EDF2"/>
          </w:tcPr>
          <w:p>
            <w:pPr>
              <w:spacing w:after="0" w:line="252" w:lineRule="auto"/>
              <w:jc w:val="center"/>
            </w:pPr>
            <w:r>
              <w:rPr>
                <w:b/>
                <w:color w:val="000000"/>
                <w:sz w:val="21"/>
              </w:rPr>
              <w:t>Shared responsibilities</w:t>
            </w:r>
          </w:p>
        </w:tc>
      </w:tr>
      <w:tr>
        <w:trPr>
          <w:cantSplit/>
        </w:trPr>
        <w:tc>
          <w:tcPr>
            <w:tcW w:type="dxa" w:w="1800"/>
            <w:vAlign w:val="center"/>
            <w:tcMar>
              <w:top w:w="70" w:type="dxa"/>
              <w:bottom w:w="70" w:type="dxa"/>
              <w:left w:w="95" w:type="dxa"/>
              <w:right w:w="95" w:type="dxa"/>
            </w:tcMar>
            <w:shd w:fill="FFFFFF"/>
          </w:tcPr>
          <w:p>
            <w:pPr>
              <w:spacing w:after="0" w:line="252" w:lineRule="auto"/>
              <w:jc w:val="left"/>
            </w:pPr>
            <w:r>
              <w:rPr>
                <w:b w:val="0"/>
                <w:color w:val="000000"/>
                <w:sz w:val="21"/>
              </w:rPr>
              <w:t>Member 1</w:t>
            </w:r>
          </w:p>
        </w:tc>
        <w:tc>
          <w:tcPr>
            <w:tcW w:type="dxa" w:w="2160"/>
            <w:vAlign w:val="center"/>
            <w:tcMar>
              <w:top w:w="70" w:type="dxa"/>
              <w:bottom w:w="70" w:type="dxa"/>
              <w:left w:w="95" w:type="dxa"/>
              <w:right w:w="95" w:type="dxa"/>
            </w:tcMar>
            <w:shd w:fill="FFFFFF"/>
          </w:tcPr>
          <w:p>
            <w:pPr>
              <w:spacing w:after="0" w:line="252" w:lineRule="auto"/>
              <w:jc w:val="center"/>
            </w:pPr>
            <w:r>
              <w:rPr>
                <w:b w:val="0"/>
                <w:color w:val="000000"/>
                <w:sz w:val="21"/>
              </w:rPr>
              <w:t>One third</w:t>
            </w:r>
          </w:p>
        </w:tc>
        <w:tc>
          <w:tcPr>
            <w:tcW w:type="dxa" w:w="5486"/>
            <w:vAlign w:val="center"/>
            <w:tcMar>
              <w:top w:w="70" w:type="dxa"/>
              <w:bottom w:w="70" w:type="dxa"/>
              <w:left w:w="95" w:type="dxa"/>
              <w:right w:w="95" w:type="dxa"/>
            </w:tcMar>
            <w:shd w:fill="FFFFFF"/>
          </w:tcPr>
          <w:p>
            <w:pPr>
              <w:spacing w:after="0" w:line="252" w:lineRule="auto"/>
              <w:jc w:val="left"/>
            </w:pPr>
            <w:r>
              <w:rPr>
                <w:b w:val="0"/>
                <w:color w:val="000000"/>
                <w:sz w:val="21"/>
              </w:rPr>
              <w:t>Data preparation, implementation, validation, analysis and report review</w:t>
            </w:r>
          </w:p>
        </w:tc>
      </w:tr>
      <w:tr>
        <w:trPr>
          <w:cantSplit/>
        </w:trPr>
        <w:tc>
          <w:tcPr>
            <w:tcW w:type="dxa" w:w="1800"/>
            <w:vAlign w:val="center"/>
            <w:tcMar>
              <w:top w:w="70" w:type="dxa"/>
              <w:bottom w:w="70" w:type="dxa"/>
              <w:left w:w="95" w:type="dxa"/>
              <w:right w:w="95" w:type="dxa"/>
            </w:tcMar>
            <w:shd w:fill="FFFFFF"/>
          </w:tcPr>
          <w:p>
            <w:pPr>
              <w:spacing w:after="0" w:line="252" w:lineRule="auto"/>
              <w:jc w:val="left"/>
            </w:pPr>
            <w:r>
              <w:rPr>
                <w:b w:val="0"/>
                <w:color w:val="000000"/>
                <w:sz w:val="21"/>
              </w:rPr>
              <w:t>Member 2</w:t>
            </w:r>
          </w:p>
        </w:tc>
        <w:tc>
          <w:tcPr>
            <w:tcW w:type="dxa" w:w="2160"/>
            <w:vAlign w:val="center"/>
            <w:tcMar>
              <w:top w:w="70" w:type="dxa"/>
              <w:bottom w:w="70" w:type="dxa"/>
              <w:left w:w="95" w:type="dxa"/>
              <w:right w:w="95" w:type="dxa"/>
            </w:tcMar>
            <w:shd w:fill="FFFFFF"/>
          </w:tcPr>
          <w:p>
            <w:pPr>
              <w:spacing w:after="0" w:line="252" w:lineRule="auto"/>
              <w:jc w:val="center"/>
            </w:pPr>
            <w:r>
              <w:rPr>
                <w:b w:val="0"/>
                <w:color w:val="000000"/>
                <w:sz w:val="21"/>
              </w:rPr>
              <w:t>One third</w:t>
            </w:r>
          </w:p>
        </w:tc>
        <w:tc>
          <w:tcPr>
            <w:tcW w:type="dxa" w:w="5486"/>
            <w:vAlign w:val="center"/>
            <w:tcMar>
              <w:top w:w="70" w:type="dxa"/>
              <w:bottom w:w="70" w:type="dxa"/>
              <w:left w:w="95" w:type="dxa"/>
              <w:right w:w="95" w:type="dxa"/>
            </w:tcMar>
            <w:shd w:fill="FFFFFF"/>
          </w:tcPr>
          <w:p>
            <w:pPr>
              <w:spacing w:after="0" w:line="252" w:lineRule="auto"/>
              <w:jc w:val="left"/>
            </w:pPr>
            <w:r>
              <w:rPr>
                <w:b w:val="0"/>
                <w:color w:val="000000"/>
                <w:sz w:val="21"/>
              </w:rPr>
              <w:t>Data preparation, implementation, validation, analysis and report review</w:t>
            </w:r>
          </w:p>
        </w:tc>
      </w:tr>
      <w:tr>
        <w:trPr>
          <w:cantSplit/>
        </w:trPr>
        <w:tc>
          <w:tcPr>
            <w:tcW w:type="dxa" w:w="1800"/>
            <w:vAlign w:val="center"/>
            <w:tcMar>
              <w:top w:w="70" w:type="dxa"/>
              <w:bottom w:w="70" w:type="dxa"/>
              <w:left w:w="95" w:type="dxa"/>
              <w:right w:w="95" w:type="dxa"/>
            </w:tcMar>
            <w:shd w:fill="FFFFFF"/>
          </w:tcPr>
          <w:p>
            <w:pPr>
              <w:spacing w:after="0" w:line="252" w:lineRule="auto"/>
              <w:jc w:val="left"/>
            </w:pPr>
            <w:r>
              <w:rPr>
                <w:b w:val="0"/>
                <w:color w:val="000000"/>
                <w:sz w:val="21"/>
              </w:rPr>
              <w:t>Member 3</w:t>
            </w:r>
          </w:p>
        </w:tc>
        <w:tc>
          <w:tcPr>
            <w:tcW w:type="dxa" w:w="2160"/>
            <w:vAlign w:val="center"/>
            <w:tcMar>
              <w:top w:w="70" w:type="dxa"/>
              <w:bottom w:w="70" w:type="dxa"/>
              <w:left w:w="95" w:type="dxa"/>
              <w:right w:w="95" w:type="dxa"/>
            </w:tcMar>
            <w:shd w:fill="FFFFFF"/>
          </w:tcPr>
          <w:p>
            <w:pPr>
              <w:spacing w:after="0" w:line="252" w:lineRule="auto"/>
              <w:jc w:val="center"/>
            </w:pPr>
            <w:r>
              <w:rPr>
                <w:b w:val="0"/>
                <w:color w:val="000000"/>
                <w:sz w:val="21"/>
              </w:rPr>
              <w:t>One third</w:t>
            </w:r>
          </w:p>
        </w:tc>
        <w:tc>
          <w:tcPr>
            <w:tcW w:type="dxa" w:w="5486"/>
            <w:vAlign w:val="center"/>
            <w:tcMar>
              <w:top w:w="70" w:type="dxa"/>
              <w:bottom w:w="70" w:type="dxa"/>
              <w:left w:w="95" w:type="dxa"/>
              <w:right w:w="95" w:type="dxa"/>
            </w:tcMar>
            <w:shd w:fill="FFFFFF"/>
          </w:tcPr>
          <w:p>
            <w:pPr>
              <w:spacing w:after="0" w:line="252" w:lineRule="auto"/>
              <w:jc w:val="left"/>
            </w:pPr>
            <w:r>
              <w:rPr>
                <w:b w:val="0"/>
                <w:color w:val="000000"/>
                <w:sz w:val="21"/>
              </w:rPr>
              <w:t>Data preparation, implementation, validation, analysis and report review</w:t>
            </w:r>
          </w:p>
        </w:tc>
      </w:tr>
    </w:tbl>
    <w:p>
      <w:pPr>
        <w:widowControl/>
        <w:spacing w:after="0"/>
      </w:pPr>
    </w:p>
    <w:p>
      <w:pPr>
        <w:widowControl/>
      </w:pPr>
      <w:r>
        <w:t>The team uses an equal contribution split. Implementation assistance was provided through Codex; responsibility for reviewing and understanding the submission remains with the team.</w:t>
      </w:r>
    </w:p>
    <w:p>
      <w:pPr>
        <w:pStyle w:val="Heading2"/>
      </w:pPr>
      <w:r>
        <w:t>Reproduction and supporting material</w:t>
      </w:r>
    </w:p>
    <w:p>
      <w:pPr>
        <w:widowControl/>
      </w:pPr>
      <w:r>
        <w:t>The accompanying project contains the complete Scala source, configuration examples, fixtures, input manifests, aggregate exports, figures and sanitized execution evidence. README.md provides commands from HDFS startup through validation and packaging; guide.md adds detailed setup and recovery procedures. The full Markdown report preserves source listings and detailed evidence. Raw datasets and machine-specific runtime files are excluded from the submission ZIP.</w:t>
      </w:r>
    </w:p>
    <w:p>
      <w:r>
        <w:br w:type="page"/>
      </w:r>
    </w:p>
    <w:p>
      <w:pPr>
        <w:pStyle w:val="Heading1"/>
      </w:pPr>
      <w:r>
        <w:t>References</w:t>
      </w:r>
    </w:p>
    <w:p>
      <w:pPr>
        <w:pStyle w:val="Heading2"/>
      </w:pPr>
      <w:r>
        <w:t>Primary research</w:t>
      </w:r>
    </w:p>
    <w:p>
      <w:pPr>
        <w:widowControl/>
      </w:pPr>
      <w:r>
        <w:t>[1] J. E. Gonzalez, R. S. Xin, A. Dave, D. Crankshaw, M. J. Franklin and I. Stoica. “GraphX: Graph Processing in a Distributed Dataflow Framework.” OSDI, 2014, pp. 599–613.</w:t>
      </w:r>
    </w:p>
    <w:p>
      <w:pPr>
        <w:widowControl/>
        <w:spacing w:after="180"/>
      </w:pPr>
      <w:r>
        <w:rPr>
          <w:sz w:val="19"/>
        </w:rPr>
        <w:t>https://www.usenix.org/conference/osdi14/technical-sessions/presentation/gonzalez</w:t>
      </w:r>
    </w:p>
    <w:p>
      <w:pPr>
        <w:widowControl/>
      </w:pPr>
      <w:r>
        <w:t>[2] M. Zaharia et al. “Resilient Distributed Datasets: A Fault-Tolerant Abstraction for In-Memory Cluster Computing.” NSDI, 2012, pp. 15–28.</w:t>
      </w:r>
    </w:p>
    <w:p>
      <w:pPr>
        <w:widowControl/>
        <w:spacing w:after="180"/>
      </w:pPr>
      <w:r>
        <w:rPr>
          <w:sz w:val="19"/>
        </w:rPr>
        <w:t>https://www.usenix.org/conference/nsdi12/technical-sessions/presentation/zaharia</w:t>
      </w:r>
    </w:p>
    <w:p>
      <w:pPr>
        <w:widowControl/>
      </w:pPr>
      <w:r>
        <w:t>[3] G. Malewicz et al. “Pregel: A System for Large-Scale Graph Processing.” SIGMOD, 2010, pp. 135–146.</w:t>
      </w:r>
    </w:p>
    <w:p>
      <w:pPr>
        <w:widowControl/>
        <w:spacing w:after="180"/>
      </w:pPr>
      <w:r>
        <w:rPr>
          <w:sz w:val="19"/>
        </w:rPr>
        <w:t>https://doi.org/10.1145/1807167.1807184</w:t>
      </w:r>
    </w:p>
    <w:p>
      <w:pPr>
        <w:widowControl/>
      </w:pPr>
      <w:r>
        <w:t>[4] R. Guimerà, S. Mossa, A. Turtschi and L. A. N. Amaral. “The worldwide air transportation network: Anomalous centrality, community structure, and cities’ global roles.” PNAS, vol. 102, 2005, pp. 7794–7799.</w:t>
      </w:r>
    </w:p>
    <w:p>
      <w:pPr>
        <w:widowControl/>
        <w:spacing w:after="180"/>
      </w:pPr>
      <w:r>
        <w:rPr>
          <w:sz w:val="19"/>
        </w:rPr>
        <w:t>https://doi.org/10.1073/pnas.0407994102</w:t>
      </w:r>
    </w:p>
    <w:p>
      <w:pPr>
        <w:widowControl/>
      </w:pPr>
      <w:r>
        <w:t>[5] S. Brin and L. Page. “The Anatomy of a Large-Scale Hypertextual Web Search Engine.” Computer Networks, vol. 30, 1998, pp. 107–117.</w:t>
      </w:r>
    </w:p>
    <w:p>
      <w:pPr>
        <w:widowControl/>
        <w:spacing w:after="180"/>
      </w:pPr>
      <w:r>
        <w:rPr>
          <w:sz w:val="19"/>
        </w:rPr>
        <w:t>https://research.google/pubs/the-anatomy-of-a-large-scale-hypertextual-web-search-engine/</w:t>
      </w:r>
    </w:p>
    <w:p>
      <w:pPr>
        <w:pStyle w:val="Heading2"/>
      </w:pPr>
      <w:r>
        <w:t>Dataset and official documentation</w:t>
      </w:r>
    </w:p>
    <w:p>
      <w:pPr>
        <w:widowControl/>
      </w:pPr>
      <w:r>
        <w:t>[6] US Department of Transportation. “2015 Flight Delays and Cancellations.” Kaggle dataset 810, version 1. Acquired 13 October 2026. Publisher metadata reports CC0 Public Domain.</w:t>
      </w:r>
    </w:p>
    <w:p>
      <w:pPr>
        <w:widowControl/>
        <w:spacing w:after="180"/>
      </w:pPr>
      <w:r>
        <w:rPr>
          <w:sz w:val="19"/>
        </w:rPr>
        <w:t>https://www.kaggle.com/datasets/usdot/flight-delays</w:t>
      </w:r>
    </w:p>
    <w:p>
      <w:pPr>
        <w:widowControl/>
      </w:pPr>
      <w:r>
        <w:t>[7] Apache Spark. “GraphX Programming Guide.” Spark 3.5.9 documentation. Accessed 13 October 2026.</w:t>
      </w:r>
    </w:p>
    <w:p>
      <w:pPr>
        <w:widowControl/>
        <w:spacing w:after="180"/>
      </w:pPr>
      <w:r>
        <w:rPr>
          <w:sz w:val="19"/>
        </w:rPr>
        <w:t>https://spark.apache.org/docs/3.5.9/graphx-programming-guide.html</w:t>
      </w:r>
    </w:p>
    <w:p>
      <w:pPr>
        <w:widowControl/>
      </w:pPr>
      <w:r>
        <w:t>[8] Apache Hadoop. “Hadoop Java Versions.” Official JVM compatibility guidance. Accessed 13 October 2026.</w:t>
      </w:r>
    </w:p>
    <w:p>
      <w:pPr>
        <w:widowControl/>
        <w:spacing w:after="180"/>
      </w:pPr>
      <w:r>
        <w:rPr>
          <w:sz w:val="19"/>
        </w:rPr>
        <w:t>https://cwiki.apache.org/confluence/spaces/HADOOP/pages/100827883/Hadoop+Java+Versions</w:t>
      </w:r>
    </w:p>
    <w:sectPr w:rsidR="00FC693F" w:rsidRPr="0006063C" w:rsidSect="00034616">
      <w:footerReference w:type="default" r:id="rId9"/>
      <w:pgSz w:w="11905" w:h="16838"/>
      <w:pgMar w:top="1080" w:right="1224" w:bottom="1080"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sz w:val="18"/>
      </w:rPr>
      <w:t xml:space="preserve">Page </w:t>
    </w:r>
    <w:r>
      <w:rPr>
        <w:sz w:val="18"/>
      </w:rPr>
    </w:r>
    <w:fldSimple w:instr="PAGE"/>
    <w:r>
      <w:rPr>
        <w:sz w:val="18"/>
      </w:rPr>
      <w:t xml:space="preserve"> of </w:t>
    </w:r>
    <w:r>
      <w:rPr>
        <w:sz w:val="18"/>
      </w:rPr>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Times New Roman" w:hAnsi="Times New Roman" w:eastAsia="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Times New Roman" w:hAnsi="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60"/>
    </w:pPr>
    <w:rPr>
      <w:rFonts w:asciiTheme="majorHAnsi" w:eastAsiaTheme="majorEastAsia" w:hAnsiTheme="majorHAnsi" w:cstheme="majorBidi" w:ascii="Times New Roman" w:hAnsi="Times New Roman" w:eastAsia="Times New Roman"/>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160"/>
    </w:pPr>
    <w:rPr>
      <w:rFonts w:ascii="Times New Roman" w:hAnsi="Times New Roman" w:eastAsia="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 Analytics Pipeline for Airline Network Data using HDFS and Spark GraphX</dc:title>
  <dc:subject>CSE412 submission report</dc:subject>
  <dc:creator>Project team</dc:creator>
  <cp:keywords>HDFS, Spark SQL, GraphX, airline network, PageRank</cp:keywords>
  <dc:description>generated by python-docx</dc:description>
  <cp:lastModifiedBy/>
  <cp:revision>1</cp:revision>
  <dcterms:created xsi:type="dcterms:W3CDTF">2013-12-23T23:15:00Z</dcterms:created>
  <dcterms:modified xsi:type="dcterms:W3CDTF">2013-12-23T23:15:00Z</dcterms:modified>
  <cp:category/>
</cp:coreProperties>
</file>