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E65F" w14:textId="77777777" w:rsidR="00CA2AED" w:rsidRDefault="00000000" w:rsidP="00F55826">
      <w:pPr>
        <w:spacing w:after="20" w:line="276" w:lineRule="auto"/>
        <w:jc w:val="center"/>
      </w:pPr>
      <w:r>
        <w:rPr>
          <w:b/>
          <w:bCs/>
          <w:sz w:val="24"/>
          <w:szCs w:val="24"/>
        </w:rPr>
        <w:t>Concept Paper: Trust-by-Design — A Customer-Centric AI Privacy Framework for New Telecom Ltd.</w:t>
      </w:r>
    </w:p>
    <w:p w14:paraId="314BBEF4" w14:textId="77777777" w:rsidR="00CA2AED" w:rsidRDefault="00000000" w:rsidP="00F55826">
      <w:pPr>
        <w:spacing w:before="240" w:after="120" w:line="276" w:lineRule="auto"/>
        <w:jc w:val="center"/>
      </w:pPr>
      <w:r>
        <w:rPr>
          <w:i/>
          <w:iCs/>
          <w:sz w:val="19"/>
          <w:szCs w:val="19"/>
        </w:rPr>
        <w:t>Responsible AI Adoption under Bangladesh's Personal Data Protection Act (PDPA)</w:t>
      </w:r>
    </w:p>
    <w:p w14:paraId="41E9549B" w14:textId="77777777" w:rsidR="00CA2AED" w:rsidRDefault="00000000" w:rsidP="00F55826">
      <w:pPr>
        <w:spacing w:before="240" w:after="120" w:line="276" w:lineRule="auto"/>
      </w:pPr>
      <w:r>
        <w:rPr>
          <w:b/>
          <w:bCs/>
          <w:sz w:val="21"/>
          <w:szCs w:val="21"/>
        </w:rPr>
        <w:t>1. Deconstruction of the Problem</w:t>
      </w:r>
    </w:p>
    <w:p w14:paraId="2F5FA077" w14:textId="77777777" w:rsidR="00CA2AED" w:rsidRDefault="00000000" w:rsidP="00F55826">
      <w:pPr>
        <w:spacing w:after="60" w:line="276" w:lineRule="auto"/>
      </w:pPr>
      <w:r>
        <w:t xml:space="preserve">New Telecom Ltd has </w:t>
      </w:r>
      <w:proofErr w:type="gramStart"/>
      <w:r>
        <w:t>mature</w:t>
      </w:r>
      <w:proofErr w:type="gramEnd"/>
      <w:r>
        <w:t xml:space="preserve"> technical security controls but fragmented privacy ownership across business units, just as it scales six AI-enabled use cases touching financial, location, and behavioral data. The PDPA converts prior best practices into binding duties — lawful basis, minimization, explainability, cross-border transfer control, and child-data protection — while AI introduces new threats: bias, opacity, prompt injection, and model inversion. The core failure is not a missing control but missing visibility and accountability: no single source of truth for what data exists, which AI systems touch it, and who answers for each decision.</w:t>
      </w:r>
    </w:p>
    <w:p w14:paraId="029BCD20" w14:textId="77777777" w:rsidR="00CA2AED" w:rsidRDefault="00000000" w:rsidP="00F55826">
      <w:pPr>
        <w:spacing w:before="240" w:after="120" w:line="276" w:lineRule="auto"/>
      </w:pPr>
      <w:r>
        <w:rPr>
          <w:b/>
          <w:bCs/>
          <w:sz w:val="21"/>
          <w:szCs w:val="21"/>
        </w:rPr>
        <w:t>2. Key Privacy Challenges</w:t>
      </w:r>
    </w:p>
    <w:p w14:paraId="2E18FA93" w14:textId="77777777" w:rsidR="00CA2AED" w:rsidRDefault="00000000" w:rsidP="00F55826">
      <w:pPr>
        <w:spacing w:after="30" w:line="276" w:lineRule="auto"/>
        <w:ind w:left="220" w:hanging="130"/>
      </w:pPr>
      <w:r>
        <w:t>-  Compliance: no live data/AI inventory; unclear lawful basis and transfer treatment for AI vendors.</w:t>
      </w:r>
    </w:p>
    <w:p w14:paraId="0F51AADB" w14:textId="77777777" w:rsidR="00CA2AED" w:rsidRDefault="00000000" w:rsidP="00F55826">
      <w:pPr>
        <w:spacing w:after="30" w:line="276" w:lineRule="auto"/>
        <w:ind w:left="220" w:hanging="130"/>
      </w:pPr>
      <w:r>
        <w:t>-  Security: expanded attack surface (prompt injection, model inversion); undefined AI-vendor risk criteria.</w:t>
      </w:r>
    </w:p>
    <w:p w14:paraId="4B1448AF" w14:textId="77777777" w:rsidR="00CA2AED" w:rsidRDefault="00000000" w:rsidP="00F55826">
      <w:pPr>
        <w:spacing w:after="30" w:line="276" w:lineRule="auto"/>
        <w:ind w:left="220" w:hanging="130"/>
      </w:pPr>
      <w:r>
        <w:t>-  Ethical: opaque, potentially biased automated decisions in fraud, churn, and marketing models; weak protection for children's data.</w:t>
      </w:r>
    </w:p>
    <w:p w14:paraId="64353318" w14:textId="77777777" w:rsidR="00CA2AED" w:rsidRDefault="00000000" w:rsidP="00F55826">
      <w:pPr>
        <w:spacing w:after="30" w:line="276" w:lineRule="auto"/>
        <w:ind w:left="220" w:hanging="130"/>
      </w:pPr>
      <w:r>
        <w:t>-  Organizational: privacy owned by many units with no single accountable authority; customers have no visibility into or control over AI use.</w:t>
      </w:r>
    </w:p>
    <w:p w14:paraId="67F61188" w14:textId="77777777" w:rsidR="00CA2AED" w:rsidRDefault="00000000" w:rsidP="00F55826">
      <w:pPr>
        <w:spacing w:before="240" w:after="120" w:line="276" w:lineRule="auto"/>
      </w:pPr>
      <w:r>
        <w:rPr>
          <w:b/>
          <w:bCs/>
          <w:sz w:val="21"/>
          <w:szCs w:val="21"/>
        </w:rPr>
        <w:t>3. Proposed Approach — "Trust Cockpit + PRISM Governance"</w:t>
      </w:r>
    </w:p>
    <w:p w14:paraId="660B8B3C" w14:textId="77777777" w:rsidR="00CA2AED" w:rsidRDefault="00000000" w:rsidP="00F55826">
      <w:pPr>
        <w:spacing w:after="60" w:line="276" w:lineRule="auto"/>
      </w:pPr>
      <w:r>
        <w:t>Rather than a compliance-only checklist, we propose a customer-facing layer paired with an engineering-embedded governance engine.</w:t>
      </w:r>
    </w:p>
    <w:p w14:paraId="63E96E29" w14:textId="77777777" w:rsidR="00CA2AED" w:rsidRDefault="00000000" w:rsidP="00F55826">
      <w:pPr>
        <w:spacing w:after="60" w:line="276" w:lineRule="auto"/>
      </w:pPr>
      <w:r>
        <w:rPr>
          <w:b/>
          <w:bCs/>
        </w:rPr>
        <w:t xml:space="preserve">Customer Privacy Cockpit: </w:t>
      </w:r>
      <w:r>
        <w:t>an in-app dashboard (Bangla/English) where customers see which AI systems touch their data, toggle consent per use case, request a plain-language explanation for any automated decision, and view an immutable, timestamped consent log — turning PDPA rights (access, withdrawal, transparency) into a self-service product feature rather than a manual back-office process.</w:t>
      </w:r>
    </w:p>
    <w:p w14:paraId="0D341448" w14:textId="77777777" w:rsidR="00CA2AED" w:rsidRDefault="00000000" w:rsidP="00F55826">
      <w:pPr>
        <w:spacing w:after="100" w:line="276" w:lineRule="auto"/>
      </w:pPr>
      <w:r>
        <w:rPr>
          <w:b/>
          <w:bCs/>
        </w:rPr>
        <w:t xml:space="preserve">PRISM Governance Engine: </w:t>
      </w:r>
      <w:r>
        <w:t>a live AI/data Register; Risk-tiering with DPIA required before any high-tier model ships, enforced as a CI/CD gate ("DPIA-as-code") so non-compliant models cannot deploy; privacy-preserving design by default (on-device/federated inference, synthetic training data); continuous Security monitoring for bias, prompt injection, and model inversion; and a vendor "Privacy Passport" score (residency, retention, sub-processing, certification) reviewed before any AI procurement decision.</w:t>
      </w:r>
    </w:p>
    <w:p w14:paraId="21FACB86" w14:textId="77777777" w:rsidR="00CA2AED" w:rsidRDefault="00000000" w:rsidP="00F55826">
      <w:pPr>
        <w:spacing w:before="240" w:after="120" w:line="276" w:lineRule="auto"/>
      </w:pPr>
      <w:r>
        <w:rPr>
          <w:b/>
          <w:bCs/>
          <w:sz w:val="21"/>
          <w:szCs w:val="21"/>
        </w:rPr>
        <w:t>4. Expected Impact</w:t>
      </w:r>
    </w:p>
    <w:p w14:paraId="2D5EA474" w14:textId="77777777" w:rsidR="00CA2AED" w:rsidRDefault="00000000" w:rsidP="00F55826">
      <w:pPr>
        <w:spacing w:after="60" w:line="276" w:lineRule="auto"/>
      </w:pPr>
      <w:r>
        <w:t>For customers: visible control over personal data, faster self-served rights fulfillment, explainable AI decisions, and stronger safeguards for minors. For New Telecom: audit-ready evidence (register, DPIA logs, consent ledger) for PDPA inspection; reduced breach and reputational risk; faster and safer AI rollout because governance is built into deployment pipelines rather than bolted on afterward; and a differentiated brand position as Bangladesh's most transparent digital operator — turning compliance into a trust advantage.</w:t>
      </w:r>
    </w:p>
    <w:p w14:paraId="22D7C8A4" w14:textId="77777777" w:rsidR="00CA2AED" w:rsidRDefault="00000000" w:rsidP="00F55826">
      <w:pPr>
        <w:spacing w:before="240" w:after="120" w:line="276" w:lineRule="auto"/>
      </w:pPr>
      <w:r>
        <w:rPr>
          <w:b/>
          <w:bCs/>
          <w:sz w:val="21"/>
          <w:szCs w:val="21"/>
        </w:rPr>
        <w:t>5. Applicability to Bangladesh</w:t>
      </w:r>
    </w:p>
    <w:p w14:paraId="4B38EE87" w14:textId="77777777" w:rsidR="00CA2AED" w:rsidRDefault="00000000" w:rsidP="00F55826">
      <w:pPr>
        <w:spacing w:line="276" w:lineRule="auto"/>
      </w:pPr>
      <w:r>
        <w:t>With mobile access driving most digital usage and PDPA still newly enacted with limited enforcement precedent, telecom operators are natural trust anchors for the wider digital economy, as fintech, health-tech, and e-commerce increasingly rely on telecom-linked identity and data. A Bangla-first, low-literacy-friendly Trust Cockpit sets a practical, replicable transparency standard other regulated sectors can adopt, while DPIA-as-code offers Bangladeshi regulators a concrete, auditable reference model for PDPA enforcement guidance — directly addressing the case's own observation that some areas still need regulatory clarification.</w:t>
      </w:r>
    </w:p>
    <w:sectPr w:rsidR="00CA2AE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9407E"/>
    <w:multiLevelType w:val="hybridMultilevel"/>
    <w:tmpl w:val="F892AF72"/>
    <w:lvl w:ilvl="0" w:tplc="4148C344">
      <w:start w:val="1"/>
      <w:numFmt w:val="bullet"/>
      <w:lvlText w:val="●"/>
      <w:lvlJc w:val="left"/>
      <w:pPr>
        <w:ind w:left="720" w:hanging="360"/>
      </w:pPr>
    </w:lvl>
    <w:lvl w:ilvl="1" w:tplc="C2222BB6">
      <w:start w:val="1"/>
      <w:numFmt w:val="bullet"/>
      <w:lvlText w:val="○"/>
      <w:lvlJc w:val="left"/>
      <w:pPr>
        <w:ind w:left="1440" w:hanging="360"/>
      </w:pPr>
    </w:lvl>
    <w:lvl w:ilvl="2" w:tplc="2C32F05A">
      <w:start w:val="1"/>
      <w:numFmt w:val="bullet"/>
      <w:lvlText w:val="■"/>
      <w:lvlJc w:val="left"/>
      <w:pPr>
        <w:ind w:left="2160" w:hanging="360"/>
      </w:pPr>
    </w:lvl>
    <w:lvl w:ilvl="3" w:tplc="35E863F0">
      <w:start w:val="1"/>
      <w:numFmt w:val="bullet"/>
      <w:lvlText w:val="●"/>
      <w:lvlJc w:val="left"/>
      <w:pPr>
        <w:ind w:left="2880" w:hanging="360"/>
      </w:pPr>
    </w:lvl>
    <w:lvl w:ilvl="4" w:tplc="62A02F66">
      <w:start w:val="1"/>
      <w:numFmt w:val="bullet"/>
      <w:lvlText w:val="○"/>
      <w:lvlJc w:val="left"/>
      <w:pPr>
        <w:ind w:left="3600" w:hanging="360"/>
      </w:pPr>
    </w:lvl>
    <w:lvl w:ilvl="5" w:tplc="DE809150">
      <w:start w:val="1"/>
      <w:numFmt w:val="bullet"/>
      <w:lvlText w:val="■"/>
      <w:lvlJc w:val="left"/>
      <w:pPr>
        <w:ind w:left="4320" w:hanging="360"/>
      </w:pPr>
    </w:lvl>
    <w:lvl w:ilvl="6" w:tplc="4274AA64">
      <w:start w:val="1"/>
      <w:numFmt w:val="bullet"/>
      <w:lvlText w:val="●"/>
      <w:lvlJc w:val="left"/>
      <w:pPr>
        <w:ind w:left="5040" w:hanging="360"/>
      </w:pPr>
    </w:lvl>
    <w:lvl w:ilvl="7" w:tplc="46B4F0C2">
      <w:start w:val="1"/>
      <w:numFmt w:val="bullet"/>
      <w:lvlText w:val="●"/>
      <w:lvlJc w:val="left"/>
      <w:pPr>
        <w:ind w:left="5760" w:hanging="360"/>
      </w:pPr>
    </w:lvl>
    <w:lvl w:ilvl="8" w:tplc="015CA972">
      <w:start w:val="1"/>
      <w:numFmt w:val="bullet"/>
      <w:lvlText w:val="●"/>
      <w:lvlJc w:val="left"/>
      <w:pPr>
        <w:ind w:left="6480" w:hanging="360"/>
      </w:pPr>
    </w:lvl>
  </w:abstractNum>
  <w:num w:numId="1" w16cid:durableId="1709794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AED"/>
    <w:rsid w:val="001766D6"/>
    <w:rsid w:val="00564351"/>
    <w:rsid w:val="00612A42"/>
    <w:rsid w:val="00CA2AED"/>
    <w:rsid w:val="00F5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378B"/>
  <w15:docId w15:val="{D56DDD11-3A1A-44FF-8A37-3F1C92FE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3193</Characters>
  <Application>Microsoft Office Word</Application>
  <DocSecurity>0</DocSecurity>
  <Lines>42</Lines>
  <Paragraphs>19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Minhajul Islam</cp:lastModifiedBy>
  <cp:revision>5</cp:revision>
  <dcterms:created xsi:type="dcterms:W3CDTF">2026-09-23T20:28:00Z</dcterms:created>
  <dcterms:modified xsi:type="dcterms:W3CDTF">2026-09-23T20:33:00Z</dcterms:modified>
</cp:coreProperties>
</file>