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Concept Paper: Privacy-Centric and Responsible AI Adoption at New Telecom Ltd.</w:t>
      </w:r>
    </w:p>
    <w:p>
      <w:pPr>
        <w:spacing w:before="40" w:after="0"/>
      </w:pPr>
      <w:r>
        <w:rPr>
          <w:rFonts w:ascii="Times New Roman" w:hAnsi="Times New Roman"/>
          <w:b/>
          <w:sz w:val="20"/>
        </w:rPr>
        <w:t>1. Deconstruction of the Problem</w:t>
      </w:r>
    </w:p>
    <w:p>
      <w:pPr>
        <w:spacing w:before="0" w:after="30" w:line="240" w:lineRule="auto"/>
      </w:pPr>
      <w:r>
        <w:rPr>
          <w:rFonts w:ascii="Times New Roman" w:hAnsi="Times New Roman"/>
          <w:sz w:val="20"/>
        </w:rPr>
        <w:t>New Telecom Ltd. already has a mature cybersecurity foundation, including privacy governance, Privacy-by-Design, Zero Trust, data classification, encryption, DLP, monitoring, privacy risk assessments, and security testing. However, rapid adoption of AI-enabled customer support, fraud detection, churn prediction, marketing, network optimization, and document processing creates a new governance problem: personal data can move across applications, AI models, cloud platforms, analytics systems, and third-party vendors. Management therefore lacks complete visibility over where data is stored, which AI systems use it, who receives it, what leaves Bangladesh, and who is accountable for privacy decisions.</w:t>
      </w:r>
    </w:p>
    <w:p>
      <w:pPr>
        <w:spacing w:before="40" w:after="0"/>
      </w:pPr>
      <w:r>
        <w:rPr>
          <w:rFonts w:ascii="Times New Roman" w:hAnsi="Times New Roman"/>
          <w:b/>
          <w:sz w:val="20"/>
        </w:rPr>
        <w:t>2. Key Privacy Challenges</w:t>
      </w:r>
    </w:p>
    <w:p>
      <w:pPr>
        <w:spacing w:before="0" w:after="30" w:line="240" w:lineRule="auto"/>
      </w:pPr>
      <w:r>
        <w:rPr>
          <w:rFonts w:ascii="Times New Roman" w:hAnsi="Times New Roman"/>
          <w:sz w:val="20"/>
        </w:rPr>
        <w:t>The major risks are: excessive or unnecessary collection and processing of personal data; unauthorized access or disclosure; unclear data flows and international transfers; third-party and AI-vendor risk; prompt injection and model-inversion-related exposure; biased or opaque automated decisions; inappropriate profiling and marketing; risks involving children; weak evidence of PDPA compliance; and fragmented accountability. These risks can affect both customer privacy and confidence in New Telecom's digital services.</w:t>
      </w:r>
    </w:p>
    <w:p>
      <w:pPr>
        <w:spacing w:before="40" w:after="0"/>
      </w:pPr>
      <w:r>
        <w:rPr>
          <w:rFonts w:ascii="Times New Roman" w:hAnsi="Times New Roman"/>
          <w:b/>
          <w:sz w:val="20"/>
        </w:rPr>
        <w:t>3. Proposed Approach — Trusted AI Privacy Control Tower</w:t>
      </w:r>
    </w:p>
    <w:p>
      <w:pPr>
        <w:spacing w:before="0" w:after="30" w:line="240" w:lineRule="auto"/>
      </w:pPr>
      <w:r>
        <w:rPr>
          <w:rFonts w:ascii="Times New Roman" w:hAnsi="Times New Roman"/>
          <w:sz w:val="20"/>
        </w:rPr>
        <w:t>New Telecom should establish a customer-centric “Trusted AI Privacy Control Tower” that connects AI governance, data governance, cybersecurity, and PDPA accountability. First, create an Enterprise AI Register and Data Map showing every AI system, data source, purpose, owner, processor, storage location, and cross-border flow. Second, require a risk-based AI Privacy Impact Assessment before high-risk AI deployment, covering necessity, data minimization, explainability, bias, security, retention, third parties, and individual rights. Third, enforce privacy-preserving technical controls—least privilege, Zero Trust, encryption, DLP, data masking, secure APIs, prompt-injection defenses, output filtering, logging, and continuous monitoring. Fourth, establish strict processor/vendor controls covering permitted use, security, subprocessors, incident notification, retention/deletion, audit rights, and restrictions on secondary AI training. Fifth, create a customer Privacy Center for understandable notices, access/correction, portability, applicable consent withdrawal/opt-out, marketing preferences, and AI transparency. High-impact AI decisions should include appropriate human review and explanation. A dedicated AI &amp; Privacy Governance Committee should own policy, approval, accountability, and continuous oversight.</w:t>
      </w:r>
    </w:p>
    <w:p>
      <w:pPr>
        <w:spacing w:before="40" w:after="0"/>
      </w:pPr>
      <w:r>
        <w:rPr>
          <w:rFonts w:ascii="Times New Roman" w:hAnsi="Times New Roman"/>
          <w:b/>
          <w:sz w:val="20"/>
        </w:rPr>
        <w:t>4. Expected Impact</w:t>
      </w:r>
    </w:p>
    <w:p>
      <w:pPr>
        <w:spacing w:before="0" w:after="30" w:line="240" w:lineRule="auto"/>
      </w:pPr>
      <w:r>
        <w:rPr>
          <w:rFonts w:ascii="Times New Roman" w:hAnsi="Times New Roman"/>
          <w:sz w:val="20"/>
        </w:rPr>
        <w:t>The approach would give customers clearer visibility and control over how their information is used while reducing unauthorized processing, data leakage, opaque decision-making, and third-party exposure. For New Telecom, it would create measurable evidence for PDPA compliance, improve data and AI accountability, strengthen responsible AI practices, and reduce regulatory, security, and reputational risk. Continuous dashboards could track AI assessments, data-transfer visibility, vendor reviews, privacy incidents, training, and outstanding risks.</w:t>
      </w:r>
    </w:p>
    <w:p>
      <w:pPr>
        <w:spacing w:before="40" w:after="0"/>
      </w:pPr>
      <w:r>
        <w:rPr>
          <w:rFonts w:ascii="Times New Roman" w:hAnsi="Times New Roman"/>
          <w:b/>
          <w:sz w:val="20"/>
        </w:rPr>
        <w:t>5. Applicability and Impact in Bangladesh</w:t>
      </w:r>
    </w:p>
    <w:p>
      <w:pPr>
        <w:spacing w:before="0" w:after="30" w:line="240" w:lineRule="auto"/>
      </w:pPr>
      <w:r>
        <w:rPr>
          <w:rFonts w:ascii="Times New Roman" w:hAnsi="Times New Roman"/>
          <w:sz w:val="20"/>
        </w:rPr>
        <w:t>The framework is directly applicable to Bangladesh because it is designed around the case's PDPA requirements and New Telecom's local operating environment. It can provide a practical model for Bangladeshi telecoms and other data-intensive organizations adopting AI. A Bangladesh-focused implementation would improve awareness of privacy rights, strengthen governance of domestic and cross-border data flows, protect customers from inappropriate profiling and child-directed tracking, and demonstrate that AI innovation can be combined with privacy, security, accountability, and customer trust.</w:t>
      </w:r>
    </w:p>
    <w:p>
      <w:pPr>
        <w:spacing w:before="40" w:after="0"/>
      </w:pPr>
      <w:r>
        <w:rPr>
          <w:rFonts w:ascii="Times New Roman" w:hAnsi="Times New Roman"/>
          <w:b/>
          <w:sz w:val="20"/>
        </w:rPr>
        <w:t>Implementation Focus</w:t>
      </w:r>
    </w:p>
    <w:p>
      <w:pPr>
        <w:spacing w:before="0" w:after="30" w:line="240" w:lineRule="auto"/>
      </w:pPr>
      <w:r>
        <w:rPr>
          <w:rFonts w:ascii="Times New Roman" w:hAnsi="Times New Roman"/>
          <w:sz w:val="20"/>
        </w:rPr>
        <w:t>0–3 months: establish governance, inventory AI and data, and map processors/transfers. 3–6 months: conduct high-risk assessments, strengthen vendor and AI controls, and launch role-based training. 6–12 months: deploy privacy dashboards, customer privacy tools, continuous AI monitoring, and compliance evidence automation. Continue periodic audits, security testing, model reviews, vendor reassessment, and regulatory monitoring.</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