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2EE6" w14:textId="77777777" w:rsidR="00BE2865" w:rsidRPr="0040462C" w:rsidRDefault="00000000" w:rsidP="0040462C">
      <w:pPr>
        <w:spacing w:after="120"/>
        <w:jc w:val="center"/>
        <w:rPr>
          <w:sz w:val="32"/>
          <w:szCs w:val="32"/>
        </w:rPr>
      </w:pPr>
      <w:r w:rsidRPr="0040462C">
        <w:rPr>
          <w:rFonts w:ascii="Times New Roman" w:hAnsi="Times New Roman"/>
          <w:b/>
          <w:color w:val="003366"/>
          <w:sz w:val="32"/>
          <w:szCs w:val="32"/>
        </w:rPr>
        <w:t>THE TRUST FABRIC: A CUSTOMER-CENTRIC PRIVACY-ENHANCING AI ARCHITECTURE</w:t>
      </w:r>
    </w:p>
    <w:p w14:paraId="1DA201C7" w14:textId="77777777" w:rsidR="00BE2865" w:rsidRPr="0040462C" w:rsidRDefault="00000000" w:rsidP="0040462C">
      <w:pPr>
        <w:spacing w:after="240"/>
        <w:jc w:val="center"/>
        <w:rPr>
          <w:sz w:val="18"/>
          <w:szCs w:val="18"/>
        </w:rPr>
      </w:pPr>
      <w:r w:rsidRPr="0040462C">
        <w:rPr>
          <w:rFonts w:ascii="Times New Roman" w:hAnsi="Times New Roman"/>
          <w:i/>
          <w:color w:val="646464"/>
          <w:sz w:val="18"/>
          <w:szCs w:val="18"/>
        </w:rPr>
        <w:t>Executive Concept Paper | Personal Data Protection Act (PDPA) Alignment | New Telecom Ltd.</w:t>
      </w:r>
    </w:p>
    <w:p w14:paraId="6B2AE90F" w14:textId="77777777" w:rsidR="00BE2865" w:rsidRPr="0040462C" w:rsidRDefault="00000000" w:rsidP="0040462C">
      <w:pPr>
        <w:spacing w:before="240" w:after="120"/>
      </w:pPr>
      <w:r w:rsidRPr="0040462C">
        <w:rPr>
          <w:rFonts w:ascii="Times New Roman" w:hAnsi="Times New Roman"/>
          <w:b/>
          <w:color w:val="003366"/>
        </w:rPr>
        <w:t>1. Deconstruction of the Problem</w:t>
      </w:r>
    </w:p>
    <w:p w14:paraId="683BE65F" w14:textId="77777777" w:rsidR="00BE2865" w:rsidRPr="0040462C" w:rsidRDefault="00000000" w:rsidP="0040462C">
      <w:pPr>
        <w:spacing w:after="60"/>
        <w:jc w:val="both"/>
        <w:rPr>
          <w:sz w:val="20"/>
          <w:szCs w:val="20"/>
        </w:rPr>
      </w:pPr>
      <w:r w:rsidRPr="0040462C">
        <w:rPr>
          <w:rFonts w:ascii="Times New Roman" w:hAnsi="Times New Roman"/>
          <w:color w:val="1E1E1E"/>
          <w:sz w:val="20"/>
          <w:szCs w:val="20"/>
        </w:rPr>
        <w:t>New Telecom Ltd. is transitioning from a legacy connectivity provider into an AI-driven digital services ecosystem (GenAI customer care, automated fraud detection, churn prediction, and hyper-personalized marketing). However, privacy activities remain fragmented across business silos, engineering squads, and third-party vendors. While cybersecurity controls are mature, senior management faces critical blind spots: personal data resides in disparate data lakes, AI systems consume sensitive metadata without dynamic tracking, and customer payloads risk unauthorized cross-border egress. The enactment of the Bangladesh Personal Data Protection Act (PDPA) converts these operational gaps into severe statutory liabilities.</w:t>
      </w:r>
    </w:p>
    <w:p w14:paraId="5D01C984" w14:textId="77777777" w:rsidR="00BE2865" w:rsidRPr="0040462C" w:rsidRDefault="00000000" w:rsidP="0040462C">
      <w:pPr>
        <w:spacing w:before="120" w:after="120"/>
      </w:pPr>
      <w:r w:rsidRPr="0040462C">
        <w:rPr>
          <w:rFonts w:ascii="Times New Roman" w:hAnsi="Times New Roman"/>
          <w:b/>
          <w:color w:val="003366"/>
        </w:rPr>
        <w:t>2. Key Privacy, Security &amp; Ethical Challenges</w:t>
      </w:r>
    </w:p>
    <w:p w14:paraId="289CA239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Children's Privacy (PDPA Mandate): </w:t>
      </w:r>
      <w:r w:rsidRPr="0040462C">
        <w:rPr>
          <w:rFonts w:ascii="Times New Roman" w:hAnsi="Times New Roman"/>
          <w:color w:val="1E1E1E"/>
          <w:sz w:val="20"/>
          <w:szCs w:val="20"/>
        </w:rPr>
        <w:t>Shared family and student SIMs mask underage usage; unmitigated AI engines risk illegally tracking, profiling, and directing targeted offers at minors (&lt;18).</w:t>
      </w:r>
    </w:p>
    <w:p w14:paraId="1C08334F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Shadow AI &amp; Data Sovereignty: </w:t>
      </w:r>
      <w:r w:rsidRPr="0040462C">
        <w:rPr>
          <w:rFonts w:ascii="Times New Roman" w:hAnsi="Times New Roman"/>
          <w:color w:val="1E1E1E"/>
          <w:sz w:val="20"/>
          <w:szCs w:val="20"/>
        </w:rPr>
        <w:t>Product squads leverage offshore cloud AI APIs, risking unauthorized egress of subscriber PII and breaching statutory data localization requirements.</w:t>
      </w:r>
    </w:p>
    <w:p w14:paraId="01A525EF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Black-Box AI &amp; DSAR Friction: </w:t>
      </w:r>
      <w:r w:rsidRPr="0040462C">
        <w:rPr>
          <w:rFonts w:ascii="Times New Roman" w:hAnsi="Times New Roman"/>
          <w:color w:val="1E1E1E"/>
          <w:sz w:val="20"/>
          <w:szCs w:val="20"/>
        </w:rPr>
        <w:t>Complex fraud and churn models lack transparency. Crucially, statutory Right to Erasure requests cannot purge personal data embedded in trained weights without full retraining.</w:t>
      </w:r>
    </w:p>
    <w:p w14:paraId="37ACF932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Adversarial AI Attack Surface: </w:t>
      </w:r>
      <w:r w:rsidRPr="0040462C">
        <w:rPr>
          <w:rFonts w:ascii="Times New Roman" w:hAnsi="Times New Roman"/>
          <w:color w:val="1E1E1E"/>
          <w:sz w:val="20"/>
          <w:szCs w:val="20"/>
        </w:rPr>
        <w:t>Customer-facing GenAI assistants and e-KYC pipelines are vulnerable to prompt injections, training poisoning, and model inversion attacks that exfiltrate subscriber identities.</w:t>
      </w:r>
    </w:p>
    <w:p w14:paraId="01E0D5ED" w14:textId="77777777" w:rsidR="00BE2865" w:rsidRPr="0040462C" w:rsidRDefault="00000000" w:rsidP="0040462C">
      <w:pPr>
        <w:spacing w:before="240" w:after="120"/>
      </w:pPr>
      <w:r w:rsidRPr="0040462C">
        <w:rPr>
          <w:rFonts w:ascii="Times New Roman" w:hAnsi="Times New Roman"/>
          <w:b/>
          <w:color w:val="003366"/>
        </w:rPr>
        <w:t>3. Proposed Approach: The 'Customer-Centric Trust Fabric'</w:t>
      </w:r>
    </w:p>
    <w:p w14:paraId="297B8D1C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Customer 'Privacy Cockpit': </w:t>
      </w:r>
      <w:r w:rsidRPr="0040462C">
        <w:rPr>
          <w:rFonts w:ascii="Times New Roman" w:hAnsi="Times New Roman"/>
          <w:color w:val="1E1E1E"/>
          <w:sz w:val="20"/>
          <w:szCs w:val="20"/>
        </w:rPr>
        <w:t>A MyTelecom self-service hub empowering subscribers with plain-language micro-consents, tracking opt-outs, and single-click automated DSAR access or erasure.</w:t>
      </w:r>
    </w:p>
    <w:p w14:paraId="03E144DE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Cryptographic Tokenization &amp; Crypto-Erasure: </w:t>
      </w:r>
      <w:r w:rsidRPr="0040462C">
        <w:rPr>
          <w:rFonts w:ascii="Times New Roman" w:hAnsi="Times New Roman"/>
          <w:color w:val="1E1E1E"/>
          <w:sz w:val="20"/>
          <w:szCs w:val="20"/>
        </w:rPr>
        <w:t>An HSM-backed vault that substitutes raw PII with high-entropy tokens before ingest. Right-to-erasure triggers key destruction, rendering historical models mathematically un-linkable without retraining.</w:t>
      </w:r>
    </w:p>
    <w:p w14:paraId="741BAD05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Autonomous Minor Safeguard Engine: </w:t>
      </w:r>
      <w:r w:rsidRPr="0040462C">
        <w:rPr>
          <w:rFonts w:ascii="Times New Roman" w:hAnsi="Times New Roman"/>
          <w:color w:val="1E1E1E"/>
          <w:sz w:val="20"/>
          <w:szCs w:val="20"/>
        </w:rPr>
        <w:t>Upstream filters cross-referencing biometric KYC data and usage heuristics to isolate minor SIMs from all behavioral profiling and commercial AI feeds.</w:t>
      </w:r>
    </w:p>
    <w:p w14:paraId="64C997BE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Sovereign XAI &amp; On-Prem RAG Enclaves: </w:t>
      </w:r>
      <w:r w:rsidRPr="0040462C">
        <w:rPr>
          <w:rFonts w:ascii="Times New Roman" w:hAnsi="Times New Roman"/>
          <w:color w:val="1E1E1E"/>
          <w:sz w:val="20"/>
          <w:szCs w:val="20"/>
        </w:rPr>
        <w:t>Air-gapped on-premises deployments for customer care and e-KYC, with SHAP/LIME explainability proxies supplying human-understandable audit trails for automated decisions.</w:t>
      </w:r>
    </w:p>
    <w:p w14:paraId="24CF48D7" w14:textId="77777777" w:rsidR="00BE2865" w:rsidRPr="0040462C" w:rsidRDefault="00000000" w:rsidP="0040462C">
      <w:pPr>
        <w:spacing w:before="240" w:after="120"/>
      </w:pPr>
      <w:r w:rsidRPr="0040462C">
        <w:rPr>
          <w:rFonts w:ascii="Times New Roman" w:hAnsi="Times New Roman"/>
          <w:b/>
          <w:color w:val="003366"/>
        </w:rPr>
        <w:t>4. Expected Impact (Customers &amp; Organization)</w:t>
      </w:r>
    </w:p>
    <w:p w14:paraId="3F2A1A66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For Customers: </w:t>
      </w:r>
      <w:r w:rsidRPr="0040462C">
        <w:rPr>
          <w:rFonts w:ascii="Times New Roman" w:hAnsi="Times New Roman"/>
          <w:color w:val="1E1E1E"/>
          <w:sz w:val="20"/>
          <w:szCs w:val="20"/>
        </w:rPr>
        <w:t>Total visibility and autonomy over personal data, proactive defense against predatory profiling, and ethical, transparent AI-driven customer interactions.</w:t>
      </w:r>
    </w:p>
    <w:p w14:paraId="4D43A108" w14:textId="77777777" w:rsidR="00BE2865" w:rsidRPr="0040462C" w:rsidRDefault="00000000" w:rsidP="0040462C">
      <w:pPr>
        <w:pStyle w:val="ListBullet"/>
        <w:spacing w:after="30"/>
        <w:ind w:left="288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 xml:space="preserve">For Organization: </w:t>
      </w:r>
      <w:r w:rsidRPr="0040462C">
        <w:rPr>
          <w:rFonts w:ascii="Times New Roman" w:hAnsi="Times New Roman"/>
          <w:color w:val="1E1E1E"/>
          <w:sz w:val="20"/>
          <w:szCs w:val="20"/>
        </w:rPr>
        <w:t>100% auditable PDPA compliance, prevention of regulatory fines, automated data lineage, and positioning New Telecom Ltd. as Bangladesh's premier trusted digital operator.</w:t>
      </w:r>
    </w:p>
    <w:p w14:paraId="368591EA" w14:textId="77777777" w:rsidR="00BE2865" w:rsidRPr="0040462C" w:rsidRDefault="00000000" w:rsidP="0040462C">
      <w:pPr>
        <w:spacing w:before="240" w:after="120"/>
        <w:rPr>
          <w:sz w:val="20"/>
          <w:szCs w:val="20"/>
        </w:rPr>
      </w:pPr>
      <w:r w:rsidRPr="0040462C">
        <w:rPr>
          <w:rFonts w:ascii="Times New Roman" w:hAnsi="Times New Roman"/>
          <w:b/>
          <w:color w:val="003366"/>
          <w:sz w:val="20"/>
          <w:szCs w:val="20"/>
        </w:rPr>
        <w:t>5. Applicability &amp; National Significance (Bangladesh)</w:t>
      </w:r>
    </w:p>
    <w:p w14:paraId="3D3B87F6" w14:textId="77777777" w:rsidR="00BE2865" w:rsidRPr="0040462C" w:rsidRDefault="00000000" w:rsidP="0040462C">
      <w:pPr>
        <w:spacing w:after="60"/>
        <w:jc w:val="both"/>
        <w:rPr>
          <w:sz w:val="20"/>
          <w:szCs w:val="20"/>
        </w:rPr>
      </w:pPr>
      <w:r w:rsidRPr="0040462C">
        <w:rPr>
          <w:rFonts w:ascii="Times New Roman" w:hAnsi="Times New Roman"/>
          <w:color w:val="1E1E1E"/>
          <w:sz w:val="20"/>
          <w:szCs w:val="20"/>
        </w:rPr>
        <w:t>As a Critical Information Infrastructure (CII) connecting 180M+ SIMs and driving mobile financial services (MFS), New Telecom Ltd.'s deployment of an on-premises, decentralized privacy mesh provides a benchmark for Smart Bangladesh 2041, proving that AI innovation and constitutional data rights can advance simultaneously.</w:t>
      </w:r>
    </w:p>
    <w:sectPr w:rsidR="00BE2865" w:rsidRPr="0040462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498225">
    <w:abstractNumId w:val="8"/>
  </w:num>
  <w:num w:numId="2" w16cid:durableId="126776236">
    <w:abstractNumId w:val="6"/>
  </w:num>
  <w:num w:numId="3" w16cid:durableId="1882669027">
    <w:abstractNumId w:val="5"/>
  </w:num>
  <w:num w:numId="4" w16cid:durableId="1019504887">
    <w:abstractNumId w:val="4"/>
  </w:num>
  <w:num w:numId="5" w16cid:durableId="789326844">
    <w:abstractNumId w:val="7"/>
  </w:num>
  <w:num w:numId="6" w16cid:durableId="1620914845">
    <w:abstractNumId w:val="3"/>
  </w:num>
  <w:num w:numId="7" w16cid:durableId="799878679">
    <w:abstractNumId w:val="2"/>
  </w:num>
  <w:num w:numId="8" w16cid:durableId="1897007490">
    <w:abstractNumId w:val="1"/>
  </w:num>
  <w:num w:numId="9" w16cid:durableId="72622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62C"/>
    <w:rsid w:val="004E3D01"/>
    <w:rsid w:val="00AA1D8D"/>
    <w:rsid w:val="00B47730"/>
    <w:rsid w:val="00BE28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13BA1"/>
  <w14:defaultImageDpi w14:val="300"/>
  <w15:docId w15:val="{F889B9DB-6FAB-4554-99C3-DC155170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Minhajul Islam</cp:lastModifiedBy>
  <cp:revision>2</cp:revision>
  <dcterms:created xsi:type="dcterms:W3CDTF">2013-12-23T23:15:00Z</dcterms:created>
  <dcterms:modified xsi:type="dcterms:W3CDTF">2026-09-23T20:15:00Z</dcterms:modified>
  <cp:category/>
</cp:coreProperties>
</file>