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21B8" w14:textId="77777777" w:rsidR="00F95A8C" w:rsidRDefault="00000000" w:rsidP="0061671B">
      <w:pPr>
        <w:jc w:val="center"/>
      </w:pPr>
      <w:r>
        <w:rPr>
          <w:b/>
          <w:sz w:val="24"/>
        </w:rPr>
        <w:t>Strategic Concept Paper: Secure AI &amp; Privacy Governance for New Telecom Ltd.</w:t>
      </w:r>
    </w:p>
    <w:p w14:paraId="2CDA8BB4" w14:textId="77777777" w:rsidR="00F95A8C" w:rsidRDefault="00000000" w:rsidP="0061671B">
      <w:pPr>
        <w:spacing w:before="240" w:after="120"/>
      </w:pPr>
      <w:r>
        <w:rPr>
          <w:b/>
        </w:rPr>
        <w:t>1. Deconstruction of the Problem</w:t>
      </w:r>
    </w:p>
    <w:p w14:paraId="572E359B" w14:textId="77777777" w:rsidR="00F95A8C" w:rsidRDefault="00000000" w:rsidP="0061671B">
      <w:pPr>
        <w:spacing w:after="60"/>
      </w:pPr>
      <w:r>
        <w:t>New Telecom Ltd. is transitioning into an AI-driven digital services enterprise, deploying advanced artificial intelligence workloads (generative assistants, predictive churn, fraud detection) amid a fragmented data architecture. The organization faces significant visibility gaps regarding customer personal data storage, cross-border flows, and third-party AI processing. Concurrently, it must comply with the newly enacted Bangladesh Personal Data Protection Act (PDPA), necessitating a careful balance between rapid technological innovation, strict data subject rights, and zero-tolerance statutory limits on profiling vulnerable groups.</w:t>
      </w:r>
    </w:p>
    <w:p w14:paraId="22CB6483" w14:textId="77777777" w:rsidR="00F95A8C" w:rsidRDefault="00000000" w:rsidP="0061671B">
      <w:pPr>
        <w:spacing w:before="240" w:after="120"/>
      </w:pPr>
      <w:r>
        <w:rPr>
          <w:b/>
        </w:rPr>
        <w:t>2. Key Privacy Challenges</w:t>
      </w:r>
    </w:p>
    <w:p w14:paraId="6FDBA9F6" w14:textId="77777777" w:rsidR="00F95A8C" w:rsidRDefault="00000000" w:rsidP="0061671B">
      <w:pPr>
        <w:spacing w:after="60"/>
      </w:pPr>
      <w:r>
        <w:t>• Data Visibility &amp; Sprawl: Uncharted personal information storage locations, undocumented cross-border transfers, and a lack of centralized accountability in vendor data handling.</w:t>
      </w:r>
      <w:r>
        <w:br/>
        <w:t>• AI Attack Surface: Systemic vulnerability to prompt injections, data poisoning, model inversion, algorithmic bias, and the accidental exfiltration of personally identifiable information (PII) via generative models.</w:t>
      </w:r>
      <w:r>
        <w:br/>
        <w:t>• PDPA Compliance Blindspots: Challenges in guaranteeing explainable AI (XAI) outcomes, providing automated data subject rights (access/portability/opt-out), and ensuring absolute compliance with the strict prohibition against tracking, profiling, or behaviorally monitoring minors.</w:t>
      </w:r>
    </w:p>
    <w:p w14:paraId="5914414B" w14:textId="77777777" w:rsidR="00F95A8C" w:rsidRDefault="00000000" w:rsidP="0061671B">
      <w:pPr>
        <w:spacing w:before="240" w:after="120"/>
      </w:pPr>
      <w:r>
        <w:rPr>
          <w:b/>
        </w:rPr>
        <w:t>3. Proposed Approach</w:t>
      </w:r>
    </w:p>
    <w:p w14:paraId="7919CF0E" w14:textId="77777777" w:rsidR="00F95A8C" w:rsidRDefault="00000000" w:rsidP="0061671B">
      <w:pPr>
        <w:spacing w:after="60"/>
      </w:pPr>
      <w:r>
        <w:t>Our framework moves beyond legacy compliance by embedding privacy directly into the engineering pipeline and organizational culture:</w:t>
      </w:r>
      <w:r>
        <w:br/>
        <w:t>• Automated Data Security Posture Management (DSPM): Deploy automated discovery tools across all on-premise and cloud networks to establish a dynamic Record of Processing Activities (RoPA), tracking data flows and enforcing cross-border transfer gateways.</w:t>
      </w:r>
      <w:r>
        <w:br/>
        <w:t>• AI Trust Architecture &amp; Guardrails: Implement tokenization and Format-Preserving Encryption (FPE) before AI data ingestion. Deploy dual-layer LLM firewalls and mandate Algorithmic Impact Assessments (AIA) prior to any model deployment.</w:t>
      </w:r>
      <w:r>
        <w:br/>
        <w:t>• Deterministic 'Minor-Protection-Lock': Hardcode age-verification logic during customer onboarding to systematically exclude any account belonging to a minor (under 18) from all behavioral analytics, recommendation engines, and targeted marketing models.</w:t>
      </w:r>
      <w:r>
        <w:br/>
        <w:t>• Self-Service Customer Privacy Center: Launch a transparent, app-based portal where subscribers can exercise PDPA rights (consent toggles, access requests, data portability) on demand.</w:t>
      </w:r>
      <w:r>
        <w:br/>
        <w:t>• Centralized Governance: Establish an AI Ethics &amp; Privacy Steering Committee and empower an independent Chief Data Privacy Officer (CDPO) to hold cross-functional accountability.</w:t>
      </w:r>
    </w:p>
    <w:p w14:paraId="6E29531B" w14:textId="77777777" w:rsidR="00F95A8C" w:rsidRDefault="00000000" w:rsidP="0061671B">
      <w:pPr>
        <w:spacing w:before="240" w:after="120"/>
      </w:pPr>
      <w:r>
        <w:rPr>
          <w:b/>
        </w:rPr>
        <w:t>4. Expected Impact</w:t>
      </w:r>
    </w:p>
    <w:p w14:paraId="426618F0" w14:textId="77777777" w:rsidR="00F95A8C" w:rsidRDefault="00000000" w:rsidP="0061671B">
      <w:pPr>
        <w:spacing w:after="60"/>
      </w:pPr>
      <w:r>
        <w:t>For the organization, this approach mitigates regulatory exposure and neutralizes cyber threats against AI workloads, allowing secure acceleration of digital transformation. Operationally, automated compliance and DSPM reduce manual audit overhead, ensuring audit readiness at all times. For customers, transparent explainability and frictionless, self-service data rights cultivate deep brand trust. This approach transforms data privacy from a regulatory burden into a competitive differentiator that drives user loyalty and digital adoption.</w:t>
      </w:r>
    </w:p>
    <w:p w14:paraId="61D778D7" w14:textId="77777777" w:rsidR="00F95A8C" w:rsidRDefault="00000000" w:rsidP="0061671B">
      <w:pPr>
        <w:spacing w:before="240" w:after="120"/>
      </w:pPr>
      <w:r>
        <w:rPr>
          <w:b/>
        </w:rPr>
        <w:t>5. Applicability</w:t>
      </w:r>
    </w:p>
    <w:p w14:paraId="2243BF27" w14:textId="77777777" w:rsidR="00F95A8C" w:rsidRDefault="00000000" w:rsidP="0061671B">
      <w:pPr>
        <w:spacing w:after="60"/>
      </w:pPr>
      <w:r>
        <w:t>This solution sets a critical benchmark for the telecommunications and critical infrastructure sectors in Bangladesh. By pioneering a localized, 'Privacy-by-Design' framework that respects both technological ambition and sovereign PDPA mandates, New Telecom Ltd. creates a replicable blueprint for enterprise AI adoption. It demonstrates to regulators, businesses, and citizens across Bangladesh that rapid digital innovation and algorithmic growth do not have to come at the expense of individual privacy, security, and ethical trust.</w:t>
      </w:r>
    </w:p>
    <w:sectPr w:rsidR="00F95A8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890591">
    <w:abstractNumId w:val="8"/>
  </w:num>
  <w:num w:numId="2" w16cid:durableId="1697850152">
    <w:abstractNumId w:val="6"/>
  </w:num>
  <w:num w:numId="3" w16cid:durableId="221136993">
    <w:abstractNumId w:val="5"/>
  </w:num>
  <w:num w:numId="4" w16cid:durableId="1653212645">
    <w:abstractNumId w:val="4"/>
  </w:num>
  <w:num w:numId="5" w16cid:durableId="255408216">
    <w:abstractNumId w:val="7"/>
  </w:num>
  <w:num w:numId="6" w16cid:durableId="501505399">
    <w:abstractNumId w:val="3"/>
  </w:num>
  <w:num w:numId="7" w16cid:durableId="1739745919">
    <w:abstractNumId w:val="2"/>
  </w:num>
  <w:num w:numId="8" w16cid:durableId="734279808">
    <w:abstractNumId w:val="1"/>
  </w:num>
  <w:num w:numId="9" w16cid:durableId="3231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71B"/>
    <w:rsid w:val="0070614E"/>
    <w:rsid w:val="00AA1D8D"/>
    <w:rsid w:val="00B47730"/>
    <w:rsid w:val="00CB0664"/>
    <w:rsid w:val="00F95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080B3"/>
  <w14:defaultImageDpi w14:val="300"/>
  <w15:docId w15:val="{BCD591E0-761F-42E2-A4D8-2EF4B3C6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Minhajul Islam</cp:lastModifiedBy>
  <cp:revision>2</cp:revision>
  <dcterms:created xsi:type="dcterms:W3CDTF">2013-12-23T23:15:00Z</dcterms:created>
  <dcterms:modified xsi:type="dcterms:W3CDTF">2026-09-23T20:31:00Z</dcterms:modified>
  <cp:category/>
</cp:coreProperties>
</file>