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75CC" w14:textId="77777777" w:rsidR="00833E57" w:rsidRPr="00487C2B" w:rsidRDefault="00000000" w:rsidP="00487C2B">
      <w:pPr>
        <w:spacing w:after="120" w:line="276" w:lineRule="auto"/>
        <w:jc w:val="center"/>
        <w:rPr>
          <w:sz w:val="24"/>
          <w:szCs w:val="24"/>
        </w:rPr>
      </w:pPr>
      <w:r w:rsidRPr="00487C2B">
        <w:rPr>
          <w:b/>
          <w:sz w:val="24"/>
          <w:szCs w:val="24"/>
        </w:rPr>
        <w:t>TRUST FABRIC: A CUSTOMER-CENTRIC AI PRIVACY CONTROL ARCHITECTURE</w:t>
      </w:r>
    </w:p>
    <w:p w14:paraId="7AAFDD23" w14:textId="77777777" w:rsidR="00833E57" w:rsidRPr="00487C2B" w:rsidRDefault="00000000" w:rsidP="00487C2B">
      <w:pPr>
        <w:spacing w:after="120" w:line="276" w:lineRule="auto"/>
        <w:jc w:val="center"/>
        <w:rPr>
          <w:sz w:val="18"/>
          <w:szCs w:val="18"/>
        </w:rPr>
      </w:pPr>
      <w:r w:rsidRPr="00487C2B">
        <w:rPr>
          <w:i/>
          <w:sz w:val="18"/>
          <w:szCs w:val="18"/>
        </w:rPr>
        <w:t>Concept Paper | Responsible AI Adoption under Bangladesh's Personal Data Protection Act (PDPA)</w:t>
      </w:r>
    </w:p>
    <w:p w14:paraId="47C3733D" w14:textId="2682ABEE" w:rsidR="00833E57" w:rsidRPr="00487C2B" w:rsidRDefault="00000000" w:rsidP="00487C2B">
      <w:pPr>
        <w:spacing w:after="120" w:line="276" w:lineRule="auto"/>
        <w:rPr>
          <w:szCs w:val="20"/>
        </w:rPr>
      </w:pPr>
      <w:r w:rsidRPr="00487C2B">
        <w:rPr>
          <w:b/>
          <w:szCs w:val="20"/>
        </w:rPr>
        <w:t xml:space="preserve">1. Deconstruction of the Problem </w:t>
      </w:r>
      <w:r w:rsidR="00487C2B">
        <w:rPr>
          <w:b/>
          <w:szCs w:val="20"/>
        </w:rPr>
        <w:br/>
      </w:r>
      <w:r w:rsidRPr="00487C2B">
        <w:rPr>
          <w:szCs w:val="20"/>
        </w:rPr>
        <w:t>New Telecom Ltd. already has a mature cybersecurity foundation, including Privacy-by-Design, Zero Trust, encryption, DLP, monitoring and security testing. The new problem is governance at AI scale: six proposed AI use cases can process financial, location, profile and behavioral data across internal applications, cloud services and external processors. The management questions in the case reveal one root gap—no live, end-to-end source of truth linking data, purpose, AI access, vendor, location, transfer and accountability. The objective is therefore not another compliance checklist, but privacy that is continuously discoverable, enforceable and visible to customers.</w:t>
      </w:r>
    </w:p>
    <w:p w14:paraId="3028B7D0" w14:textId="74D4E46F" w:rsidR="00833E57" w:rsidRPr="00487C2B" w:rsidRDefault="00000000" w:rsidP="00487C2B">
      <w:pPr>
        <w:spacing w:after="120" w:line="276" w:lineRule="auto"/>
        <w:rPr>
          <w:szCs w:val="20"/>
        </w:rPr>
      </w:pPr>
      <w:r w:rsidRPr="00487C2B">
        <w:rPr>
          <w:b/>
          <w:szCs w:val="20"/>
        </w:rPr>
        <w:t xml:space="preserve">2. Key Privacy Challenges </w:t>
      </w:r>
      <w:r w:rsidR="00487C2B">
        <w:rPr>
          <w:b/>
          <w:szCs w:val="20"/>
        </w:rPr>
        <w:br/>
      </w:r>
      <w:r w:rsidRPr="00487C2B">
        <w:rPr>
          <w:szCs w:val="20"/>
        </w:rPr>
        <w:t>Compliance: lawful and transparent processing, data minimization, individual rights, processor duties, cross-border visibility and child-data protection. Security: prompt injection, model inversion/poisoning, PII leakage, insecure APIs and shadow use of external AI. Ethical risk: opaque or biased outcomes in fraud, churn and marketing. Operational risk: fragmented ownership, manual rights handling, weak vendor visibility and difficulty producing audit evidence.</w:t>
      </w:r>
    </w:p>
    <w:p w14:paraId="07D1101B" w14:textId="77777777" w:rsidR="00A24EF8" w:rsidRDefault="00000000" w:rsidP="00487C2B">
      <w:pPr>
        <w:spacing w:after="120" w:line="276" w:lineRule="auto"/>
        <w:rPr>
          <w:szCs w:val="20"/>
        </w:rPr>
      </w:pPr>
      <w:r w:rsidRPr="00487C2B">
        <w:rPr>
          <w:b/>
          <w:szCs w:val="20"/>
        </w:rPr>
        <w:t xml:space="preserve">3. Proposed Approach — the “TRUST Fabric” (Transparent, Risk-tiered, User-controlled, Secure, Traceable) </w:t>
      </w:r>
      <w:r w:rsidR="00487C2B">
        <w:rPr>
          <w:b/>
          <w:szCs w:val="20"/>
        </w:rPr>
        <w:br/>
      </w:r>
      <w:r w:rsidRPr="00487C2B">
        <w:rPr>
          <w:szCs w:val="20"/>
        </w:rPr>
        <w:t xml:space="preserve">A three-layer architecture makes privacy a product feature and an engineering control. </w:t>
      </w:r>
    </w:p>
    <w:p w14:paraId="5B0657F6" w14:textId="77777777" w:rsidR="00A24EF8" w:rsidRDefault="00000000" w:rsidP="00487C2B">
      <w:pPr>
        <w:spacing w:after="120" w:line="276" w:lineRule="auto"/>
        <w:rPr>
          <w:szCs w:val="20"/>
        </w:rPr>
      </w:pPr>
      <w:r w:rsidRPr="00487C2B">
        <w:rPr>
          <w:szCs w:val="20"/>
        </w:rPr>
        <w:t xml:space="preserve">(a) Customer Privacy Cockpit: a Bangla/English, low-literacy-friendly view of what data is used, why it is used, which AI-enabled services are involved, applicable consent/opt-out choices, access/correction/portability requests, AI explanations and requests for human review; rights and consent events are recorded in a tamper-evident audit ledger. </w:t>
      </w:r>
    </w:p>
    <w:p w14:paraId="7099DDD9" w14:textId="77777777" w:rsidR="00A24EF8" w:rsidRDefault="00000000" w:rsidP="00487C2B">
      <w:pPr>
        <w:spacing w:after="120" w:line="276" w:lineRule="auto"/>
        <w:rPr>
          <w:szCs w:val="20"/>
        </w:rPr>
      </w:pPr>
      <w:r w:rsidRPr="00487C2B">
        <w:rPr>
          <w:szCs w:val="20"/>
        </w:rPr>
        <w:t xml:space="preserve">(b) Privacy Decision Engine: every AI data request is checked against approved purpose, minimum necessary data, sensitivity, age signal, destination, vendor and retention; the engine returns ALLOW, MASK or BLOCK and routes high-risk cases for human approval. </w:t>
      </w:r>
    </w:p>
    <w:p w14:paraId="1FA64885" w14:textId="77777777" w:rsidR="00A24EF8" w:rsidRDefault="00000000" w:rsidP="00487C2B">
      <w:pPr>
        <w:spacing w:after="120" w:line="276" w:lineRule="auto"/>
        <w:rPr>
          <w:szCs w:val="20"/>
        </w:rPr>
      </w:pPr>
      <w:r w:rsidRPr="00487C2B">
        <w:rPr>
          <w:szCs w:val="20"/>
        </w:rPr>
        <w:t xml:space="preserve">(c) Privacy Control Tower: DSPM creates a dynamic data/AI register and lineage map; DPIA-as-code becomes a CI/CD gate for high-risk models; a vendor “Privacy Passport” records residency, retention, </w:t>
      </w:r>
      <w:proofErr w:type="spellStart"/>
      <w:r w:rsidRPr="00487C2B">
        <w:rPr>
          <w:szCs w:val="20"/>
        </w:rPr>
        <w:t>subprocessors</w:t>
      </w:r>
      <w:proofErr w:type="spellEnd"/>
      <w:r w:rsidRPr="00487C2B">
        <w:rPr>
          <w:szCs w:val="20"/>
        </w:rPr>
        <w:t xml:space="preserve">, security and permitted AI use; and PETs such as tokenization, synthetic data, differential privacy, federated/on-device processing, plus LLM input/output guardrails, XAI testing and continuous monitoring are applied where appropriate. </w:t>
      </w:r>
    </w:p>
    <w:p w14:paraId="2520796F" w14:textId="59E0C9B0" w:rsidR="00833E57" w:rsidRPr="00487C2B" w:rsidRDefault="00000000" w:rsidP="00487C2B">
      <w:pPr>
        <w:spacing w:after="120" w:line="276" w:lineRule="auto"/>
        <w:rPr>
          <w:szCs w:val="20"/>
        </w:rPr>
      </w:pPr>
      <w:r w:rsidRPr="00487C2B">
        <w:rPr>
          <w:szCs w:val="20"/>
        </w:rPr>
        <w:t>A Minor Protection Gate uses reliable age-assurance signals and defaults covered profiling/targeting of under-18s to BLOCK, with conservative handling where age is uncertain. An AI &amp; Privacy Governance Committee sets policy and accountability, while embedded Privacy Champions operationalize it.</w:t>
      </w:r>
    </w:p>
    <w:p w14:paraId="69DF6D1D" w14:textId="783FCA67" w:rsidR="00833E57" w:rsidRPr="00487C2B" w:rsidRDefault="00000000" w:rsidP="00487C2B">
      <w:pPr>
        <w:spacing w:after="120" w:line="276" w:lineRule="auto"/>
        <w:rPr>
          <w:szCs w:val="20"/>
        </w:rPr>
      </w:pPr>
      <w:r w:rsidRPr="00487C2B">
        <w:rPr>
          <w:b/>
          <w:szCs w:val="20"/>
        </w:rPr>
        <w:t xml:space="preserve">4. Expected Impact </w:t>
      </w:r>
      <w:r w:rsidR="00487C2B">
        <w:rPr>
          <w:b/>
          <w:szCs w:val="20"/>
        </w:rPr>
        <w:br/>
      </w:r>
      <w:r w:rsidRPr="00487C2B">
        <w:rPr>
          <w:szCs w:val="20"/>
        </w:rPr>
        <w:t>Customers gain understandable visibility, practical control, faster rights fulfillment, safer AI interactions and stronger protection from inappropriate profiling. New Telecom gains continuous compliance evidence, reduced manual audit effort, stronger vendor and cross-border controls, safer and faster AI deployment, and clearer accountability. The architecture is sustainable because governance rules are embedded into data pipelines and deployment workflows rather than relying on repeated manual reviews. A phased rollout—governance/inventory (0–3 months), enforcement and vendor controls (3–6), customer cockpit and continuous monitoring (6–12), then ongoing reassessment—allows the model to scale as AI use grows.</w:t>
      </w:r>
    </w:p>
    <w:p w14:paraId="3B69F0EA" w14:textId="612860C0" w:rsidR="00833E57" w:rsidRPr="00487C2B" w:rsidRDefault="00000000" w:rsidP="00487C2B">
      <w:pPr>
        <w:spacing w:after="120" w:line="276" w:lineRule="auto"/>
        <w:rPr>
          <w:szCs w:val="20"/>
        </w:rPr>
      </w:pPr>
      <w:r w:rsidRPr="00487C2B">
        <w:rPr>
          <w:b/>
          <w:szCs w:val="20"/>
        </w:rPr>
        <w:t xml:space="preserve">5. Applicability and Impact in Bangladesh </w:t>
      </w:r>
      <w:r w:rsidR="00487C2B">
        <w:rPr>
          <w:b/>
          <w:szCs w:val="20"/>
        </w:rPr>
        <w:br/>
      </w:r>
      <w:r w:rsidRPr="00487C2B">
        <w:rPr>
          <w:szCs w:val="20"/>
        </w:rPr>
        <w:t>The model translates the case's PDPA requirements into practical digital controls suited to a telecom operator serving millions of customers. A Bangla/English privacy cockpit can make rights understandable beyond highly technical users; the decision engine can make lawful-purpose, minimization, transfer and child-protection rules operational at system level; and DPIA-as-code can produce auditable evidence for regulators. The same architecture can be adapted to other Bangladeshi data-intensive sectors such as financial, health-tech and e-commerce services, while allowing regulators and organizations to refine controls as statutory guidance develops.</w:t>
      </w:r>
    </w:p>
    <w:sectPr w:rsidR="00833E57" w:rsidRPr="00487C2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119064">
    <w:abstractNumId w:val="8"/>
  </w:num>
  <w:num w:numId="2" w16cid:durableId="660736085">
    <w:abstractNumId w:val="6"/>
  </w:num>
  <w:num w:numId="3" w16cid:durableId="1976789962">
    <w:abstractNumId w:val="5"/>
  </w:num>
  <w:num w:numId="4" w16cid:durableId="455947093">
    <w:abstractNumId w:val="4"/>
  </w:num>
  <w:num w:numId="5" w16cid:durableId="1223980915">
    <w:abstractNumId w:val="7"/>
  </w:num>
  <w:num w:numId="6" w16cid:durableId="66072348">
    <w:abstractNumId w:val="3"/>
  </w:num>
  <w:num w:numId="7" w16cid:durableId="1645230861">
    <w:abstractNumId w:val="2"/>
  </w:num>
  <w:num w:numId="8" w16cid:durableId="946276910">
    <w:abstractNumId w:val="1"/>
  </w:num>
  <w:num w:numId="9" w16cid:durableId="46978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7E1"/>
    <w:rsid w:val="0015074B"/>
    <w:rsid w:val="0029639D"/>
    <w:rsid w:val="00326F90"/>
    <w:rsid w:val="00487C2B"/>
    <w:rsid w:val="006C3075"/>
    <w:rsid w:val="00833E57"/>
    <w:rsid w:val="00A24E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C73F1"/>
  <w14:defaultImageDpi w14:val="300"/>
  <w15:docId w15:val="{0ED6BF65-AD37-4F7A-8698-6B961455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FABRIC: A Customer-Centric AI Privacy Control Architecture</dc:title>
  <dc:subject>Concept paper for New Telecom Ltd.</dc:subject>
  <dc:creator/>
  <cp:keywords/>
  <dc:description>generated by python-docx</dc:description>
  <cp:lastModifiedBy>Minhajul Islam</cp:lastModifiedBy>
  <cp:revision>4</cp:revision>
  <dcterms:created xsi:type="dcterms:W3CDTF">2013-12-23T23:15:00Z</dcterms:created>
  <dcterms:modified xsi:type="dcterms:W3CDTF">2026-09-24T05:30:00Z</dcterms:modified>
  <cp:category/>
</cp:coreProperties>
</file>