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44B7" w14:textId="77777777" w:rsidR="008B75A0" w:rsidRPr="00201518" w:rsidRDefault="00000000" w:rsidP="00201518">
      <w:pPr>
        <w:spacing w:before="240" w:after="120"/>
        <w:jc w:val="center"/>
        <w:rPr>
          <w:sz w:val="24"/>
          <w:szCs w:val="24"/>
        </w:rPr>
      </w:pPr>
      <w:r w:rsidRPr="00201518">
        <w:rPr>
          <w:b/>
          <w:sz w:val="24"/>
          <w:szCs w:val="24"/>
        </w:rPr>
        <w:t>The Sovereign Trust Fabric: A Customer-Centric AI Privacy Architecture</w:t>
      </w:r>
    </w:p>
    <w:p w14:paraId="36F2FEAB" w14:textId="77777777" w:rsidR="008B75A0" w:rsidRPr="00201518" w:rsidRDefault="00000000" w:rsidP="00201518">
      <w:pPr>
        <w:spacing w:after="120"/>
        <w:jc w:val="center"/>
        <w:rPr>
          <w:sz w:val="18"/>
          <w:szCs w:val="18"/>
        </w:rPr>
      </w:pPr>
      <w:r w:rsidRPr="00201518">
        <w:rPr>
          <w:i/>
          <w:color w:val="505050"/>
          <w:sz w:val="18"/>
          <w:szCs w:val="18"/>
        </w:rPr>
        <w:t>Strategic Concept Paper for New Telecom Ltd. | Bangladesh Personal Data Protection Act (PDPA) Compliance</w:t>
      </w:r>
    </w:p>
    <w:p w14:paraId="2320A5F6" w14:textId="77777777" w:rsidR="008B75A0" w:rsidRPr="00201518" w:rsidRDefault="00000000" w:rsidP="002C1B93">
      <w:pPr>
        <w:spacing w:before="240" w:after="120"/>
        <w:jc w:val="both"/>
        <w:rPr>
          <w:sz w:val="20"/>
          <w:szCs w:val="20"/>
        </w:rPr>
      </w:pPr>
      <w:r w:rsidRPr="00201518">
        <w:rPr>
          <w:b/>
          <w:sz w:val="20"/>
          <w:szCs w:val="20"/>
        </w:rPr>
        <w:t>1. Deconstruction of the Problem</w:t>
      </w:r>
    </w:p>
    <w:p w14:paraId="368B9EEA" w14:textId="77777777" w:rsidR="008B75A0" w:rsidRPr="00201518" w:rsidRDefault="00000000" w:rsidP="002C1B93">
      <w:pPr>
        <w:spacing w:after="120"/>
        <w:jc w:val="both"/>
        <w:rPr>
          <w:sz w:val="20"/>
          <w:szCs w:val="20"/>
        </w:rPr>
      </w:pPr>
      <w:r w:rsidRPr="00201518">
        <w:rPr>
          <w:sz w:val="20"/>
          <w:szCs w:val="20"/>
        </w:rPr>
        <w:t>New Telecom Ltd. is accelerating its transformation into an AI-powered digital services provider across six core use cases (customer support GenAI, fraud detection, churn prediction, marketing, network ML, and automated document processing). While its network cybersecurity controls are mature, privacy governance remains severely fragmented across business silos. Management faces a critical visibility void: lack of dynamic data lineage, unmapped cross-border API egress, opaque third-party vendor handling, and an inability to explain black-box automated decisions. The enactment of Bangladesh's Personal Data Protection Act (PDPA) elevates these operational blind spots into existential statutory risks, mandating strict accountability, purpose limitation, verifiable consent, and absolute prohibitions against tracking minors.</w:t>
      </w:r>
    </w:p>
    <w:p w14:paraId="255C5AF7" w14:textId="77777777" w:rsidR="008B75A0" w:rsidRPr="00201518" w:rsidRDefault="00000000" w:rsidP="002C1B93">
      <w:pPr>
        <w:spacing w:before="240" w:after="120"/>
        <w:jc w:val="both"/>
        <w:rPr>
          <w:sz w:val="20"/>
          <w:szCs w:val="20"/>
        </w:rPr>
      </w:pPr>
      <w:r w:rsidRPr="00201518">
        <w:rPr>
          <w:b/>
          <w:sz w:val="20"/>
          <w:szCs w:val="20"/>
        </w:rPr>
        <w:t>2. Key Privacy Challenges</w:t>
      </w:r>
    </w:p>
    <w:p w14:paraId="78DED9B0" w14:textId="77777777" w:rsidR="00201518" w:rsidRDefault="00000000" w:rsidP="002C1B93">
      <w:pPr>
        <w:pStyle w:val="ListParagraph"/>
        <w:numPr>
          <w:ilvl w:val="0"/>
          <w:numId w:val="10"/>
        </w:numPr>
        <w:spacing w:after="120"/>
        <w:ind w:left="648"/>
        <w:jc w:val="both"/>
        <w:rPr>
          <w:sz w:val="20"/>
          <w:szCs w:val="20"/>
        </w:rPr>
      </w:pPr>
      <w:r w:rsidRPr="00201518">
        <w:rPr>
          <w:b/>
          <w:bCs/>
          <w:sz w:val="20"/>
          <w:szCs w:val="20"/>
        </w:rPr>
        <w:t>Children's Privacy Exposure (PDPA Mandate):</w:t>
      </w:r>
      <w:r w:rsidRPr="00201518">
        <w:rPr>
          <w:sz w:val="20"/>
          <w:szCs w:val="20"/>
        </w:rPr>
        <w:t xml:space="preserve"> Shared family and student SIMs obscure underage usage; unmitigated AI models risk illegally profiling, tracking, and directing targeted offers at minors (&lt;18).</w:t>
      </w:r>
    </w:p>
    <w:p w14:paraId="136B71EA" w14:textId="77777777" w:rsidR="00201518" w:rsidRDefault="00000000" w:rsidP="002C1B93">
      <w:pPr>
        <w:pStyle w:val="ListParagraph"/>
        <w:numPr>
          <w:ilvl w:val="0"/>
          <w:numId w:val="10"/>
        </w:numPr>
        <w:spacing w:after="120"/>
        <w:ind w:left="648"/>
        <w:jc w:val="both"/>
        <w:rPr>
          <w:sz w:val="20"/>
          <w:szCs w:val="20"/>
        </w:rPr>
      </w:pPr>
      <w:r w:rsidRPr="00201518">
        <w:rPr>
          <w:b/>
          <w:bCs/>
          <w:sz w:val="20"/>
          <w:szCs w:val="20"/>
        </w:rPr>
        <w:t>Adversarial Attack Vectors &amp; ML Data Retention:</w:t>
      </w:r>
      <w:r w:rsidRPr="00201518">
        <w:rPr>
          <w:sz w:val="20"/>
          <w:szCs w:val="20"/>
        </w:rPr>
        <w:t xml:space="preserve"> Ingestion of subscriber metadata into AI models introduces prompt injection, context leakage, and model inversion risks. Furthermore, statutory Right-to-Erasure requests cannot mathematically purge PII embedded in trained model weights without complete, costly model retraining.</w:t>
      </w:r>
    </w:p>
    <w:p w14:paraId="10E2DDBC" w14:textId="77777777" w:rsidR="00201518" w:rsidRDefault="00000000" w:rsidP="002C1B93">
      <w:pPr>
        <w:pStyle w:val="ListParagraph"/>
        <w:numPr>
          <w:ilvl w:val="0"/>
          <w:numId w:val="10"/>
        </w:numPr>
        <w:spacing w:after="120"/>
        <w:ind w:left="648"/>
        <w:jc w:val="both"/>
        <w:rPr>
          <w:sz w:val="20"/>
          <w:szCs w:val="20"/>
        </w:rPr>
      </w:pPr>
      <w:r w:rsidRPr="00201518">
        <w:rPr>
          <w:b/>
          <w:bCs/>
          <w:sz w:val="20"/>
          <w:szCs w:val="20"/>
        </w:rPr>
        <w:t>Shadow AI &amp; Cross-Border Data Drift:</w:t>
      </w:r>
      <w:r w:rsidRPr="00201518">
        <w:rPr>
          <w:sz w:val="20"/>
          <w:szCs w:val="20"/>
        </w:rPr>
        <w:t xml:space="preserve"> Squads routing telemetry or e-KYC records to international cloud-hosted AI APIs violate data residency imperatives and third-party vendor processor accountability.</w:t>
      </w:r>
    </w:p>
    <w:p w14:paraId="631A750B" w14:textId="72466022" w:rsidR="008B75A0" w:rsidRPr="00201518" w:rsidRDefault="00000000" w:rsidP="002C1B93">
      <w:pPr>
        <w:pStyle w:val="ListParagraph"/>
        <w:numPr>
          <w:ilvl w:val="0"/>
          <w:numId w:val="10"/>
        </w:numPr>
        <w:spacing w:after="120"/>
        <w:ind w:left="648"/>
        <w:jc w:val="both"/>
        <w:rPr>
          <w:sz w:val="20"/>
          <w:szCs w:val="20"/>
        </w:rPr>
      </w:pPr>
      <w:r w:rsidRPr="00201518">
        <w:rPr>
          <w:b/>
          <w:bCs/>
          <w:sz w:val="20"/>
          <w:szCs w:val="20"/>
        </w:rPr>
        <w:t>Algorithmic Opacity &amp; Bias:</w:t>
      </w:r>
      <w:r w:rsidRPr="00201518">
        <w:rPr>
          <w:sz w:val="20"/>
          <w:szCs w:val="20"/>
        </w:rPr>
        <w:t xml:space="preserve"> Predictive churn and automated fraud systems risk discriminatory false positives, lacking the human-interpretable explainability required to contest adverse subscriber decisions.</w:t>
      </w:r>
    </w:p>
    <w:p w14:paraId="0909137F" w14:textId="77777777" w:rsidR="008B75A0" w:rsidRPr="00201518" w:rsidRDefault="00000000" w:rsidP="002C1B93">
      <w:pPr>
        <w:spacing w:before="240" w:after="120"/>
        <w:jc w:val="both"/>
        <w:rPr>
          <w:sz w:val="20"/>
          <w:szCs w:val="20"/>
        </w:rPr>
      </w:pPr>
      <w:r w:rsidRPr="00201518">
        <w:rPr>
          <w:b/>
          <w:sz w:val="20"/>
          <w:szCs w:val="20"/>
        </w:rPr>
        <w:t>3. Proposed Approach — The 'Sovereign Trust Fabric'</w:t>
      </w:r>
    </w:p>
    <w:p w14:paraId="20D8D8A6" w14:textId="77777777" w:rsidR="00201518" w:rsidRDefault="00000000" w:rsidP="002C1B93">
      <w:pPr>
        <w:spacing w:after="120"/>
        <w:jc w:val="both"/>
        <w:rPr>
          <w:sz w:val="20"/>
          <w:szCs w:val="20"/>
        </w:rPr>
      </w:pPr>
      <w:r w:rsidRPr="00201518">
        <w:rPr>
          <w:sz w:val="20"/>
          <w:szCs w:val="20"/>
        </w:rPr>
        <w:t>Our architecture bridges engineering-embedded governance with intuitive customer empowerment through four pillars:</w:t>
      </w:r>
    </w:p>
    <w:p w14:paraId="0C3E3F77" w14:textId="77777777" w:rsidR="00201518" w:rsidRDefault="00000000" w:rsidP="002C1B93">
      <w:pPr>
        <w:pStyle w:val="ListParagraph"/>
        <w:numPr>
          <w:ilvl w:val="0"/>
          <w:numId w:val="11"/>
        </w:numPr>
        <w:spacing w:after="120"/>
        <w:ind w:left="648"/>
        <w:jc w:val="both"/>
        <w:rPr>
          <w:sz w:val="20"/>
          <w:szCs w:val="20"/>
        </w:rPr>
      </w:pPr>
      <w:r w:rsidRPr="00201518">
        <w:rPr>
          <w:b/>
          <w:bCs/>
          <w:sz w:val="20"/>
          <w:szCs w:val="20"/>
        </w:rPr>
        <w:t>Bilingual 'Customer Privacy Cockpit' (Bangla/English):</w:t>
      </w:r>
      <w:r w:rsidRPr="00201518">
        <w:rPr>
          <w:sz w:val="20"/>
          <w:szCs w:val="20"/>
        </w:rPr>
        <w:t xml:space="preserve"> An in-app, low-literacy-friendly dashboard granting subscribers granular micro-consent toggles per AI use case, automated one-click DSAR requests (access, correction, portability), plain-language algorithmic decision receipts, and an immutable, timestamped consent ledger.</w:t>
      </w:r>
    </w:p>
    <w:p w14:paraId="40484E20" w14:textId="77777777" w:rsidR="00201518" w:rsidRDefault="00000000" w:rsidP="002C1B93">
      <w:pPr>
        <w:pStyle w:val="ListParagraph"/>
        <w:numPr>
          <w:ilvl w:val="0"/>
          <w:numId w:val="11"/>
        </w:numPr>
        <w:spacing w:after="120"/>
        <w:ind w:left="648"/>
        <w:jc w:val="both"/>
        <w:rPr>
          <w:sz w:val="20"/>
          <w:szCs w:val="20"/>
        </w:rPr>
      </w:pPr>
      <w:r w:rsidRPr="00201518">
        <w:rPr>
          <w:b/>
          <w:bCs/>
          <w:sz w:val="20"/>
          <w:szCs w:val="20"/>
        </w:rPr>
        <w:t>Cryptographic Tokenization &amp; 'Crypto-Erasure':</w:t>
      </w:r>
      <w:r w:rsidRPr="00201518">
        <w:rPr>
          <w:sz w:val="20"/>
          <w:szCs w:val="20"/>
        </w:rPr>
        <w:t xml:space="preserve"> Customer PII is replaced with high-entropy tokens via on-premise HSMs before reaching AI pipelines. Right-to-erasure triggers instantaneous key destruction, mathematically severing data linkage from trained models without requiring model retraining.</w:t>
      </w:r>
    </w:p>
    <w:p w14:paraId="7A894EF7" w14:textId="77777777" w:rsidR="00201518" w:rsidRDefault="00000000" w:rsidP="002C1B93">
      <w:pPr>
        <w:pStyle w:val="ListParagraph"/>
        <w:numPr>
          <w:ilvl w:val="0"/>
          <w:numId w:val="11"/>
        </w:numPr>
        <w:spacing w:after="120"/>
        <w:ind w:left="648"/>
        <w:jc w:val="both"/>
        <w:rPr>
          <w:sz w:val="20"/>
          <w:szCs w:val="20"/>
        </w:rPr>
      </w:pPr>
      <w:r w:rsidRPr="00201518">
        <w:rPr>
          <w:b/>
          <w:bCs/>
          <w:sz w:val="20"/>
          <w:szCs w:val="20"/>
        </w:rPr>
        <w:t>Deterministic Minor Safeguard Engine:</w:t>
      </w:r>
      <w:r w:rsidRPr="00201518">
        <w:rPr>
          <w:sz w:val="20"/>
          <w:szCs w:val="20"/>
        </w:rPr>
        <w:t xml:space="preserve"> Upstream integration with national identity (NID) data paired with behavioral usage heuristics dynamically flags accounts used by minors (&lt;18), hardcoding an automated 'Zero-Tracking Lock' that excludes them from all profiling, recommendation, and marketing engines.</w:t>
      </w:r>
    </w:p>
    <w:p w14:paraId="3C3DA336" w14:textId="1CBF8621" w:rsidR="008B75A0" w:rsidRPr="00201518" w:rsidRDefault="00000000" w:rsidP="002C1B93">
      <w:pPr>
        <w:pStyle w:val="ListParagraph"/>
        <w:numPr>
          <w:ilvl w:val="0"/>
          <w:numId w:val="11"/>
        </w:numPr>
        <w:spacing w:after="120"/>
        <w:ind w:left="648"/>
        <w:jc w:val="both"/>
        <w:rPr>
          <w:sz w:val="20"/>
          <w:szCs w:val="20"/>
        </w:rPr>
      </w:pPr>
      <w:r w:rsidRPr="00201518">
        <w:rPr>
          <w:b/>
          <w:bCs/>
          <w:sz w:val="20"/>
          <w:szCs w:val="20"/>
        </w:rPr>
        <w:t>'DPIA-as-Code' &amp; Sovereign AI Enclaves:</w:t>
      </w:r>
      <w:r w:rsidRPr="00201518">
        <w:rPr>
          <w:sz w:val="20"/>
          <w:szCs w:val="20"/>
        </w:rPr>
        <w:t xml:space="preserve"> Air-gapped on-premise RAG enclaves for customer care; mandatory algorithmic impact assessments hardcoded as CI/CD deployment gates (blocking non-compliant models); and vendor 'Privacy Passports' restricting secondary model training.</w:t>
      </w:r>
    </w:p>
    <w:p w14:paraId="23AB31AD" w14:textId="77777777" w:rsidR="008B75A0" w:rsidRPr="00201518" w:rsidRDefault="00000000" w:rsidP="002C1B93">
      <w:pPr>
        <w:spacing w:before="240" w:after="120"/>
        <w:jc w:val="both"/>
        <w:rPr>
          <w:sz w:val="20"/>
          <w:szCs w:val="20"/>
        </w:rPr>
      </w:pPr>
      <w:r w:rsidRPr="00201518">
        <w:rPr>
          <w:b/>
          <w:sz w:val="20"/>
          <w:szCs w:val="20"/>
        </w:rPr>
        <w:t>4. Expected Impact</w:t>
      </w:r>
    </w:p>
    <w:p w14:paraId="3DE8F04B" w14:textId="77777777" w:rsidR="00201518" w:rsidRDefault="00000000" w:rsidP="002C1B93">
      <w:pPr>
        <w:pStyle w:val="ListParagraph"/>
        <w:numPr>
          <w:ilvl w:val="0"/>
          <w:numId w:val="12"/>
        </w:numPr>
        <w:spacing w:after="120"/>
        <w:ind w:left="648"/>
        <w:jc w:val="both"/>
        <w:rPr>
          <w:sz w:val="20"/>
          <w:szCs w:val="20"/>
        </w:rPr>
      </w:pPr>
      <w:r w:rsidRPr="00201518">
        <w:rPr>
          <w:b/>
          <w:bCs/>
          <w:sz w:val="20"/>
          <w:szCs w:val="20"/>
        </w:rPr>
        <w:t>Customer Empowerment &amp; Brand Equity:</w:t>
      </w:r>
      <w:r w:rsidRPr="00201518">
        <w:rPr>
          <w:sz w:val="20"/>
          <w:szCs w:val="20"/>
        </w:rPr>
        <w:t xml:space="preserve"> Subscribers gain unprecedented autonomy and transparent oversight, transforming privacy from a legal disclaimer into New Telecom's most powerful competitive trust advantage in Bangladesh.</w:t>
      </w:r>
    </w:p>
    <w:p w14:paraId="0B97F14D" w14:textId="77777777" w:rsidR="00201518" w:rsidRDefault="00000000" w:rsidP="002C1B93">
      <w:pPr>
        <w:pStyle w:val="ListParagraph"/>
        <w:numPr>
          <w:ilvl w:val="0"/>
          <w:numId w:val="12"/>
        </w:numPr>
        <w:spacing w:after="120"/>
        <w:ind w:left="648"/>
        <w:jc w:val="both"/>
        <w:rPr>
          <w:sz w:val="20"/>
          <w:szCs w:val="20"/>
        </w:rPr>
      </w:pPr>
      <w:r w:rsidRPr="00201518">
        <w:rPr>
          <w:b/>
          <w:bCs/>
          <w:sz w:val="20"/>
          <w:szCs w:val="20"/>
        </w:rPr>
        <w:t>Operational Agility &amp; Threat Mitigation:</w:t>
      </w:r>
      <w:r w:rsidRPr="00201518">
        <w:rPr>
          <w:sz w:val="20"/>
          <w:szCs w:val="20"/>
        </w:rPr>
        <w:t xml:space="preserve"> 'Crypto-erasure' and cryptographic tokenization drastically shrink the breach blast radius. Automated CI/CD gates eliminate compliance bottlenecks, allowing rapid, secure AI innovation.</w:t>
      </w:r>
    </w:p>
    <w:p w14:paraId="799D7244" w14:textId="2971BE22" w:rsidR="008B75A0" w:rsidRPr="00201518" w:rsidRDefault="00000000" w:rsidP="002C1B93">
      <w:pPr>
        <w:pStyle w:val="ListParagraph"/>
        <w:numPr>
          <w:ilvl w:val="0"/>
          <w:numId w:val="12"/>
        </w:numPr>
        <w:spacing w:after="120"/>
        <w:ind w:left="648"/>
        <w:jc w:val="both"/>
        <w:rPr>
          <w:sz w:val="20"/>
          <w:szCs w:val="20"/>
        </w:rPr>
      </w:pPr>
      <w:r w:rsidRPr="00201518">
        <w:rPr>
          <w:b/>
          <w:bCs/>
          <w:sz w:val="20"/>
          <w:szCs w:val="20"/>
        </w:rPr>
        <w:t>Audit-Proof PDPA Compliance:</w:t>
      </w:r>
      <w:r w:rsidRPr="00201518">
        <w:rPr>
          <w:sz w:val="20"/>
          <w:szCs w:val="20"/>
        </w:rPr>
        <w:t xml:space="preserve"> A dynamic, self-updating data inventory and immutable consent logs ensure continuous audit readiness, shielding the enterprise from statutory penalties and brand erosion.</w:t>
      </w:r>
    </w:p>
    <w:p w14:paraId="2835924A" w14:textId="77777777" w:rsidR="008B75A0" w:rsidRPr="00201518" w:rsidRDefault="00000000" w:rsidP="002C1B93">
      <w:pPr>
        <w:spacing w:before="240" w:after="120"/>
        <w:jc w:val="both"/>
        <w:rPr>
          <w:sz w:val="20"/>
          <w:szCs w:val="20"/>
        </w:rPr>
      </w:pPr>
      <w:r w:rsidRPr="00201518">
        <w:rPr>
          <w:b/>
          <w:sz w:val="20"/>
          <w:szCs w:val="20"/>
        </w:rPr>
        <w:t>5. Applicability &amp; National Impact in Bangladesh</w:t>
      </w:r>
    </w:p>
    <w:p w14:paraId="2A39F6D4" w14:textId="77777777" w:rsidR="008B75A0" w:rsidRPr="00201518" w:rsidRDefault="00000000" w:rsidP="002C1B93">
      <w:pPr>
        <w:spacing w:after="120"/>
        <w:jc w:val="both"/>
        <w:rPr>
          <w:sz w:val="20"/>
          <w:szCs w:val="20"/>
        </w:rPr>
      </w:pPr>
      <w:r w:rsidRPr="00201518">
        <w:rPr>
          <w:sz w:val="20"/>
          <w:szCs w:val="20"/>
        </w:rPr>
        <w:t>As a Critical Information Infrastructure (CII) connecting millions and anchoring the nation's digital financial services (MFS) and e-commerce ecosystems, New Telecom Ltd. holds a systemic responsibility. Implementing a localized, NID-integrated, and Bangla-first Trust Fabric establishes an auditable gold standard for responsible AI in Bangladesh. It provides regulators with a practical reference blueprint for PDPA enforcement guidance, proving that sovereign data rights and national AI competitiveness can advance concurrently.</w:t>
      </w:r>
    </w:p>
    <w:sectPr w:rsidR="008B75A0" w:rsidRPr="00201518"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B60AB6"/>
    <w:multiLevelType w:val="hybridMultilevel"/>
    <w:tmpl w:val="3AE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23A85"/>
    <w:multiLevelType w:val="hybridMultilevel"/>
    <w:tmpl w:val="A4B67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86417"/>
    <w:multiLevelType w:val="hybridMultilevel"/>
    <w:tmpl w:val="0CC4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82822">
    <w:abstractNumId w:val="8"/>
  </w:num>
  <w:num w:numId="2" w16cid:durableId="1833374296">
    <w:abstractNumId w:val="6"/>
  </w:num>
  <w:num w:numId="3" w16cid:durableId="784889802">
    <w:abstractNumId w:val="5"/>
  </w:num>
  <w:num w:numId="4" w16cid:durableId="308825021">
    <w:abstractNumId w:val="4"/>
  </w:num>
  <w:num w:numId="5" w16cid:durableId="1393044408">
    <w:abstractNumId w:val="7"/>
  </w:num>
  <w:num w:numId="6" w16cid:durableId="406849181">
    <w:abstractNumId w:val="3"/>
  </w:num>
  <w:num w:numId="7" w16cid:durableId="298997080">
    <w:abstractNumId w:val="2"/>
  </w:num>
  <w:num w:numId="8" w16cid:durableId="1613703726">
    <w:abstractNumId w:val="1"/>
  </w:num>
  <w:num w:numId="9" w16cid:durableId="378281738">
    <w:abstractNumId w:val="0"/>
  </w:num>
  <w:num w:numId="10" w16cid:durableId="1717001907">
    <w:abstractNumId w:val="11"/>
  </w:num>
  <w:num w:numId="11" w16cid:durableId="1431313610">
    <w:abstractNumId w:val="9"/>
  </w:num>
  <w:num w:numId="12" w16cid:durableId="1181118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518"/>
    <w:rsid w:val="0029639D"/>
    <w:rsid w:val="002C1B93"/>
    <w:rsid w:val="00326F90"/>
    <w:rsid w:val="00873B74"/>
    <w:rsid w:val="008B75A0"/>
    <w:rsid w:val="00AA1B01"/>
    <w:rsid w:val="00AA1D8D"/>
    <w:rsid w:val="00B47730"/>
    <w:rsid w:val="00CB0664"/>
    <w:rsid w:val="00D84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EAF8C"/>
  <w14:defaultImageDpi w14:val="300"/>
  <w15:docId w15:val="{47C49807-1AE1-4724-BEB3-656B5526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4141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Minhajul Islam</cp:lastModifiedBy>
  <cp:revision>4</cp:revision>
  <dcterms:created xsi:type="dcterms:W3CDTF">2013-12-23T23:15:00Z</dcterms:created>
  <dcterms:modified xsi:type="dcterms:W3CDTF">2026-09-23T21:37:00Z</dcterms:modified>
  <cp:category/>
</cp:coreProperties>
</file>