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B8460" w14:textId="77A743B3" w:rsidR="00CA6DCC" w:rsidRDefault="00000000" w:rsidP="00090C3A">
      <w:pPr>
        <w:pStyle w:val="Heading1"/>
        <w:spacing w:before="0" w:after="240" w:line="276" w:lineRule="auto"/>
        <w:ind w:left="1123"/>
      </w:pPr>
      <w:r>
        <w:t>Concept</w:t>
      </w:r>
      <w:r>
        <w:rPr>
          <w:spacing w:val="-14"/>
        </w:rPr>
        <w:t xml:space="preserve"> </w:t>
      </w:r>
      <w:r>
        <w:t>Paper:—</w:t>
      </w:r>
      <w:r>
        <w:rPr>
          <w:spacing w:val="-15"/>
        </w:rPr>
        <w:t xml:space="preserve"> </w:t>
      </w:r>
      <w:r>
        <w:t>A</w:t>
      </w:r>
      <w:r>
        <w:rPr>
          <w:spacing w:val="-15"/>
        </w:rPr>
        <w:t xml:space="preserve"> </w:t>
      </w:r>
      <w:r>
        <w:t>Customer-Centric</w:t>
      </w:r>
      <w:r>
        <w:rPr>
          <w:spacing w:val="-15"/>
        </w:rPr>
        <w:t xml:space="preserve"> </w:t>
      </w:r>
      <w:r>
        <w:t>AI</w:t>
      </w:r>
      <w:r>
        <w:rPr>
          <w:spacing w:val="-3"/>
        </w:rPr>
        <w:t xml:space="preserve"> </w:t>
      </w:r>
      <w:r>
        <w:t>Privacy</w:t>
      </w:r>
      <w:r>
        <w:rPr>
          <w:spacing w:val="-15"/>
        </w:rPr>
        <w:t xml:space="preserve"> </w:t>
      </w:r>
      <w:r>
        <w:rPr>
          <w:spacing w:val="-2"/>
        </w:rPr>
        <w:t>Architecture</w:t>
      </w:r>
    </w:p>
    <w:p w14:paraId="33A2597A" w14:textId="77777777" w:rsidR="00CA6DCC" w:rsidRPr="00090C3A" w:rsidRDefault="00000000" w:rsidP="00090C3A">
      <w:pPr>
        <w:pStyle w:val="Heading2"/>
        <w:numPr>
          <w:ilvl w:val="0"/>
          <w:numId w:val="1"/>
        </w:numPr>
        <w:tabs>
          <w:tab w:val="left" w:pos="330"/>
        </w:tabs>
        <w:spacing w:before="182" w:after="120" w:line="276" w:lineRule="auto"/>
        <w:ind w:left="330" w:hanging="199"/>
        <w:jc w:val="both"/>
        <w:rPr>
          <w:sz w:val="22"/>
          <w:szCs w:val="22"/>
        </w:rPr>
      </w:pPr>
      <w:r w:rsidRPr="00090C3A">
        <w:rPr>
          <w:sz w:val="22"/>
          <w:szCs w:val="22"/>
        </w:rPr>
        <w:t>Deconstruction</w:t>
      </w:r>
      <w:r w:rsidRPr="00090C3A">
        <w:rPr>
          <w:spacing w:val="-1"/>
          <w:sz w:val="22"/>
          <w:szCs w:val="22"/>
        </w:rPr>
        <w:t xml:space="preserve"> </w:t>
      </w:r>
      <w:r w:rsidRPr="00090C3A">
        <w:rPr>
          <w:sz w:val="22"/>
          <w:szCs w:val="22"/>
        </w:rPr>
        <w:t>of</w:t>
      </w:r>
      <w:r w:rsidRPr="00090C3A">
        <w:rPr>
          <w:spacing w:val="-1"/>
          <w:sz w:val="22"/>
          <w:szCs w:val="22"/>
        </w:rPr>
        <w:t xml:space="preserve"> </w:t>
      </w:r>
      <w:r w:rsidRPr="00090C3A">
        <w:rPr>
          <w:sz w:val="22"/>
          <w:szCs w:val="22"/>
        </w:rPr>
        <w:t>the</w:t>
      </w:r>
      <w:r w:rsidRPr="00090C3A">
        <w:rPr>
          <w:spacing w:val="-1"/>
          <w:sz w:val="22"/>
          <w:szCs w:val="22"/>
        </w:rPr>
        <w:t xml:space="preserve"> </w:t>
      </w:r>
      <w:r w:rsidRPr="00090C3A">
        <w:rPr>
          <w:spacing w:val="-2"/>
          <w:sz w:val="22"/>
          <w:szCs w:val="22"/>
        </w:rPr>
        <w:t>Problem</w:t>
      </w:r>
    </w:p>
    <w:p w14:paraId="764F67DF" w14:textId="77777777" w:rsidR="00CA6DCC" w:rsidRDefault="00000000" w:rsidP="00090C3A">
      <w:pPr>
        <w:pStyle w:val="BodyText"/>
        <w:spacing w:before="71" w:after="120" w:line="276" w:lineRule="auto"/>
        <w:ind w:left="131" w:firstLine="0"/>
      </w:pPr>
      <w:r>
        <w:t>New Telecom Ltd. is transitioning from a legacy connectivity provider into an AI-driven digital services ecosystem. While cybersecurity controls are mature, privacy governance remains fragmented across business silos. The enactment of the Bangladesh Personal Data Protection Act (PDPA) converts these operational blind spots into severe statutory liabilities. The core challenge is balancing rapid AI innovation (which requires vast data lakes) with strict PDPA mandates, specifically regarding cross-border data flows, third-party</w:t>
      </w:r>
      <w:r>
        <w:rPr>
          <w:spacing w:val="-3"/>
        </w:rPr>
        <w:t xml:space="preserve"> </w:t>
      </w:r>
      <w:r>
        <w:t>AI vendor risks, and the absolute prohibition of tracking minors.</w:t>
      </w:r>
    </w:p>
    <w:p w14:paraId="5F50CBF3" w14:textId="77777777" w:rsidR="00CA6DCC" w:rsidRPr="00090C3A" w:rsidRDefault="00000000" w:rsidP="00090C3A">
      <w:pPr>
        <w:pStyle w:val="Heading2"/>
        <w:numPr>
          <w:ilvl w:val="0"/>
          <w:numId w:val="1"/>
        </w:numPr>
        <w:tabs>
          <w:tab w:val="left" w:pos="330"/>
        </w:tabs>
        <w:spacing w:before="165" w:after="120" w:line="276" w:lineRule="auto"/>
        <w:ind w:left="330" w:hanging="199"/>
        <w:rPr>
          <w:sz w:val="22"/>
          <w:szCs w:val="22"/>
        </w:rPr>
      </w:pPr>
      <w:r w:rsidRPr="00090C3A">
        <w:rPr>
          <w:sz w:val="22"/>
          <w:szCs w:val="22"/>
        </w:rPr>
        <w:t>Key</w:t>
      </w:r>
      <w:r w:rsidRPr="00090C3A">
        <w:rPr>
          <w:spacing w:val="-1"/>
          <w:sz w:val="22"/>
          <w:szCs w:val="22"/>
        </w:rPr>
        <w:t xml:space="preserve"> </w:t>
      </w:r>
      <w:r w:rsidRPr="00090C3A">
        <w:rPr>
          <w:sz w:val="22"/>
          <w:szCs w:val="22"/>
        </w:rPr>
        <w:t>Privacy</w:t>
      </w:r>
      <w:r w:rsidRPr="00090C3A">
        <w:rPr>
          <w:spacing w:val="-1"/>
          <w:sz w:val="22"/>
          <w:szCs w:val="22"/>
        </w:rPr>
        <w:t xml:space="preserve"> </w:t>
      </w:r>
      <w:r w:rsidRPr="00090C3A">
        <w:rPr>
          <w:spacing w:val="-2"/>
          <w:sz w:val="22"/>
          <w:szCs w:val="22"/>
        </w:rPr>
        <w:t>Challenges</w:t>
      </w:r>
    </w:p>
    <w:p w14:paraId="39ACFF85" w14:textId="77777777" w:rsidR="00CA6DCC" w:rsidRDefault="00000000" w:rsidP="00090C3A">
      <w:pPr>
        <w:pStyle w:val="ListParagraph"/>
        <w:numPr>
          <w:ilvl w:val="1"/>
          <w:numId w:val="2"/>
        </w:numPr>
        <w:tabs>
          <w:tab w:val="left" w:pos="431"/>
        </w:tabs>
        <w:spacing w:after="120" w:line="276" w:lineRule="auto"/>
        <w:ind w:left="540" w:right="115" w:hanging="180"/>
        <w:rPr>
          <w:sz w:val="20"/>
        </w:rPr>
      </w:pPr>
      <w:r>
        <w:rPr>
          <w:b/>
          <w:sz w:val="20"/>
        </w:rPr>
        <w:t>The</w:t>
      </w:r>
      <w:r>
        <w:rPr>
          <w:b/>
          <w:spacing w:val="-2"/>
          <w:sz w:val="20"/>
        </w:rPr>
        <w:t xml:space="preserve"> </w:t>
      </w:r>
      <w:r>
        <w:rPr>
          <w:b/>
          <w:sz w:val="20"/>
        </w:rPr>
        <w:t>"Black-Box"</w:t>
      </w:r>
      <w:r>
        <w:rPr>
          <w:b/>
          <w:spacing w:val="-2"/>
          <w:sz w:val="20"/>
        </w:rPr>
        <w:t xml:space="preserve"> </w:t>
      </w:r>
      <w:r>
        <w:rPr>
          <w:b/>
          <w:sz w:val="20"/>
        </w:rPr>
        <w:t>Erasure</w:t>
      </w:r>
      <w:r>
        <w:rPr>
          <w:b/>
          <w:spacing w:val="-2"/>
          <w:sz w:val="20"/>
        </w:rPr>
        <w:t xml:space="preserve"> </w:t>
      </w:r>
      <w:r>
        <w:rPr>
          <w:b/>
          <w:sz w:val="20"/>
        </w:rPr>
        <w:t>Problem:</w:t>
      </w:r>
      <w:r>
        <w:rPr>
          <w:b/>
          <w:spacing w:val="-2"/>
          <w:sz w:val="20"/>
        </w:rPr>
        <w:t xml:space="preserve"> </w:t>
      </w:r>
      <w:r>
        <w:rPr>
          <w:sz w:val="20"/>
        </w:rPr>
        <w:t>Complex</w:t>
      </w:r>
      <w:r>
        <w:rPr>
          <w:spacing w:val="-12"/>
          <w:sz w:val="20"/>
        </w:rPr>
        <w:t xml:space="preserve"> </w:t>
      </w:r>
      <w:r>
        <w:rPr>
          <w:sz w:val="20"/>
        </w:rPr>
        <w:t>AI</w:t>
      </w:r>
      <w:r>
        <w:rPr>
          <w:spacing w:val="-2"/>
          <w:sz w:val="20"/>
        </w:rPr>
        <w:t xml:space="preserve"> </w:t>
      </w:r>
      <w:r>
        <w:rPr>
          <w:sz w:val="20"/>
        </w:rPr>
        <w:t>models</w:t>
      </w:r>
      <w:r>
        <w:rPr>
          <w:spacing w:val="-2"/>
          <w:sz w:val="20"/>
        </w:rPr>
        <w:t xml:space="preserve"> </w:t>
      </w:r>
      <w:r>
        <w:rPr>
          <w:sz w:val="20"/>
        </w:rPr>
        <w:t>lack</w:t>
      </w:r>
      <w:r>
        <w:rPr>
          <w:spacing w:val="-2"/>
          <w:sz w:val="20"/>
        </w:rPr>
        <w:t xml:space="preserve"> </w:t>
      </w:r>
      <w:r>
        <w:rPr>
          <w:sz w:val="20"/>
        </w:rPr>
        <w:t>transparency.</w:t>
      </w:r>
      <w:r>
        <w:rPr>
          <w:spacing w:val="-2"/>
          <w:sz w:val="20"/>
        </w:rPr>
        <w:t xml:space="preserve"> </w:t>
      </w:r>
      <w:r>
        <w:rPr>
          <w:sz w:val="20"/>
        </w:rPr>
        <w:t>Crucially,</w:t>
      </w:r>
      <w:r>
        <w:rPr>
          <w:spacing w:val="-2"/>
          <w:sz w:val="20"/>
        </w:rPr>
        <w:t xml:space="preserve"> </w:t>
      </w:r>
      <w:r>
        <w:rPr>
          <w:sz w:val="20"/>
        </w:rPr>
        <w:t>statutory</w:t>
      </w:r>
      <w:r>
        <w:rPr>
          <w:spacing w:val="-2"/>
          <w:sz w:val="20"/>
        </w:rPr>
        <w:t xml:space="preserve"> </w:t>
      </w:r>
      <w:r>
        <w:rPr>
          <w:sz w:val="20"/>
        </w:rPr>
        <w:t>Right</w:t>
      </w:r>
      <w:r>
        <w:rPr>
          <w:spacing w:val="-2"/>
          <w:sz w:val="20"/>
        </w:rPr>
        <w:t xml:space="preserve"> </w:t>
      </w:r>
      <w:r>
        <w:rPr>
          <w:sz w:val="20"/>
        </w:rPr>
        <w:t>to</w:t>
      </w:r>
      <w:r>
        <w:rPr>
          <w:spacing w:val="-2"/>
          <w:sz w:val="20"/>
        </w:rPr>
        <w:t xml:space="preserve"> </w:t>
      </w:r>
      <w:r>
        <w:rPr>
          <w:sz w:val="20"/>
        </w:rPr>
        <w:t>Erasure</w:t>
      </w:r>
      <w:r>
        <w:rPr>
          <w:spacing w:val="-2"/>
          <w:sz w:val="20"/>
        </w:rPr>
        <w:t xml:space="preserve"> </w:t>
      </w:r>
      <w:r>
        <w:rPr>
          <w:sz w:val="20"/>
        </w:rPr>
        <w:t>(DSAR) requests cannot easily purge personal data embedded in trained</w:t>
      </w:r>
      <w:r>
        <w:rPr>
          <w:spacing w:val="-4"/>
          <w:sz w:val="20"/>
        </w:rPr>
        <w:t xml:space="preserve"> </w:t>
      </w:r>
      <w:r>
        <w:rPr>
          <w:sz w:val="20"/>
        </w:rPr>
        <w:t>AI weights without costly model retraining.</w:t>
      </w:r>
    </w:p>
    <w:p w14:paraId="3CD36DC7" w14:textId="77777777" w:rsidR="00CA6DCC" w:rsidRDefault="00000000" w:rsidP="00090C3A">
      <w:pPr>
        <w:pStyle w:val="ListParagraph"/>
        <w:numPr>
          <w:ilvl w:val="1"/>
          <w:numId w:val="2"/>
        </w:numPr>
        <w:tabs>
          <w:tab w:val="left" w:pos="431"/>
        </w:tabs>
        <w:spacing w:before="55" w:after="120" w:line="276" w:lineRule="auto"/>
        <w:ind w:left="540" w:right="115" w:hanging="180"/>
        <w:rPr>
          <w:sz w:val="20"/>
        </w:rPr>
      </w:pPr>
      <w:r>
        <w:rPr>
          <w:b/>
          <w:sz w:val="20"/>
        </w:rPr>
        <w:t xml:space="preserve">Children’s Privacy: </w:t>
      </w:r>
      <w:r>
        <w:rPr>
          <w:sz w:val="20"/>
        </w:rPr>
        <w:t>Shared family SIMs mask underage usage, risking the illegal tracking and profiling of minors (&lt;18)</w:t>
      </w:r>
      <w:r>
        <w:rPr>
          <w:spacing w:val="40"/>
          <w:sz w:val="20"/>
        </w:rPr>
        <w:t xml:space="preserve"> </w:t>
      </w:r>
      <w:r>
        <w:rPr>
          <w:sz w:val="20"/>
        </w:rPr>
        <w:t>by AI marketing engines.</w:t>
      </w:r>
    </w:p>
    <w:p w14:paraId="16274AAE" w14:textId="77777777" w:rsidR="00CA6DCC" w:rsidRDefault="00000000" w:rsidP="00090C3A">
      <w:pPr>
        <w:pStyle w:val="ListParagraph"/>
        <w:numPr>
          <w:ilvl w:val="1"/>
          <w:numId w:val="2"/>
        </w:numPr>
        <w:tabs>
          <w:tab w:val="left" w:pos="431"/>
        </w:tabs>
        <w:spacing w:before="51" w:after="120" w:line="276" w:lineRule="auto"/>
        <w:ind w:left="540" w:right="115" w:hanging="180"/>
        <w:rPr>
          <w:sz w:val="20"/>
        </w:rPr>
      </w:pPr>
      <w:r>
        <w:rPr>
          <w:b/>
          <w:sz w:val="20"/>
        </w:rPr>
        <w:t>Shadow AI</w:t>
      </w:r>
      <w:r>
        <w:rPr>
          <w:b/>
          <w:spacing w:val="20"/>
          <w:sz w:val="20"/>
        </w:rPr>
        <w:t xml:space="preserve"> </w:t>
      </w:r>
      <w:r>
        <w:rPr>
          <w:b/>
          <w:sz w:val="20"/>
        </w:rPr>
        <w:t>&amp; Vendor Sprawl:</w:t>
      </w:r>
      <w:r>
        <w:rPr>
          <w:b/>
          <w:spacing w:val="20"/>
          <w:sz w:val="20"/>
        </w:rPr>
        <w:t xml:space="preserve"> </w:t>
      </w:r>
      <w:r>
        <w:rPr>
          <w:sz w:val="20"/>
        </w:rPr>
        <w:t>Product</w:t>
      </w:r>
      <w:r>
        <w:rPr>
          <w:spacing w:val="20"/>
          <w:sz w:val="20"/>
        </w:rPr>
        <w:t xml:space="preserve"> </w:t>
      </w:r>
      <w:r>
        <w:rPr>
          <w:sz w:val="20"/>
        </w:rPr>
        <w:t>squads</w:t>
      </w:r>
      <w:r>
        <w:rPr>
          <w:spacing w:val="20"/>
          <w:sz w:val="20"/>
        </w:rPr>
        <w:t xml:space="preserve"> </w:t>
      </w:r>
      <w:r>
        <w:rPr>
          <w:sz w:val="20"/>
        </w:rPr>
        <w:t>leveraging</w:t>
      </w:r>
      <w:r>
        <w:rPr>
          <w:spacing w:val="20"/>
          <w:sz w:val="20"/>
        </w:rPr>
        <w:t xml:space="preserve"> </w:t>
      </w:r>
      <w:r>
        <w:rPr>
          <w:sz w:val="20"/>
        </w:rPr>
        <w:t>offshore AI APIs</w:t>
      </w:r>
      <w:r>
        <w:rPr>
          <w:spacing w:val="20"/>
          <w:sz w:val="20"/>
        </w:rPr>
        <w:t xml:space="preserve"> </w:t>
      </w:r>
      <w:r>
        <w:rPr>
          <w:sz w:val="20"/>
        </w:rPr>
        <w:t>risk</w:t>
      </w:r>
      <w:r>
        <w:rPr>
          <w:spacing w:val="20"/>
          <w:sz w:val="20"/>
        </w:rPr>
        <w:t xml:space="preserve"> </w:t>
      </w:r>
      <w:r>
        <w:rPr>
          <w:sz w:val="20"/>
        </w:rPr>
        <w:t>unauthorized</w:t>
      </w:r>
      <w:r>
        <w:rPr>
          <w:spacing w:val="20"/>
          <w:sz w:val="20"/>
        </w:rPr>
        <w:t xml:space="preserve"> </w:t>
      </w:r>
      <w:r>
        <w:rPr>
          <w:sz w:val="20"/>
        </w:rPr>
        <w:t>egress</w:t>
      </w:r>
      <w:r>
        <w:rPr>
          <w:spacing w:val="20"/>
          <w:sz w:val="20"/>
        </w:rPr>
        <w:t xml:space="preserve"> </w:t>
      </w:r>
      <w:r>
        <w:rPr>
          <w:sz w:val="20"/>
        </w:rPr>
        <w:t>of</w:t>
      </w:r>
      <w:r>
        <w:rPr>
          <w:spacing w:val="20"/>
          <w:sz w:val="20"/>
        </w:rPr>
        <w:t xml:space="preserve"> </w:t>
      </w:r>
      <w:r>
        <w:rPr>
          <w:sz w:val="20"/>
        </w:rPr>
        <w:t>subscriber</w:t>
      </w:r>
      <w:r>
        <w:rPr>
          <w:spacing w:val="20"/>
          <w:sz w:val="20"/>
        </w:rPr>
        <w:t xml:space="preserve"> </w:t>
      </w:r>
      <w:r>
        <w:rPr>
          <w:sz w:val="20"/>
        </w:rPr>
        <w:t>PII, violating data localization and third-party accountability mandates.</w:t>
      </w:r>
    </w:p>
    <w:p w14:paraId="7C68B173" w14:textId="77777777" w:rsidR="00CA6DCC" w:rsidRPr="00090C3A" w:rsidRDefault="00000000" w:rsidP="00090C3A">
      <w:pPr>
        <w:pStyle w:val="Heading2"/>
        <w:numPr>
          <w:ilvl w:val="0"/>
          <w:numId w:val="1"/>
        </w:numPr>
        <w:tabs>
          <w:tab w:val="left" w:pos="330"/>
        </w:tabs>
        <w:spacing w:before="145" w:after="120" w:line="276" w:lineRule="auto"/>
        <w:ind w:left="330" w:hanging="199"/>
        <w:jc w:val="both"/>
        <w:rPr>
          <w:sz w:val="22"/>
          <w:szCs w:val="22"/>
        </w:rPr>
      </w:pPr>
      <w:r w:rsidRPr="00090C3A">
        <w:rPr>
          <w:sz w:val="22"/>
          <w:szCs w:val="22"/>
        </w:rPr>
        <w:t>Proposed</w:t>
      </w:r>
      <w:r w:rsidRPr="00090C3A">
        <w:rPr>
          <w:spacing w:val="-13"/>
          <w:sz w:val="22"/>
          <w:szCs w:val="22"/>
        </w:rPr>
        <w:t xml:space="preserve"> </w:t>
      </w:r>
      <w:r w:rsidRPr="00090C3A">
        <w:rPr>
          <w:sz w:val="22"/>
          <w:szCs w:val="22"/>
        </w:rPr>
        <w:t>Approach:</w:t>
      </w:r>
      <w:r w:rsidRPr="00090C3A">
        <w:rPr>
          <w:spacing w:val="-12"/>
          <w:sz w:val="22"/>
          <w:szCs w:val="22"/>
        </w:rPr>
        <w:t xml:space="preserve"> </w:t>
      </w:r>
      <w:r w:rsidRPr="00090C3A">
        <w:rPr>
          <w:sz w:val="22"/>
          <w:szCs w:val="22"/>
        </w:rPr>
        <w:t>The</w:t>
      </w:r>
      <w:r w:rsidRPr="00090C3A">
        <w:rPr>
          <w:spacing w:val="-6"/>
          <w:sz w:val="22"/>
          <w:szCs w:val="22"/>
        </w:rPr>
        <w:t xml:space="preserve"> </w:t>
      </w:r>
      <w:r w:rsidRPr="00090C3A">
        <w:rPr>
          <w:sz w:val="22"/>
          <w:szCs w:val="22"/>
        </w:rPr>
        <w:t>"Trust</w:t>
      </w:r>
      <w:r w:rsidRPr="00090C3A">
        <w:rPr>
          <w:spacing w:val="-6"/>
          <w:sz w:val="22"/>
          <w:szCs w:val="22"/>
        </w:rPr>
        <w:t xml:space="preserve"> </w:t>
      </w:r>
      <w:r w:rsidRPr="00090C3A">
        <w:rPr>
          <w:sz w:val="22"/>
          <w:szCs w:val="22"/>
        </w:rPr>
        <w:t>Fabric"</w:t>
      </w:r>
      <w:r w:rsidRPr="00090C3A">
        <w:rPr>
          <w:spacing w:val="-5"/>
          <w:sz w:val="22"/>
          <w:szCs w:val="22"/>
        </w:rPr>
        <w:t xml:space="preserve"> </w:t>
      </w:r>
      <w:r w:rsidRPr="00090C3A">
        <w:rPr>
          <w:spacing w:val="-2"/>
          <w:sz w:val="22"/>
          <w:szCs w:val="22"/>
        </w:rPr>
        <w:t>Framework</w:t>
      </w:r>
    </w:p>
    <w:p w14:paraId="576C8A7A" w14:textId="77777777" w:rsidR="00CA6DCC" w:rsidRDefault="00000000" w:rsidP="00090C3A">
      <w:pPr>
        <w:pStyle w:val="BodyText"/>
        <w:spacing w:before="70" w:after="120" w:line="276" w:lineRule="auto"/>
        <w:ind w:left="131" w:firstLine="0"/>
      </w:pPr>
      <w:r>
        <w:t xml:space="preserve">We propose moving beyond reactive compliance by embedding privacy directly into the engineering pipeline and customer </w:t>
      </w:r>
      <w:r>
        <w:rPr>
          <w:spacing w:val="-2"/>
        </w:rPr>
        <w:t>experience.</w:t>
      </w:r>
    </w:p>
    <w:p w14:paraId="7A095457" w14:textId="77777777" w:rsidR="00CA6DCC" w:rsidRDefault="00000000" w:rsidP="00090C3A">
      <w:pPr>
        <w:pStyle w:val="ListParagraph"/>
        <w:numPr>
          <w:ilvl w:val="1"/>
          <w:numId w:val="2"/>
        </w:numPr>
        <w:tabs>
          <w:tab w:val="left" w:pos="431"/>
        </w:tabs>
        <w:spacing w:before="81" w:after="120" w:line="276" w:lineRule="auto"/>
        <w:ind w:left="540" w:right="115" w:hanging="180"/>
        <w:jc w:val="both"/>
        <w:rPr>
          <w:sz w:val="20"/>
        </w:rPr>
      </w:pPr>
      <w:r>
        <w:rPr>
          <w:b/>
          <w:sz w:val="20"/>
        </w:rPr>
        <w:t xml:space="preserve">The "Privacy Cockpit" (Bangla-First): </w:t>
      </w:r>
      <w:r>
        <w:rPr>
          <w:sz w:val="20"/>
        </w:rPr>
        <w:t>Launch an in-app, low-literacy-friendly dashboard where customers can view which</w:t>
      </w:r>
      <w:r>
        <w:rPr>
          <w:spacing w:val="-4"/>
          <w:sz w:val="20"/>
        </w:rPr>
        <w:t xml:space="preserve"> </w:t>
      </w:r>
      <w:r>
        <w:rPr>
          <w:sz w:val="20"/>
        </w:rPr>
        <w:t>AI systems use their data, toggle micro-consents, and execute single-click Data Subject</w:t>
      </w:r>
      <w:r>
        <w:rPr>
          <w:spacing w:val="-4"/>
          <w:sz w:val="20"/>
        </w:rPr>
        <w:t xml:space="preserve"> </w:t>
      </w:r>
      <w:r>
        <w:rPr>
          <w:sz w:val="20"/>
        </w:rPr>
        <w:t>Access Requests (DSARs).</w:t>
      </w:r>
    </w:p>
    <w:p w14:paraId="52F58EA2" w14:textId="77777777" w:rsidR="00CA6DCC" w:rsidRDefault="00000000" w:rsidP="00090C3A">
      <w:pPr>
        <w:pStyle w:val="ListParagraph"/>
        <w:numPr>
          <w:ilvl w:val="1"/>
          <w:numId w:val="2"/>
        </w:numPr>
        <w:tabs>
          <w:tab w:val="left" w:pos="431"/>
        </w:tabs>
        <w:spacing w:after="120" w:line="276" w:lineRule="auto"/>
        <w:ind w:left="540" w:right="115" w:hanging="180"/>
        <w:jc w:val="both"/>
        <w:rPr>
          <w:sz w:val="20"/>
        </w:rPr>
      </w:pPr>
      <w:r>
        <w:rPr>
          <w:b/>
          <w:sz w:val="20"/>
        </w:rPr>
        <w:t>Cryptographic</w:t>
      </w:r>
      <w:r>
        <w:rPr>
          <w:b/>
          <w:spacing w:val="-5"/>
          <w:sz w:val="20"/>
        </w:rPr>
        <w:t xml:space="preserve"> </w:t>
      </w:r>
      <w:r>
        <w:rPr>
          <w:b/>
          <w:sz w:val="20"/>
        </w:rPr>
        <w:t>Tokenization</w:t>
      </w:r>
      <w:r>
        <w:rPr>
          <w:b/>
          <w:spacing w:val="-1"/>
          <w:sz w:val="20"/>
        </w:rPr>
        <w:t xml:space="preserve"> </w:t>
      </w:r>
      <w:r>
        <w:rPr>
          <w:b/>
          <w:sz w:val="20"/>
        </w:rPr>
        <w:t>&amp;</w:t>
      </w:r>
      <w:r>
        <w:rPr>
          <w:b/>
          <w:spacing w:val="-1"/>
          <w:sz w:val="20"/>
        </w:rPr>
        <w:t xml:space="preserve"> </w:t>
      </w:r>
      <w:r>
        <w:rPr>
          <w:b/>
          <w:sz w:val="20"/>
        </w:rPr>
        <w:t>"Crypto-Erasure":</w:t>
      </w:r>
      <w:r>
        <w:rPr>
          <w:b/>
          <w:spacing w:val="-1"/>
          <w:sz w:val="20"/>
        </w:rPr>
        <w:t xml:space="preserve"> </w:t>
      </w:r>
      <w:r>
        <w:rPr>
          <w:sz w:val="20"/>
        </w:rPr>
        <w:t>Substitute</w:t>
      </w:r>
      <w:r>
        <w:rPr>
          <w:spacing w:val="-1"/>
          <w:sz w:val="20"/>
        </w:rPr>
        <w:t xml:space="preserve"> </w:t>
      </w:r>
      <w:r>
        <w:rPr>
          <w:sz w:val="20"/>
        </w:rPr>
        <w:t>raw</w:t>
      </w:r>
      <w:r>
        <w:rPr>
          <w:spacing w:val="-1"/>
          <w:sz w:val="20"/>
        </w:rPr>
        <w:t xml:space="preserve"> </w:t>
      </w:r>
      <w:r>
        <w:rPr>
          <w:sz w:val="20"/>
        </w:rPr>
        <w:t>PII</w:t>
      </w:r>
      <w:r>
        <w:rPr>
          <w:spacing w:val="-1"/>
          <w:sz w:val="20"/>
        </w:rPr>
        <w:t xml:space="preserve"> </w:t>
      </w:r>
      <w:r>
        <w:rPr>
          <w:sz w:val="20"/>
        </w:rPr>
        <w:t>with</w:t>
      </w:r>
      <w:r>
        <w:rPr>
          <w:spacing w:val="-1"/>
          <w:sz w:val="20"/>
        </w:rPr>
        <w:t xml:space="preserve"> </w:t>
      </w:r>
      <w:r>
        <w:rPr>
          <w:sz w:val="20"/>
        </w:rPr>
        <w:t>high-entropy</w:t>
      </w:r>
      <w:r>
        <w:rPr>
          <w:spacing w:val="-1"/>
          <w:sz w:val="20"/>
        </w:rPr>
        <w:t xml:space="preserve"> </w:t>
      </w:r>
      <w:r>
        <w:rPr>
          <w:sz w:val="20"/>
        </w:rPr>
        <w:t>tokens</w:t>
      </w:r>
      <w:r>
        <w:rPr>
          <w:spacing w:val="-1"/>
          <w:sz w:val="20"/>
        </w:rPr>
        <w:t xml:space="preserve"> </w:t>
      </w:r>
      <w:r>
        <w:rPr>
          <w:sz w:val="20"/>
        </w:rPr>
        <w:t>via</w:t>
      </w:r>
      <w:r>
        <w:rPr>
          <w:spacing w:val="-1"/>
          <w:sz w:val="20"/>
        </w:rPr>
        <w:t xml:space="preserve"> </w:t>
      </w:r>
      <w:r>
        <w:rPr>
          <w:sz w:val="20"/>
        </w:rPr>
        <w:t>a</w:t>
      </w:r>
      <w:r>
        <w:rPr>
          <w:spacing w:val="-1"/>
          <w:sz w:val="20"/>
        </w:rPr>
        <w:t xml:space="preserve"> </w:t>
      </w:r>
      <w:r>
        <w:rPr>
          <w:sz w:val="20"/>
        </w:rPr>
        <w:t>Hardware</w:t>
      </w:r>
      <w:r>
        <w:rPr>
          <w:spacing w:val="-1"/>
          <w:sz w:val="20"/>
        </w:rPr>
        <w:t xml:space="preserve"> </w:t>
      </w:r>
      <w:r>
        <w:rPr>
          <w:sz w:val="20"/>
        </w:rPr>
        <w:t>Security Module (HSM) before AI ingestion. If a customer exercises their Right to Erasure, the specific cryptographic key is destroyed, rendering their historical data mathematically un-linkable in the</w:t>
      </w:r>
      <w:r>
        <w:rPr>
          <w:spacing w:val="-4"/>
          <w:sz w:val="20"/>
        </w:rPr>
        <w:t xml:space="preserve"> </w:t>
      </w:r>
      <w:r>
        <w:rPr>
          <w:sz w:val="20"/>
        </w:rPr>
        <w:t>AI model without requiring a full retraining.</w:t>
      </w:r>
    </w:p>
    <w:p w14:paraId="316DAE99" w14:textId="77777777" w:rsidR="00CA6DCC" w:rsidRDefault="00000000" w:rsidP="00090C3A">
      <w:pPr>
        <w:pStyle w:val="ListParagraph"/>
        <w:numPr>
          <w:ilvl w:val="1"/>
          <w:numId w:val="2"/>
        </w:numPr>
        <w:tabs>
          <w:tab w:val="left" w:pos="431"/>
        </w:tabs>
        <w:spacing w:after="120" w:line="276" w:lineRule="auto"/>
        <w:ind w:left="540" w:right="115" w:hanging="180"/>
        <w:jc w:val="both"/>
        <w:rPr>
          <w:sz w:val="20"/>
        </w:rPr>
      </w:pPr>
      <w:r>
        <w:rPr>
          <w:b/>
          <w:sz w:val="20"/>
        </w:rPr>
        <w:t xml:space="preserve">NID-Integrated Minor Safeguard: </w:t>
      </w:r>
      <w:r>
        <w:rPr>
          <w:sz w:val="20"/>
        </w:rPr>
        <w:t>Create a deterministic lock by cross-referencing Bangladesh National ID (NID) data during onboarding. Any SIM linked to a minor is automatically routed to an air-gapped "Zero-Tracking" enclave, technically blocking their data from all behavioral AI and marketing feeds.</w:t>
      </w:r>
    </w:p>
    <w:p w14:paraId="57D003F0" w14:textId="77777777" w:rsidR="00CA6DCC" w:rsidRDefault="00000000" w:rsidP="00090C3A">
      <w:pPr>
        <w:pStyle w:val="ListParagraph"/>
        <w:numPr>
          <w:ilvl w:val="1"/>
          <w:numId w:val="2"/>
        </w:numPr>
        <w:tabs>
          <w:tab w:val="left" w:pos="431"/>
        </w:tabs>
        <w:spacing w:after="120" w:line="276" w:lineRule="auto"/>
        <w:ind w:left="540" w:right="115" w:hanging="180"/>
        <w:jc w:val="both"/>
        <w:rPr>
          <w:sz w:val="20"/>
        </w:rPr>
      </w:pPr>
      <w:r>
        <w:rPr>
          <w:b/>
          <w:sz w:val="20"/>
        </w:rPr>
        <w:t xml:space="preserve">PRISM Governance &amp; DPIA-as-Code: </w:t>
      </w:r>
      <w:r>
        <w:rPr>
          <w:sz w:val="20"/>
        </w:rPr>
        <w:t>Shift privacy "left." Enforce Data Privacy Impact Assessments (DPIAs) as automated gates in the CI/CD software pipeline; non-compliant AI models cannot be deployed. Additionally, institute a "Vendor Privacy Passport" scoring system to vet third-party</w:t>
      </w:r>
      <w:r>
        <w:rPr>
          <w:spacing w:val="-3"/>
          <w:sz w:val="20"/>
        </w:rPr>
        <w:t xml:space="preserve"> </w:t>
      </w:r>
      <w:r>
        <w:rPr>
          <w:sz w:val="20"/>
        </w:rPr>
        <w:t>AI processors before procurement.</w:t>
      </w:r>
    </w:p>
    <w:p w14:paraId="6233FEA7" w14:textId="77777777" w:rsidR="00CA6DCC" w:rsidRPr="00090C3A" w:rsidRDefault="00000000" w:rsidP="00090C3A">
      <w:pPr>
        <w:pStyle w:val="Heading2"/>
        <w:numPr>
          <w:ilvl w:val="0"/>
          <w:numId w:val="1"/>
        </w:numPr>
        <w:tabs>
          <w:tab w:val="left" w:pos="330"/>
        </w:tabs>
        <w:spacing w:after="120" w:line="276" w:lineRule="auto"/>
        <w:ind w:left="330" w:hanging="199"/>
        <w:rPr>
          <w:sz w:val="22"/>
          <w:szCs w:val="22"/>
        </w:rPr>
      </w:pPr>
      <w:r w:rsidRPr="00090C3A">
        <w:rPr>
          <w:sz w:val="22"/>
          <w:szCs w:val="22"/>
        </w:rPr>
        <w:t>Expected</w:t>
      </w:r>
      <w:r w:rsidRPr="00090C3A">
        <w:rPr>
          <w:spacing w:val="-1"/>
          <w:sz w:val="22"/>
          <w:szCs w:val="22"/>
        </w:rPr>
        <w:t xml:space="preserve"> </w:t>
      </w:r>
      <w:r w:rsidRPr="00090C3A">
        <w:rPr>
          <w:spacing w:val="-2"/>
          <w:sz w:val="22"/>
          <w:szCs w:val="22"/>
        </w:rPr>
        <w:t>Impact</w:t>
      </w:r>
    </w:p>
    <w:p w14:paraId="7FBD3F28" w14:textId="77777777" w:rsidR="00CA6DCC" w:rsidRDefault="00000000" w:rsidP="00090C3A">
      <w:pPr>
        <w:pStyle w:val="ListParagraph"/>
        <w:numPr>
          <w:ilvl w:val="1"/>
          <w:numId w:val="2"/>
        </w:numPr>
        <w:tabs>
          <w:tab w:val="left" w:pos="431"/>
        </w:tabs>
        <w:spacing w:after="120" w:line="276" w:lineRule="auto"/>
        <w:ind w:left="540" w:right="115" w:hanging="180"/>
        <w:rPr>
          <w:sz w:val="20"/>
        </w:rPr>
      </w:pPr>
      <w:r>
        <w:rPr>
          <w:b/>
          <w:sz w:val="20"/>
        </w:rPr>
        <w:t>For</w:t>
      </w:r>
      <w:r>
        <w:rPr>
          <w:b/>
          <w:spacing w:val="20"/>
          <w:sz w:val="20"/>
        </w:rPr>
        <w:t xml:space="preserve"> </w:t>
      </w:r>
      <w:r>
        <w:rPr>
          <w:b/>
          <w:sz w:val="20"/>
        </w:rPr>
        <w:t>Customers:</w:t>
      </w:r>
      <w:r>
        <w:rPr>
          <w:b/>
          <w:spacing w:val="20"/>
          <w:sz w:val="20"/>
        </w:rPr>
        <w:t xml:space="preserve"> </w:t>
      </w:r>
      <w:r>
        <w:rPr>
          <w:sz w:val="20"/>
        </w:rPr>
        <w:t>Transforms</w:t>
      </w:r>
      <w:r>
        <w:rPr>
          <w:spacing w:val="24"/>
          <w:sz w:val="20"/>
        </w:rPr>
        <w:t xml:space="preserve"> </w:t>
      </w:r>
      <w:r>
        <w:rPr>
          <w:sz w:val="20"/>
        </w:rPr>
        <w:t>privacy</w:t>
      </w:r>
      <w:r>
        <w:rPr>
          <w:spacing w:val="24"/>
          <w:sz w:val="20"/>
        </w:rPr>
        <w:t xml:space="preserve"> </w:t>
      </w:r>
      <w:r>
        <w:rPr>
          <w:sz w:val="20"/>
        </w:rPr>
        <w:t>from</w:t>
      </w:r>
      <w:r>
        <w:rPr>
          <w:spacing w:val="24"/>
          <w:sz w:val="20"/>
        </w:rPr>
        <w:t xml:space="preserve"> </w:t>
      </w:r>
      <w:r>
        <w:rPr>
          <w:sz w:val="20"/>
        </w:rPr>
        <w:t>a</w:t>
      </w:r>
      <w:r>
        <w:rPr>
          <w:spacing w:val="24"/>
          <w:sz w:val="20"/>
        </w:rPr>
        <w:t xml:space="preserve"> </w:t>
      </w:r>
      <w:r>
        <w:rPr>
          <w:sz w:val="20"/>
        </w:rPr>
        <w:t>dense</w:t>
      </w:r>
      <w:r>
        <w:rPr>
          <w:spacing w:val="24"/>
          <w:sz w:val="20"/>
        </w:rPr>
        <w:t xml:space="preserve"> </w:t>
      </w:r>
      <w:r>
        <w:rPr>
          <w:sz w:val="20"/>
        </w:rPr>
        <w:t>legal</w:t>
      </w:r>
      <w:r>
        <w:rPr>
          <w:spacing w:val="24"/>
          <w:sz w:val="20"/>
        </w:rPr>
        <w:t xml:space="preserve"> </w:t>
      </w:r>
      <w:r>
        <w:rPr>
          <w:sz w:val="20"/>
        </w:rPr>
        <w:t>policy</w:t>
      </w:r>
      <w:r>
        <w:rPr>
          <w:spacing w:val="24"/>
          <w:sz w:val="20"/>
        </w:rPr>
        <w:t xml:space="preserve"> </w:t>
      </w:r>
      <w:r>
        <w:rPr>
          <w:sz w:val="20"/>
        </w:rPr>
        <w:t>into</w:t>
      </w:r>
      <w:r>
        <w:rPr>
          <w:spacing w:val="24"/>
          <w:sz w:val="20"/>
        </w:rPr>
        <w:t xml:space="preserve"> </w:t>
      </w:r>
      <w:r>
        <w:rPr>
          <w:sz w:val="20"/>
        </w:rPr>
        <w:t>a</w:t>
      </w:r>
      <w:r>
        <w:rPr>
          <w:spacing w:val="24"/>
          <w:sz w:val="20"/>
        </w:rPr>
        <w:t xml:space="preserve"> </w:t>
      </w:r>
      <w:r>
        <w:rPr>
          <w:sz w:val="20"/>
        </w:rPr>
        <w:t>transparent,</w:t>
      </w:r>
      <w:r>
        <w:rPr>
          <w:spacing w:val="24"/>
          <w:sz w:val="20"/>
        </w:rPr>
        <w:t xml:space="preserve"> </w:t>
      </w:r>
      <w:r>
        <w:rPr>
          <w:sz w:val="20"/>
        </w:rPr>
        <w:t>self-service</w:t>
      </w:r>
      <w:r>
        <w:rPr>
          <w:spacing w:val="24"/>
          <w:sz w:val="20"/>
        </w:rPr>
        <w:t xml:space="preserve"> </w:t>
      </w:r>
      <w:r>
        <w:rPr>
          <w:sz w:val="20"/>
        </w:rPr>
        <w:t>product</w:t>
      </w:r>
      <w:r>
        <w:rPr>
          <w:spacing w:val="24"/>
          <w:sz w:val="20"/>
        </w:rPr>
        <w:t xml:space="preserve"> </w:t>
      </w:r>
      <w:r>
        <w:rPr>
          <w:sz w:val="20"/>
        </w:rPr>
        <w:t>feature,</w:t>
      </w:r>
      <w:r>
        <w:rPr>
          <w:spacing w:val="24"/>
          <w:sz w:val="20"/>
        </w:rPr>
        <w:t xml:space="preserve"> </w:t>
      </w:r>
      <w:r>
        <w:rPr>
          <w:sz w:val="20"/>
        </w:rPr>
        <w:t>building deep brand loyalty and trust.</w:t>
      </w:r>
    </w:p>
    <w:p w14:paraId="1A2CD05A" w14:textId="77777777" w:rsidR="00CA6DCC" w:rsidRDefault="00000000" w:rsidP="00090C3A">
      <w:pPr>
        <w:pStyle w:val="ListParagraph"/>
        <w:numPr>
          <w:ilvl w:val="1"/>
          <w:numId w:val="2"/>
        </w:numPr>
        <w:tabs>
          <w:tab w:val="left" w:pos="431"/>
        </w:tabs>
        <w:spacing w:before="59" w:after="120" w:line="276" w:lineRule="auto"/>
        <w:ind w:left="540" w:right="115" w:hanging="180"/>
        <w:rPr>
          <w:sz w:val="20"/>
        </w:rPr>
      </w:pPr>
      <w:r>
        <w:rPr>
          <w:b/>
          <w:sz w:val="20"/>
        </w:rPr>
        <w:t xml:space="preserve">For the Organization: </w:t>
      </w:r>
      <w:r>
        <w:rPr>
          <w:sz w:val="20"/>
        </w:rPr>
        <w:t>"Crypto-Erasure" and "DPIA-as-code" drastically reduce the operational costs of compliance. The organization achieves 100% audit-readiness, neutralizes regulatory fines, and accelerates safe</w:t>
      </w:r>
      <w:r>
        <w:rPr>
          <w:spacing w:val="-1"/>
          <w:sz w:val="20"/>
        </w:rPr>
        <w:t xml:space="preserve"> </w:t>
      </w:r>
      <w:r>
        <w:rPr>
          <w:sz w:val="20"/>
        </w:rPr>
        <w:t>AI deployment.</w:t>
      </w:r>
    </w:p>
    <w:p w14:paraId="4441D90C" w14:textId="77777777" w:rsidR="00CA6DCC" w:rsidRPr="00090C3A" w:rsidRDefault="00000000" w:rsidP="00090C3A">
      <w:pPr>
        <w:pStyle w:val="Heading2"/>
        <w:numPr>
          <w:ilvl w:val="0"/>
          <w:numId w:val="1"/>
        </w:numPr>
        <w:tabs>
          <w:tab w:val="left" w:pos="319"/>
        </w:tabs>
        <w:spacing w:after="120" w:line="276" w:lineRule="auto"/>
        <w:ind w:left="319" w:hanging="188"/>
        <w:jc w:val="both"/>
        <w:rPr>
          <w:sz w:val="22"/>
          <w:szCs w:val="22"/>
        </w:rPr>
      </w:pPr>
      <w:r w:rsidRPr="00090C3A">
        <w:rPr>
          <w:sz w:val="22"/>
          <w:szCs w:val="22"/>
        </w:rPr>
        <w:t>Applicability</w:t>
      </w:r>
      <w:r w:rsidRPr="00090C3A">
        <w:rPr>
          <w:spacing w:val="-3"/>
          <w:sz w:val="22"/>
          <w:szCs w:val="22"/>
        </w:rPr>
        <w:t xml:space="preserve"> </w:t>
      </w:r>
      <w:r w:rsidRPr="00090C3A">
        <w:rPr>
          <w:sz w:val="22"/>
          <w:szCs w:val="22"/>
        </w:rPr>
        <w:t>&amp;</w:t>
      </w:r>
      <w:r w:rsidRPr="00090C3A">
        <w:rPr>
          <w:spacing w:val="-1"/>
          <w:sz w:val="22"/>
          <w:szCs w:val="22"/>
        </w:rPr>
        <w:t xml:space="preserve"> </w:t>
      </w:r>
      <w:r w:rsidRPr="00090C3A">
        <w:rPr>
          <w:sz w:val="22"/>
          <w:szCs w:val="22"/>
        </w:rPr>
        <w:t>National</w:t>
      </w:r>
      <w:r w:rsidRPr="00090C3A">
        <w:rPr>
          <w:spacing w:val="-1"/>
          <w:sz w:val="22"/>
          <w:szCs w:val="22"/>
        </w:rPr>
        <w:t xml:space="preserve"> </w:t>
      </w:r>
      <w:r w:rsidRPr="00090C3A">
        <w:rPr>
          <w:spacing w:val="-2"/>
          <w:sz w:val="22"/>
          <w:szCs w:val="22"/>
        </w:rPr>
        <w:t>Significance</w:t>
      </w:r>
    </w:p>
    <w:p w14:paraId="2D307EB9" w14:textId="77777777" w:rsidR="00CA6DCC" w:rsidRDefault="00000000" w:rsidP="00090C3A">
      <w:pPr>
        <w:pStyle w:val="BodyText"/>
        <w:spacing w:before="70" w:after="120" w:line="276" w:lineRule="auto"/>
        <w:ind w:left="131" w:firstLine="0"/>
      </w:pPr>
      <w:r>
        <w:t xml:space="preserve">With mobile access driving Bangladesh’s digital economy, telecom operators are the nation's natural "Trust Anchors." This framework provides a benchmark for </w:t>
      </w:r>
      <w:r>
        <w:rPr>
          <w:i/>
        </w:rPr>
        <w:t>Smart Bangladesh 2041</w:t>
      </w:r>
      <w:r>
        <w:t>. By combining localized NID safeguards with a Bangla-first interface, New Telecom Ltd. proves to regulators and citizens that rapid AI innovation and constitutional data rights can advance simultaneously, setting a replicable standard for the entire region.</w:t>
      </w:r>
    </w:p>
    <w:sectPr w:rsidR="00CA6DCC">
      <w:type w:val="continuous"/>
      <w:pgSz w:w="11900" w:h="16840"/>
      <w:pgMar w:top="74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pt;height:6pt" o:bullet="t">
        <v:imagedata r:id="rId1" o:title="image1"/>
      </v:shape>
    </w:pict>
  </w:numPicBullet>
  <w:abstractNum w:abstractNumId="0" w15:restartNumberingAfterBreak="0">
    <w:nsid w:val="01C93340"/>
    <w:multiLevelType w:val="hybridMultilevel"/>
    <w:tmpl w:val="D640EE62"/>
    <w:lvl w:ilvl="0" w:tplc="BDDE8884">
      <w:start w:val="1"/>
      <w:numFmt w:val="decimal"/>
      <w:lvlText w:val="%1."/>
      <w:lvlJc w:val="left"/>
      <w:pPr>
        <w:ind w:left="331" w:hanging="200"/>
        <w:jc w:val="left"/>
      </w:pPr>
      <w:rPr>
        <w:rFonts w:ascii="Times New Roman" w:eastAsia="Times New Roman" w:hAnsi="Times New Roman" w:cs="Times New Roman" w:hint="default"/>
        <w:b/>
        <w:bCs/>
        <w:i w:val="0"/>
        <w:iCs w:val="0"/>
        <w:spacing w:val="0"/>
        <w:w w:val="100"/>
        <w:sz w:val="20"/>
        <w:szCs w:val="20"/>
        <w:lang w:val="en-US" w:eastAsia="en-US" w:bidi="ar-SA"/>
      </w:rPr>
    </w:lvl>
    <w:lvl w:ilvl="1" w:tplc="9CEA6580">
      <w:numFmt w:val="bullet"/>
      <w:lvlText w:val="&amp;"/>
      <w:lvlPicBulletId w:val="0"/>
      <w:lvlJc w:val="left"/>
      <w:pPr>
        <w:ind w:left="432" w:hanging="225"/>
      </w:pPr>
      <w:rPr>
        <w:rFonts w:ascii="Times New Roman" w:eastAsia="Times New Roman" w:hAnsi="Times New Roman" w:cs="Times New Roman" w:hint="default"/>
        <w:b w:val="0"/>
        <w:bCs w:val="0"/>
        <w:i w:val="0"/>
        <w:iCs w:val="0"/>
        <w:w w:val="100"/>
        <w:position w:val="3"/>
        <w:sz w:val="10"/>
        <w:szCs w:val="10"/>
        <w:lang w:val="en-US" w:eastAsia="en-US" w:bidi="ar-SA"/>
      </w:rPr>
    </w:lvl>
    <w:lvl w:ilvl="2" w:tplc="4D4019C8">
      <w:numFmt w:val="bullet"/>
      <w:lvlText w:val="•"/>
      <w:lvlJc w:val="left"/>
      <w:pPr>
        <w:ind w:left="1555" w:hanging="225"/>
      </w:pPr>
      <w:rPr>
        <w:rFonts w:hint="default"/>
        <w:lang w:val="en-US" w:eastAsia="en-US" w:bidi="ar-SA"/>
      </w:rPr>
    </w:lvl>
    <w:lvl w:ilvl="3" w:tplc="84B0C36E">
      <w:numFmt w:val="bullet"/>
      <w:lvlText w:val="•"/>
      <w:lvlJc w:val="left"/>
      <w:pPr>
        <w:ind w:left="2671" w:hanging="225"/>
      </w:pPr>
      <w:rPr>
        <w:rFonts w:hint="default"/>
        <w:lang w:val="en-US" w:eastAsia="en-US" w:bidi="ar-SA"/>
      </w:rPr>
    </w:lvl>
    <w:lvl w:ilvl="4" w:tplc="0B74D228">
      <w:numFmt w:val="bullet"/>
      <w:lvlText w:val="•"/>
      <w:lvlJc w:val="left"/>
      <w:pPr>
        <w:ind w:left="3787" w:hanging="225"/>
      </w:pPr>
      <w:rPr>
        <w:rFonts w:hint="default"/>
        <w:lang w:val="en-US" w:eastAsia="en-US" w:bidi="ar-SA"/>
      </w:rPr>
    </w:lvl>
    <w:lvl w:ilvl="5" w:tplc="E2686384">
      <w:numFmt w:val="bullet"/>
      <w:lvlText w:val="•"/>
      <w:lvlJc w:val="left"/>
      <w:pPr>
        <w:ind w:left="4903" w:hanging="225"/>
      </w:pPr>
      <w:rPr>
        <w:rFonts w:hint="default"/>
        <w:lang w:val="en-US" w:eastAsia="en-US" w:bidi="ar-SA"/>
      </w:rPr>
    </w:lvl>
    <w:lvl w:ilvl="6" w:tplc="2CB69566">
      <w:numFmt w:val="bullet"/>
      <w:lvlText w:val="•"/>
      <w:lvlJc w:val="left"/>
      <w:pPr>
        <w:ind w:left="6019" w:hanging="225"/>
      </w:pPr>
      <w:rPr>
        <w:rFonts w:hint="default"/>
        <w:lang w:val="en-US" w:eastAsia="en-US" w:bidi="ar-SA"/>
      </w:rPr>
    </w:lvl>
    <w:lvl w:ilvl="7" w:tplc="FD6A8B7E">
      <w:numFmt w:val="bullet"/>
      <w:lvlText w:val="•"/>
      <w:lvlJc w:val="left"/>
      <w:pPr>
        <w:ind w:left="7135" w:hanging="225"/>
      </w:pPr>
      <w:rPr>
        <w:rFonts w:hint="default"/>
        <w:lang w:val="en-US" w:eastAsia="en-US" w:bidi="ar-SA"/>
      </w:rPr>
    </w:lvl>
    <w:lvl w:ilvl="8" w:tplc="FAFA1050">
      <w:numFmt w:val="bullet"/>
      <w:lvlText w:val="•"/>
      <w:lvlJc w:val="left"/>
      <w:pPr>
        <w:ind w:left="8251" w:hanging="225"/>
      </w:pPr>
      <w:rPr>
        <w:rFonts w:hint="default"/>
        <w:lang w:val="en-US" w:eastAsia="en-US" w:bidi="ar-SA"/>
      </w:rPr>
    </w:lvl>
  </w:abstractNum>
  <w:abstractNum w:abstractNumId="1" w15:restartNumberingAfterBreak="0">
    <w:nsid w:val="28370879"/>
    <w:multiLevelType w:val="hybridMultilevel"/>
    <w:tmpl w:val="E1727888"/>
    <w:lvl w:ilvl="0" w:tplc="FFFFFFFF">
      <w:start w:val="1"/>
      <w:numFmt w:val="decimal"/>
      <w:lvlText w:val="%1."/>
      <w:lvlJc w:val="left"/>
      <w:pPr>
        <w:ind w:left="331" w:hanging="200"/>
        <w:jc w:val="left"/>
      </w:pPr>
      <w:rPr>
        <w:rFonts w:ascii="Times New Roman" w:eastAsia="Times New Roman" w:hAnsi="Times New Roman" w:cs="Times New Roman" w:hint="default"/>
        <w:b/>
        <w:bCs/>
        <w:i w:val="0"/>
        <w:iCs w:val="0"/>
        <w:spacing w:val="0"/>
        <w:w w:val="100"/>
        <w:sz w:val="20"/>
        <w:szCs w:val="20"/>
        <w:lang w:val="en-US" w:eastAsia="en-US" w:bidi="ar-SA"/>
      </w:rPr>
    </w:lvl>
    <w:lvl w:ilvl="1" w:tplc="04090001">
      <w:start w:val="1"/>
      <w:numFmt w:val="bullet"/>
      <w:lvlText w:val=""/>
      <w:lvlJc w:val="left"/>
      <w:pPr>
        <w:ind w:left="567" w:hanging="360"/>
      </w:pPr>
      <w:rPr>
        <w:rFonts w:ascii="Symbol" w:hAnsi="Symbol" w:hint="default"/>
      </w:rPr>
    </w:lvl>
    <w:lvl w:ilvl="2" w:tplc="FFFFFFFF">
      <w:numFmt w:val="bullet"/>
      <w:lvlText w:val="•"/>
      <w:lvlJc w:val="left"/>
      <w:pPr>
        <w:ind w:left="1555" w:hanging="225"/>
      </w:pPr>
      <w:rPr>
        <w:rFonts w:hint="default"/>
        <w:lang w:val="en-US" w:eastAsia="en-US" w:bidi="ar-SA"/>
      </w:rPr>
    </w:lvl>
    <w:lvl w:ilvl="3" w:tplc="FFFFFFFF">
      <w:numFmt w:val="bullet"/>
      <w:lvlText w:val="•"/>
      <w:lvlJc w:val="left"/>
      <w:pPr>
        <w:ind w:left="2671" w:hanging="225"/>
      </w:pPr>
      <w:rPr>
        <w:rFonts w:hint="default"/>
        <w:lang w:val="en-US" w:eastAsia="en-US" w:bidi="ar-SA"/>
      </w:rPr>
    </w:lvl>
    <w:lvl w:ilvl="4" w:tplc="FFFFFFFF">
      <w:numFmt w:val="bullet"/>
      <w:lvlText w:val="•"/>
      <w:lvlJc w:val="left"/>
      <w:pPr>
        <w:ind w:left="3787" w:hanging="225"/>
      </w:pPr>
      <w:rPr>
        <w:rFonts w:hint="default"/>
        <w:lang w:val="en-US" w:eastAsia="en-US" w:bidi="ar-SA"/>
      </w:rPr>
    </w:lvl>
    <w:lvl w:ilvl="5" w:tplc="FFFFFFFF">
      <w:numFmt w:val="bullet"/>
      <w:lvlText w:val="•"/>
      <w:lvlJc w:val="left"/>
      <w:pPr>
        <w:ind w:left="4903" w:hanging="225"/>
      </w:pPr>
      <w:rPr>
        <w:rFonts w:hint="default"/>
        <w:lang w:val="en-US" w:eastAsia="en-US" w:bidi="ar-SA"/>
      </w:rPr>
    </w:lvl>
    <w:lvl w:ilvl="6" w:tplc="FFFFFFFF">
      <w:numFmt w:val="bullet"/>
      <w:lvlText w:val="•"/>
      <w:lvlJc w:val="left"/>
      <w:pPr>
        <w:ind w:left="6019" w:hanging="225"/>
      </w:pPr>
      <w:rPr>
        <w:rFonts w:hint="default"/>
        <w:lang w:val="en-US" w:eastAsia="en-US" w:bidi="ar-SA"/>
      </w:rPr>
    </w:lvl>
    <w:lvl w:ilvl="7" w:tplc="FFFFFFFF">
      <w:numFmt w:val="bullet"/>
      <w:lvlText w:val="•"/>
      <w:lvlJc w:val="left"/>
      <w:pPr>
        <w:ind w:left="7135" w:hanging="225"/>
      </w:pPr>
      <w:rPr>
        <w:rFonts w:hint="default"/>
        <w:lang w:val="en-US" w:eastAsia="en-US" w:bidi="ar-SA"/>
      </w:rPr>
    </w:lvl>
    <w:lvl w:ilvl="8" w:tplc="FFFFFFFF">
      <w:numFmt w:val="bullet"/>
      <w:lvlText w:val="•"/>
      <w:lvlJc w:val="left"/>
      <w:pPr>
        <w:ind w:left="8251" w:hanging="225"/>
      </w:pPr>
      <w:rPr>
        <w:rFonts w:hint="default"/>
        <w:lang w:val="en-US" w:eastAsia="en-US" w:bidi="ar-SA"/>
      </w:rPr>
    </w:lvl>
  </w:abstractNum>
  <w:num w:numId="1" w16cid:durableId="2002851418">
    <w:abstractNumId w:val="0"/>
  </w:num>
  <w:num w:numId="2" w16cid:durableId="11305922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A6DCC"/>
    <w:rsid w:val="00090C3A"/>
    <w:rsid w:val="00486412"/>
    <w:rsid w:val="00CA6DCC"/>
    <w:rsid w:val="00CC6278"/>
    <w:rsid w:val="00DA4DAC"/>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1F2AE"/>
  <w15:docId w15:val="{5F1022FD-15B8-4F42-9974-D8A987AF4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7"/>
      <w:ind w:left="1120"/>
      <w:outlineLvl w:val="0"/>
    </w:pPr>
    <w:rPr>
      <w:b/>
      <w:bCs/>
      <w:sz w:val="24"/>
      <w:szCs w:val="24"/>
    </w:rPr>
  </w:style>
  <w:style w:type="paragraph" w:styleId="Heading2">
    <w:name w:val="heading 2"/>
    <w:basedOn w:val="Normal"/>
    <w:uiPriority w:val="9"/>
    <w:unhideWhenUsed/>
    <w:qFormat/>
    <w:pPr>
      <w:spacing w:before="160"/>
      <w:ind w:left="330" w:hanging="199"/>
      <w:jc w:val="both"/>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4"/>
      <w:ind w:left="431" w:right="119" w:hanging="225"/>
      <w:jc w:val="both"/>
    </w:pPr>
    <w:rPr>
      <w:sz w:val="20"/>
      <w:szCs w:val="20"/>
    </w:rPr>
  </w:style>
  <w:style w:type="paragraph" w:styleId="ListParagraph">
    <w:name w:val="List Paragraph"/>
    <w:basedOn w:val="Normal"/>
    <w:uiPriority w:val="1"/>
    <w:qFormat/>
    <w:pPr>
      <w:spacing w:before="74"/>
      <w:ind w:left="431" w:right="119" w:hanging="22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524</Words>
  <Characters>2987</Characters>
  <Application>Microsoft Office Word</Application>
  <DocSecurity>0</DocSecurity>
  <Lines>24</Lines>
  <Paragraphs>7</Paragraphs>
  <ScaleCrop>false</ScaleCrop>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127.0.0.1:5500/v2/ai_studio_code (1).html</dc:title>
  <cp:lastModifiedBy>Minhajul Islam</cp:lastModifiedBy>
  <cp:revision>5</cp:revision>
  <dcterms:created xsi:type="dcterms:W3CDTF">2026-09-23T21:23:00Z</dcterms:created>
  <dcterms:modified xsi:type="dcterms:W3CDTF">2026-09-23T21:43:00Z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2026-09-23T00:00:00Z</vt:filetime>
  </property>
  <property fmtid="{D5CDD505-2E9C-101B-9397-08002B2CF9AE}" pid="4" name="Creator">
    <vt:lpwstr>Mozilla/5.0 (Windows NT 10.0; Win64; x64) AppleWebKit/537.36 (KHTML, like Gecko) Chrome/153.0.0.0 Safari/537.36</vt:lpwstr>
  </property>
  <property fmtid="{D5CDD505-2E9C-101B-9397-08002B2CF9AE}" pid="5" name="LastSaved">
    <vt:filetime>2026-09-23T00:00:00Z</vt:filetime>
  </property>
  <property fmtid="{D5CDD505-2E9C-101B-9397-08002B2CF9AE}" pid="6" name="Producer">
    <vt:lpwstr>Skia/PDF m153</vt:lpwstr>
  </property>
</Properties>
</file>