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E1F23" w14:textId="77777777" w:rsidR="000F5454" w:rsidRPr="0095130C" w:rsidRDefault="00000000" w:rsidP="00E609B5">
      <w:pPr>
        <w:spacing w:after="120" w:line="276" w:lineRule="auto"/>
        <w:jc w:val="center"/>
        <w:rPr>
          <w:sz w:val="24"/>
          <w:szCs w:val="24"/>
        </w:rPr>
      </w:pPr>
      <w:r w:rsidRPr="0095130C">
        <w:rPr>
          <w:b/>
          <w:bCs/>
          <w:sz w:val="24"/>
          <w:szCs w:val="24"/>
        </w:rPr>
        <w:t xml:space="preserve">Concept Paper: </w:t>
      </w:r>
      <w:proofErr w:type="spellStart"/>
      <w:r w:rsidRPr="0095130C">
        <w:rPr>
          <w:b/>
          <w:bCs/>
          <w:sz w:val="24"/>
          <w:szCs w:val="24"/>
        </w:rPr>
        <w:t>TrustMesh</w:t>
      </w:r>
      <w:proofErr w:type="spellEnd"/>
      <w:r w:rsidRPr="0095130C">
        <w:rPr>
          <w:b/>
          <w:bCs/>
          <w:sz w:val="24"/>
          <w:szCs w:val="24"/>
        </w:rPr>
        <w:t xml:space="preserve"> — A Verifiable, Customer-Governed AI Privacy Framework</w:t>
      </w:r>
    </w:p>
    <w:p w14:paraId="762D53D5" w14:textId="77777777" w:rsidR="000F5454" w:rsidRPr="0095130C" w:rsidRDefault="00000000" w:rsidP="00E609B5">
      <w:pPr>
        <w:spacing w:after="240" w:line="276" w:lineRule="auto"/>
        <w:jc w:val="center"/>
        <w:rPr>
          <w:sz w:val="18"/>
          <w:szCs w:val="18"/>
        </w:rPr>
      </w:pPr>
      <w:r w:rsidRPr="0095130C">
        <w:rPr>
          <w:i/>
          <w:iCs/>
          <w:sz w:val="18"/>
          <w:szCs w:val="18"/>
        </w:rPr>
        <w:t>A Synthesized, Customer-Centric Model for PDPA-Aligned Responsible AI at New Telecom Ltd.</w:t>
      </w:r>
    </w:p>
    <w:p w14:paraId="43F61594" w14:textId="77777777" w:rsidR="000F5454" w:rsidRPr="0095130C" w:rsidRDefault="00000000" w:rsidP="00863DC2">
      <w:pPr>
        <w:spacing w:before="90" w:after="120" w:line="276" w:lineRule="auto"/>
        <w:jc w:val="both"/>
      </w:pPr>
      <w:r w:rsidRPr="0095130C">
        <w:rPr>
          <w:b/>
          <w:bCs/>
        </w:rPr>
        <w:t>1. Deconstruction of the Problem</w:t>
      </w:r>
    </w:p>
    <w:p w14:paraId="52A6AAB4" w14:textId="77777777" w:rsidR="000F5454" w:rsidRPr="0095130C" w:rsidRDefault="00000000" w:rsidP="00863DC2">
      <w:pPr>
        <w:spacing w:after="120" w:line="276" w:lineRule="auto"/>
        <w:jc w:val="both"/>
      </w:pPr>
      <w:r w:rsidRPr="0095130C">
        <w:t>New Telecom Ltd. pairs a mature cybersecurity baseline with fragmented privacy ownership, just as it scales AI across support, fraud, churn, marketing, network optimization, and document processing — all touching financial, location, and behavioral data. The PDPA converts prior best practice into binding duty: lawful basis, minimization, explainability, cross-border control, and an absolute ban on tracking minors. The deeper problem is structural — no live inventory of what data exists, which AI systems and vendors touch it, and who is accountable — compounded by a harder technical gap AI itself creates: a customer's erasure right is difficult to honor once their data is embedded in a trained model's weights.</w:t>
      </w:r>
    </w:p>
    <w:p w14:paraId="5EEF905C" w14:textId="77777777" w:rsidR="000F5454" w:rsidRPr="0095130C" w:rsidRDefault="00000000" w:rsidP="00863DC2">
      <w:pPr>
        <w:spacing w:before="90" w:after="120" w:line="276" w:lineRule="auto"/>
        <w:jc w:val="both"/>
      </w:pPr>
      <w:r w:rsidRPr="0095130C">
        <w:rPr>
          <w:b/>
          <w:bCs/>
        </w:rPr>
        <w:t>2. Key Privacy, Security &amp; Ethical Challenges</w:t>
      </w:r>
    </w:p>
    <w:p w14:paraId="10DFA143" w14:textId="77777777" w:rsidR="00863DC2" w:rsidRDefault="00000000" w:rsidP="00863DC2">
      <w:pPr>
        <w:pStyle w:val="ListParagraph"/>
        <w:numPr>
          <w:ilvl w:val="0"/>
          <w:numId w:val="2"/>
        </w:numPr>
        <w:spacing w:after="120" w:line="276" w:lineRule="auto"/>
        <w:ind w:left="648"/>
        <w:jc w:val="both"/>
      </w:pPr>
      <w:r w:rsidRPr="00863DC2">
        <w:rPr>
          <w:b/>
          <w:bCs/>
        </w:rPr>
        <w:t xml:space="preserve">Visibility &amp; Accountability: </w:t>
      </w:r>
      <w:r w:rsidRPr="0095130C">
        <w:t>no enterprise AI/data register; unclear lawful basis and treatment for cross-border AI-vendor transfers; no single accountable owner.</w:t>
      </w:r>
    </w:p>
    <w:p w14:paraId="3E3D395A" w14:textId="77777777" w:rsidR="00863DC2" w:rsidRDefault="00000000" w:rsidP="00863DC2">
      <w:pPr>
        <w:pStyle w:val="ListParagraph"/>
        <w:numPr>
          <w:ilvl w:val="0"/>
          <w:numId w:val="2"/>
        </w:numPr>
        <w:spacing w:after="120" w:line="276" w:lineRule="auto"/>
        <w:ind w:left="648"/>
        <w:jc w:val="both"/>
      </w:pPr>
      <w:r w:rsidRPr="00863DC2">
        <w:rPr>
          <w:b/>
          <w:bCs/>
        </w:rPr>
        <w:t xml:space="preserve">AI-Native Security: </w:t>
      </w:r>
      <w:r w:rsidRPr="0095130C">
        <w:t>prompt injection, model inversion, and training-data poisoning exposure across customer-facing GenAI and e-KYC pipelines.</w:t>
      </w:r>
    </w:p>
    <w:p w14:paraId="3BB4159C" w14:textId="77777777" w:rsidR="00863DC2" w:rsidRDefault="00000000" w:rsidP="00863DC2">
      <w:pPr>
        <w:pStyle w:val="ListParagraph"/>
        <w:numPr>
          <w:ilvl w:val="0"/>
          <w:numId w:val="2"/>
        </w:numPr>
        <w:spacing w:after="120" w:line="276" w:lineRule="auto"/>
        <w:ind w:left="648"/>
        <w:jc w:val="both"/>
      </w:pPr>
      <w:r w:rsidRPr="00863DC2">
        <w:rPr>
          <w:b/>
          <w:bCs/>
        </w:rPr>
        <w:t xml:space="preserve">Ethical &amp; Rights Gaps: </w:t>
      </w:r>
      <w:r w:rsidRPr="0095130C">
        <w:t>opaque, potentially biased automated decisions in fraud/churn/marketing models, and erasure requests that collide with data already baked into trained model weights.</w:t>
      </w:r>
    </w:p>
    <w:p w14:paraId="250131E2" w14:textId="656DADDE" w:rsidR="000F5454" w:rsidRPr="0095130C" w:rsidRDefault="00000000" w:rsidP="00863DC2">
      <w:pPr>
        <w:pStyle w:val="ListParagraph"/>
        <w:numPr>
          <w:ilvl w:val="0"/>
          <w:numId w:val="2"/>
        </w:numPr>
        <w:spacing w:after="120" w:line="276" w:lineRule="auto"/>
        <w:ind w:left="648"/>
        <w:jc w:val="both"/>
      </w:pPr>
      <w:r w:rsidRPr="00863DC2">
        <w:rPr>
          <w:b/>
          <w:bCs/>
        </w:rPr>
        <w:t xml:space="preserve">Child Protection: </w:t>
      </w:r>
      <w:r w:rsidRPr="0095130C">
        <w:t>shared family/student SIMs can mask under-18 usage, risking unlawful profiling and targeted marketing directed at minors.</w:t>
      </w:r>
    </w:p>
    <w:p w14:paraId="39E373B5" w14:textId="77777777" w:rsidR="000F5454" w:rsidRPr="0095130C" w:rsidRDefault="00000000" w:rsidP="00863DC2">
      <w:pPr>
        <w:spacing w:before="90" w:after="120" w:line="276" w:lineRule="auto"/>
        <w:jc w:val="both"/>
      </w:pPr>
      <w:r w:rsidRPr="0095130C">
        <w:rPr>
          <w:b/>
          <w:bCs/>
        </w:rPr>
        <w:t>3. Proposed Approach — "</w:t>
      </w:r>
      <w:proofErr w:type="spellStart"/>
      <w:r w:rsidRPr="0095130C">
        <w:rPr>
          <w:b/>
          <w:bCs/>
        </w:rPr>
        <w:t>TrustMesh</w:t>
      </w:r>
      <w:proofErr w:type="spellEnd"/>
      <w:r w:rsidRPr="0095130C">
        <w:rPr>
          <w:b/>
          <w:bCs/>
        </w:rPr>
        <w:t>"</w:t>
      </w:r>
    </w:p>
    <w:p w14:paraId="65DAC0F7" w14:textId="77777777" w:rsidR="000F5454" w:rsidRPr="0095130C" w:rsidRDefault="00000000" w:rsidP="00863DC2">
      <w:pPr>
        <w:spacing w:after="120" w:line="276" w:lineRule="auto"/>
        <w:jc w:val="both"/>
      </w:pPr>
      <w:r w:rsidRPr="0095130C">
        <w:t>A synthesized framework pairing a customer-facing control layer with a cryptographically enforced, engineering-embedded governance engine:</w:t>
      </w:r>
    </w:p>
    <w:p w14:paraId="1429B83F" w14:textId="1A7F9943" w:rsidR="000F5454" w:rsidRPr="0095130C" w:rsidRDefault="00000000" w:rsidP="00863DC2">
      <w:pPr>
        <w:pStyle w:val="ListParagraph"/>
        <w:numPr>
          <w:ilvl w:val="0"/>
          <w:numId w:val="5"/>
        </w:numPr>
        <w:spacing w:after="120" w:line="276" w:lineRule="auto"/>
        <w:ind w:left="648"/>
        <w:jc w:val="both"/>
      </w:pPr>
      <w:r w:rsidRPr="00863DC2">
        <w:rPr>
          <w:b/>
          <w:bCs/>
        </w:rPr>
        <w:t xml:space="preserve">Customer Privacy Cockpit: </w:t>
      </w:r>
      <w:r w:rsidRPr="0095130C">
        <w:t>an in-app hub (Bangla/English) for per-use-case consent toggles, single-click access/portability/erasure requests, and a plain-language explanation on demand for any automated decision.</w:t>
      </w:r>
    </w:p>
    <w:p w14:paraId="1F8E0DAC" w14:textId="1D10F3C1" w:rsidR="000F5454" w:rsidRPr="0095130C" w:rsidRDefault="00000000" w:rsidP="00863DC2">
      <w:pPr>
        <w:pStyle w:val="ListParagraph"/>
        <w:numPr>
          <w:ilvl w:val="0"/>
          <w:numId w:val="5"/>
        </w:numPr>
        <w:spacing w:after="120" w:line="276" w:lineRule="auto"/>
        <w:ind w:left="648"/>
        <w:jc w:val="both"/>
      </w:pPr>
      <w:r w:rsidRPr="00863DC2">
        <w:rPr>
          <w:b/>
          <w:bCs/>
        </w:rPr>
        <w:t xml:space="preserve">Cryptographic Vault &amp; Crypto-Erasure: </w:t>
      </w:r>
      <w:r w:rsidRPr="0095130C">
        <w:t>HSM-backed tokenization replaces raw PII before any AI ingestion; an erasure request destroys the customer's encryption key, rendering their data cryptographically unusable without a costly full model retrain.</w:t>
      </w:r>
    </w:p>
    <w:p w14:paraId="27AF4F96" w14:textId="6B218E5A" w:rsidR="000F5454" w:rsidRPr="0095130C" w:rsidRDefault="00000000" w:rsidP="00863DC2">
      <w:pPr>
        <w:pStyle w:val="ListParagraph"/>
        <w:numPr>
          <w:ilvl w:val="0"/>
          <w:numId w:val="5"/>
        </w:numPr>
        <w:spacing w:after="120" w:line="276" w:lineRule="auto"/>
        <w:ind w:left="648"/>
        <w:jc w:val="both"/>
      </w:pPr>
      <w:r w:rsidRPr="00863DC2">
        <w:rPr>
          <w:b/>
          <w:bCs/>
        </w:rPr>
        <w:t xml:space="preserve">NID-Verified Minor Safeguard: </w:t>
      </w:r>
      <w:r w:rsidRPr="0095130C">
        <w:t>an opt-in cross-check against Bangladesh's National ID system at onboarding auto-routes under-18 accounts into a hardcoded exclusion list, blocking them from all behavioral profiling and marketing AI.</w:t>
      </w:r>
    </w:p>
    <w:p w14:paraId="0B8CE7A4" w14:textId="3B74A4AA" w:rsidR="000F5454" w:rsidRPr="0095130C" w:rsidRDefault="00000000" w:rsidP="00863DC2">
      <w:pPr>
        <w:pStyle w:val="ListParagraph"/>
        <w:numPr>
          <w:ilvl w:val="0"/>
          <w:numId w:val="5"/>
        </w:numPr>
        <w:spacing w:after="120" w:line="276" w:lineRule="auto"/>
        <w:ind w:left="648"/>
        <w:jc w:val="both"/>
      </w:pPr>
      <w:r w:rsidRPr="00863DC2">
        <w:rPr>
          <w:b/>
          <w:bCs/>
        </w:rPr>
        <w:t xml:space="preserve">PRISM Governance Engine: </w:t>
      </w:r>
      <w:r w:rsidRPr="0095130C">
        <w:t>a live AI/data register; a DPIA required before deployment and enforced as a CI/CD gate ("DPIA-as-code"); differential privacy, synthetic data, and on-device inference as defaults; a vendor "Privacy Passport" score gating AI procurement.</w:t>
      </w:r>
    </w:p>
    <w:p w14:paraId="379F3042" w14:textId="1C4EA699" w:rsidR="000F5454" w:rsidRPr="0095130C" w:rsidRDefault="00000000" w:rsidP="00863DC2">
      <w:pPr>
        <w:pStyle w:val="ListParagraph"/>
        <w:numPr>
          <w:ilvl w:val="0"/>
          <w:numId w:val="5"/>
        </w:numPr>
        <w:spacing w:after="120" w:line="276" w:lineRule="auto"/>
        <w:ind w:left="648"/>
        <w:jc w:val="both"/>
      </w:pPr>
      <w:r w:rsidRPr="00863DC2">
        <w:rPr>
          <w:b/>
          <w:bCs/>
        </w:rPr>
        <w:t xml:space="preserve">Federated Accountability: </w:t>
      </w:r>
      <w:r w:rsidRPr="0095130C">
        <w:t>a Chief Privacy Officer with embedded Privacy Champions per business unit, and explainability obligations scaled to each decision's impact.</w:t>
      </w:r>
    </w:p>
    <w:p w14:paraId="710B17DC" w14:textId="77777777" w:rsidR="000F5454" w:rsidRPr="0095130C" w:rsidRDefault="00000000" w:rsidP="00863DC2">
      <w:pPr>
        <w:spacing w:before="90" w:after="120" w:line="276" w:lineRule="auto"/>
        <w:jc w:val="both"/>
      </w:pPr>
      <w:r w:rsidRPr="0095130C">
        <w:rPr>
          <w:b/>
          <w:bCs/>
        </w:rPr>
        <w:t>4. Expected Impact</w:t>
      </w:r>
    </w:p>
    <w:p w14:paraId="519F427D" w14:textId="77777777" w:rsidR="000F5454" w:rsidRPr="0095130C" w:rsidRDefault="00000000" w:rsidP="00863DC2">
      <w:pPr>
        <w:spacing w:after="120" w:line="276" w:lineRule="auto"/>
        <w:jc w:val="both"/>
      </w:pPr>
      <w:r w:rsidRPr="0095130C">
        <w:t>For customers: visible, self-served control over personal data; a working erasure right even for AI-trained models; explainable decisions; and concrete protection for minors. For New Telecom: audit-ready evidence (register, DPIA logs, consent ledger) for PDPA inspection; a shrunk breach "blast radius" through tokenization; faster, safer AI rollout since governance is enforced in the deployment pipeline rather than bolted on; and a differentiated position as Bangladesh's most verifiably trustworthy digital operator, tracked through live compliance dashboards.</w:t>
      </w:r>
    </w:p>
    <w:p w14:paraId="65C6A115" w14:textId="77777777" w:rsidR="000F5454" w:rsidRPr="0095130C" w:rsidRDefault="00000000" w:rsidP="00863DC2">
      <w:pPr>
        <w:spacing w:before="90" w:after="120" w:line="276" w:lineRule="auto"/>
        <w:jc w:val="both"/>
      </w:pPr>
      <w:r w:rsidRPr="0095130C">
        <w:rPr>
          <w:b/>
          <w:bCs/>
        </w:rPr>
        <w:t>5. Applicability to Bangladesh</w:t>
      </w:r>
    </w:p>
    <w:p w14:paraId="101E7D25" w14:textId="77777777" w:rsidR="000F5454" w:rsidRPr="0095130C" w:rsidRDefault="00000000" w:rsidP="00863DC2">
      <w:pPr>
        <w:spacing w:after="120" w:line="276" w:lineRule="auto"/>
        <w:jc w:val="both"/>
      </w:pPr>
      <w:r w:rsidRPr="0095130C">
        <w:t>In a mobile-first economy where the PDPA is newly enacted with limited enforcement precedent, telecoms are natural trust anchors for the wider digital ecosystem, as fintech and other regulated sectors increasingly depend on telecom-linked identity and data. Reusing existing national infrastructure (NID) for age assurance keeps the solution practical and locally grounded rather than imported, while DPIA-as-code and crypto-erasure give regulators a concrete, auditable reference model — directly answering the case's own observation that some areas still need regulatory clarification.</w:t>
      </w:r>
    </w:p>
    <w:sectPr w:rsidR="000F5454" w:rsidRPr="0095130C">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17BD"/>
    <w:multiLevelType w:val="hybridMultilevel"/>
    <w:tmpl w:val="CE505D28"/>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 w15:restartNumberingAfterBreak="0">
    <w:nsid w:val="22EB4C5A"/>
    <w:multiLevelType w:val="hybridMultilevel"/>
    <w:tmpl w:val="2E0023C8"/>
    <w:lvl w:ilvl="0" w:tplc="1A3CD6E4">
      <w:start w:val="1"/>
      <w:numFmt w:val="bullet"/>
      <w:lvlText w:val="●"/>
      <w:lvlJc w:val="left"/>
      <w:pPr>
        <w:ind w:left="720" w:hanging="360"/>
      </w:pPr>
    </w:lvl>
    <w:lvl w:ilvl="1" w:tplc="9202FAB6">
      <w:start w:val="1"/>
      <w:numFmt w:val="bullet"/>
      <w:lvlText w:val="○"/>
      <w:lvlJc w:val="left"/>
      <w:pPr>
        <w:ind w:left="1440" w:hanging="360"/>
      </w:pPr>
    </w:lvl>
    <w:lvl w:ilvl="2" w:tplc="BFC47984">
      <w:start w:val="1"/>
      <w:numFmt w:val="bullet"/>
      <w:lvlText w:val="■"/>
      <w:lvlJc w:val="left"/>
      <w:pPr>
        <w:ind w:left="2160" w:hanging="360"/>
      </w:pPr>
    </w:lvl>
    <w:lvl w:ilvl="3" w:tplc="6374F6A2">
      <w:start w:val="1"/>
      <w:numFmt w:val="bullet"/>
      <w:lvlText w:val="●"/>
      <w:lvlJc w:val="left"/>
      <w:pPr>
        <w:ind w:left="2880" w:hanging="360"/>
      </w:pPr>
    </w:lvl>
    <w:lvl w:ilvl="4" w:tplc="4F5CD2E8">
      <w:start w:val="1"/>
      <w:numFmt w:val="bullet"/>
      <w:lvlText w:val="○"/>
      <w:lvlJc w:val="left"/>
      <w:pPr>
        <w:ind w:left="3600" w:hanging="360"/>
      </w:pPr>
    </w:lvl>
    <w:lvl w:ilvl="5" w:tplc="B204BE4A">
      <w:start w:val="1"/>
      <w:numFmt w:val="bullet"/>
      <w:lvlText w:val="■"/>
      <w:lvlJc w:val="left"/>
      <w:pPr>
        <w:ind w:left="4320" w:hanging="360"/>
      </w:pPr>
    </w:lvl>
    <w:lvl w:ilvl="6" w:tplc="904E6A58">
      <w:start w:val="1"/>
      <w:numFmt w:val="bullet"/>
      <w:lvlText w:val="●"/>
      <w:lvlJc w:val="left"/>
      <w:pPr>
        <w:ind w:left="5040" w:hanging="360"/>
      </w:pPr>
    </w:lvl>
    <w:lvl w:ilvl="7" w:tplc="0D1EA8CE">
      <w:start w:val="1"/>
      <w:numFmt w:val="bullet"/>
      <w:lvlText w:val="●"/>
      <w:lvlJc w:val="left"/>
      <w:pPr>
        <w:ind w:left="5760" w:hanging="360"/>
      </w:pPr>
    </w:lvl>
    <w:lvl w:ilvl="8" w:tplc="561AA708">
      <w:start w:val="1"/>
      <w:numFmt w:val="bullet"/>
      <w:lvlText w:val="●"/>
      <w:lvlJc w:val="left"/>
      <w:pPr>
        <w:ind w:left="6480" w:hanging="360"/>
      </w:pPr>
    </w:lvl>
  </w:abstractNum>
  <w:abstractNum w:abstractNumId="2" w15:restartNumberingAfterBreak="0">
    <w:nsid w:val="373D5910"/>
    <w:multiLevelType w:val="hybridMultilevel"/>
    <w:tmpl w:val="0D2A74A8"/>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3" w15:restartNumberingAfterBreak="0">
    <w:nsid w:val="67A324FD"/>
    <w:multiLevelType w:val="hybridMultilevel"/>
    <w:tmpl w:val="359E7978"/>
    <w:lvl w:ilvl="0" w:tplc="B33EC020">
      <w:numFmt w:val="bullet"/>
      <w:lvlText w:val="-"/>
      <w:lvlJc w:val="left"/>
      <w:pPr>
        <w:ind w:left="430" w:hanging="360"/>
      </w:pPr>
      <w:rPr>
        <w:rFonts w:ascii="Times New Roman" w:eastAsia="Times New Roman" w:hAnsi="Times New Roman" w:cs="Times New Roman"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4" w15:restartNumberingAfterBreak="0">
    <w:nsid w:val="71423002"/>
    <w:multiLevelType w:val="hybridMultilevel"/>
    <w:tmpl w:val="D65E8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216821">
    <w:abstractNumId w:val="1"/>
    <w:lvlOverride w:ilvl="0">
      <w:startOverride w:val="1"/>
    </w:lvlOverride>
  </w:num>
  <w:num w:numId="2" w16cid:durableId="535238022">
    <w:abstractNumId w:val="4"/>
  </w:num>
  <w:num w:numId="3" w16cid:durableId="271282117">
    <w:abstractNumId w:val="2"/>
  </w:num>
  <w:num w:numId="4" w16cid:durableId="123814788">
    <w:abstractNumId w:val="3"/>
  </w:num>
  <w:num w:numId="5" w16cid:durableId="6032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454"/>
    <w:rsid w:val="000F5454"/>
    <w:rsid w:val="0060724C"/>
    <w:rsid w:val="00863DC2"/>
    <w:rsid w:val="0095130C"/>
    <w:rsid w:val="00E609B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986BA"/>
  <w15:docId w15:val="{4C8F076B-2807-4FAA-B8C6-5C8B50B7C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611</Words>
  <Characters>3488</Characters>
  <Application>Microsoft Office Word</Application>
  <DocSecurity>0</DocSecurity>
  <Lines>29</Lines>
  <Paragraphs>8</Paragraphs>
  <ScaleCrop>false</ScaleCrop>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Minhajul Islam</cp:lastModifiedBy>
  <cp:revision>4</cp:revision>
  <dcterms:created xsi:type="dcterms:W3CDTF">2026-09-23T20:40:00Z</dcterms:created>
  <dcterms:modified xsi:type="dcterms:W3CDTF">2026-09-23T21:37:00Z</dcterms:modified>
</cp:coreProperties>
</file>