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41ED" w14:textId="77777777" w:rsidR="00CC51BD" w:rsidRPr="00623BE8" w:rsidRDefault="00000000" w:rsidP="007311FF">
      <w:pPr>
        <w:spacing w:after="120"/>
        <w:jc w:val="center"/>
        <w:rPr>
          <w:color w:val="000000" w:themeColor="text1"/>
          <w:sz w:val="24"/>
          <w:szCs w:val="24"/>
        </w:rPr>
      </w:pPr>
      <w:r w:rsidRPr="00623BE8">
        <w:rPr>
          <w:rFonts w:ascii="Times New Roman" w:hAnsi="Times New Roman"/>
          <w:b/>
          <w:color w:val="000000" w:themeColor="text1"/>
          <w:sz w:val="24"/>
          <w:szCs w:val="24"/>
        </w:rPr>
        <w:t>THE TRUST MESH: A SOVEREIGN, CUSTOMER-CENTRIC PRIVACY ARCHITECTURE</w:t>
      </w:r>
    </w:p>
    <w:p w14:paraId="6B56D2B3" w14:textId="0C9EFBB1" w:rsidR="00CC51BD" w:rsidRPr="007311FF" w:rsidRDefault="00000000" w:rsidP="007311FF">
      <w:pPr>
        <w:spacing w:before="120" w:after="120"/>
        <w:jc w:val="center"/>
        <w:rPr>
          <w:sz w:val="18"/>
          <w:szCs w:val="18"/>
        </w:rPr>
      </w:pPr>
      <w:r w:rsidRPr="007311FF">
        <w:rPr>
          <w:rFonts w:ascii="Times New Roman" w:hAnsi="Times New Roman"/>
          <w:i/>
          <w:color w:val="646464"/>
          <w:sz w:val="18"/>
          <w:szCs w:val="18"/>
        </w:rPr>
        <w:t>Concept Paper | Personal Data Protection Act (PDPA) Alignment | New Telecom Ltd.</w:t>
      </w:r>
    </w:p>
    <w:p w14:paraId="7CDE004E" w14:textId="77777777" w:rsidR="00CC51BD" w:rsidRPr="00623BE8" w:rsidRDefault="00000000" w:rsidP="00B06BA6">
      <w:pPr>
        <w:spacing w:before="240" w:after="120"/>
        <w:jc w:val="both"/>
        <w:rPr>
          <w:color w:val="000000" w:themeColor="text1"/>
        </w:rPr>
      </w:pPr>
      <w:r w:rsidRPr="00623BE8">
        <w:rPr>
          <w:rFonts w:ascii="Times New Roman" w:hAnsi="Times New Roman"/>
          <w:b/>
          <w:color w:val="000000" w:themeColor="text1"/>
        </w:rPr>
        <w:t>1. Deconstruction of the Problem</w:t>
      </w:r>
    </w:p>
    <w:p w14:paraId="6BBEA419" w14:textId="77777777" w:rsidR="00CC51BD" w:rsidRPr="00623BE8" w:rsidRDefault="00000000" w:rsidP="00B06BA6">
      <w:pPr>
        <w:spacing w:after="120"/>
        <w:ind w:left="288"/>
        <w:jc w:val="both"/>
        <w:rPr>
          <w:color w:val="000000" w:themeColor="text1"/>
          <w:sz w:val="20"/>
          <w:szCs w:val="20"/>
        </w:rPr>
      </w:pPr>
      <w:r w:rsidRPr="00623BE8">
        <w:rPr>
          <w:rFonts w:ascii="Times New Roman" w:hAnsi="Times New Roman"/>
          <w:color w:val="000000" w:themeColor="text1"/>
          <w:sz w:val="20"/>
          <w:szCs w:val="20"/>
        </w:rPr>
        <w:t>New Telecom Ltd. is transforming from a traditional network carrier into an AI-driven digital platform across six strategic workloads: GenAI customer care, automated fraud detection, churn prediction, recommendation engines, network optimization, and e-KYC processing. While perimeter cybersecurity (Zero Trust, DLP, encryption) is mature, privacy governance remains fragmented across business units, cloud instances, and external AI vendors. Personal data flows through unmapped data lakes, AI systems consume sensitive metadata without dynamic lineage, and customer payloads risk unauthorized cross-border egress. The enactment of the Bangladesh Personal Data Protection Act (PDPA) transforms these visibility gaps into statutory liabilities, requiring an integrated, auditable, and engineering-led privacy operating model.</w:t>
      </w:r>
    </w:p>
    <w:p w14:paraId="0BAA455A" w14:textId="77777777" w:rsidR="00CC51BD" w:rsidRPr="00623BE8" w:rsidRDefault="00000000" w:rsidP="00B06BA6">
      <w:pPr>
        <w:spacing w:before="240" w:after="120"/>
        <w:jc w:val="both"/>
        <w:rPr>
          <w:color w:val="000000" w:themeColor="text1"/>
        </w:rPr>
      </w:pPr>
      <w:r w:rsidRPr="00623BE8">
        <w:rPr>
          <w:rFonts w:ascii="Times New Roman" w:hAnsi="Times New Roman"/>
          <w:b/>
          <w:color w:val="000000" w:themeColor="text1"/>
        </w:rPr>
        <w:t>2. Key Privacy, Security &amp; Ethical Challenges</w:t>
      </w:r>
    </w:p>
    <w:p w14:paraId="1E334153"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Child Profiling &amp; Tracking Prohibition: </w:t>
      </w:r>
      <w:r w:rsidRPr="00623BE8">
        <w:rPr>
          <w:rFonts w:ascii="Times New Roman" w:hAnsi="Times New Roman"/>
          <w:color w:val="000000" w:themeColor="text1"/>
          <w:sz w:val="20"/>
          <w:szCs w:val="20"/>
        </w:rPr>
        <w:t>Shared family and student SIMs mask underage users; unmitigated AI engines risk unlawfully tracking, profiling, and directing commercial offers at minors (&lt;18), violating explicit PDPA prohibitions.</w:t>
      </w:r>
    </w:p>
    <w:p w14:paraId="2F5DC666"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Shadow AI &amp; Data Sovereignty Egress: </w:t>
      </w:r>
      <w:r w:rsidRPr="00623BE8">
        <w:rPr>
          <w:rFonts w:ascii="Times New Roman" w:hAnsi="Times New Roman"/>
          <w:color w:val="000000" w:themeColor="text1"/>
          <w:sz w:val="20"/>
          <w:szCs w:val="20"/>
        </w:rPr>
        <w:t>Product squads utilize unsanctioned public cloud LLMs, causing unauthorized transfer of subscriber PII across borders and breaching statutory data localization requirements.</w:t>
      </w:r>
    </w:p>
    <w:p w14:paraId="3B910834"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Black-Box AI &amp; The DSAR-Unlearning Conflict: </w:t>
      </w:r>
      <w:r w:rsidRPr="00623BE8">
        <w:rPr>
          <w:rFonts w:ascii="Times New Roman" w:hAnsi="Times New Roman"/>
          <w:color w:val="000000" w:themeColor="text1"/>
          <w:sz w:val="20"/>
          <w:szCs w:val="20"/>
        </w:rPr>
        <w:t>Complex fraud and churn models lack algorithmic explainability. Crucially, statutory Right to Erasure requests cannot purge personal data embedded in trained weights without complete model retraining.</w:t>
      </w:r>
    </w:p>
    <w:p w14:paraId="45F481DD"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Adversarial Vulnerabilities &amp; Vendor Sprawl: </w:t>
      </w:r>
      <w:r w:rsidRPr="00623BE8">
        <w:rPr>
          <w:rFonts w:ascii="Times New Roman" w:hAnsi="Times New Roman"/>
          <w:color w:val="000000" w:themeColor="text1"/>
          <w:sz w:val="20"/>
          <w:szCs w:val="20"/>
        </w:rPr>
        <w:t>Customer care bots and e-KYC OCR enclaves are vulnerable to prompt injection, training data poisoning, and model inversion, amplified by unvetted third-party AI supply chains.</w:t>
      </w:r>
    </w:p>
    <w:p w14:paraId="5026E65B" w14:textId="77777777" w:rsidR="00CC51BD" w:rsidRPr="00623BE8" w:rsidRDefault="00000000" w:rsidP="00B06BA6">
      <w:pPr>
        <w:spacing w:before="240" w:after="120"/>
        <w:jc w:val="both"/>
        <w:rPr>
          <w:color w:val="000000" w:themeColor="text1"/>
        </w:rPr>
      </w:pPr>
      <w:r w:rsidRPr="00623BE8">
        <w:rPr>
          <w:rFonts w:ascii="Times New Roman" w:hAnsi="Times New Roman"/>
          <w:b/>
          <w:color w:val="000000" w:themeColor="text1"/>
        </w:rPr>
        <w:t>3. Proposed Approach: The 'Trust Mesh' Architecture</w:t>
      </w:r>
    </w:p>
    <w:p w14:paraId="7F60208C"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Omnichannel 'Trust Cockpit': </w:t>
      </w:r>
      <w:r w:rsidRPr="00623BE8">
        <w:rPr>
          <w:rFonts w:ascii="Times New Roman" w:hAnsi="Times New Roman"/>
          <w:color w:val="000000" w:themeColor="text1"/>
          <w:sz w:val="20"/>
          <w:szCs w:val="20"/>
        </w:rPr>
        <w:t>Deploy an interactive, plain-language (Bangla/English) privacy center accessible via the MyTelecom app and a dedicated *121# USSD menu for rural feature-phone users. Subscribers can review AI data access, toggle micro-consents, and execute automated DSAR access, export, or erasure.</w:t>
      </w:r>
    </w:p>
    <w:p w14:paraId="25CDA5DA"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Cryptographic Tokenization &amp; 'Crypto-Erasure': </w:t>
      </w:r>
      <w:r w:rsidRPr="00623BE8">
        <w:rPr>
          <w:rFonts w:ascii="Times New Roman" w:hAnsi="Times New Roman"/>
          <w:color w:val="000000" w:themeColor="text1"/>
          <w:sz w:val="20"/>
          <w:szCs w:val="20"/>
        </w:rPr>
        <w:t>Isolate raw PII in an HSM-backed vault that issues high-entropy synthetic tokens to AI feature stores. Destroying a subscriber's key mathematically decouples historical model weights without requiring multi-million-dollar retraining.</w:t>
      </w:r>
    </w:p>
    <w:p w14:paraId="5D6073EF"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Dual-Filter Minor Safeguard Engine: </w:t>
      </w:r>
      <w:r w:rsidRPr="00623BE8">
        <w:rPr>
          <w:rFonts w:ascii="Times New Roman" w:hAnsi="Times New Roman"/>
          <w:color w:val="000000" w:themeColor="text1"/>
          <w:sz w:val="20"/>
          <w:szCs w:val="20"/>
        </w:rPr>
        <w:t>Combine BTRC biometric KYC records with privacy-preserving usage heuristics to detect and tag suspected minor profiles on shared family SIMs, systematically disconnecting them from all profiling and ad pipelines.</w:t>
      </w:r>
    </w:p>
    <w:p w14:paraId="584C8C90"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PRISM Governance &amp; 'DPIA-as-Code': </w:t>
      </w:r>
      <w:r w:rsidRPr="00623BE8">
        <w:rPr>
          <w:rFonts w:ascii="Times New Roman" w:hAnsi="Times New Roman"/>
          <w:color w:val="000000" w:themeColor="text1"/>
          <w:sz w:val="20"/>
          <w:szCs w:val="20"/>
        </w:rPr>
        <w:t>Embed automated privacy unit tests into CI/CD pipelines to block models failing explainability (SHAP/LIME) or minimization checks. Require third-party AI vendors to hold a certified 'Privacy Passport' ensuring data residency and zero secondary model training.</w:t>
      </w:r>
    </w:p>
    <w:p w14:paraId="0BB94A01" w14:textId="77777777" w:rsidR="00CC51BD" w:rsidRPr="00623BE8" w:rsidRDefault="00000000" w:rsidP="00B06BA6">
      <w:pPr>
        <w:spacing w:before="240" w:after="120"/>
        <w:jc w:val="both"/>
        <w:rPr>
          <w:color w:val="000000" w:themeColor="text1"/>
        </w:rPr>
      </w:pPr>
      <w:r w:rsidRPr="00623BE8">
        <w:rPr>
          <w:rFonts w:ascii="Times New Roman" w:hAnsi="Times New Roman"/>
          <w:b/>
          <w:color w:val="000000" w:themeColor="text1"/>
        </w:rPr>
        <w:t>4. Expected Impact (Customers &amp; Organization)</w:t>
      </w:r>
    </w:p>
    <w:p w14:paraId="5E58CC19"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For Customers: </w:t>
      </w:r>
      <w:r w:rsidRPr="00623BE8">
        <w:rPr>
          <w:rFonts w:ascii="Times New Roman" w:hAnsi="Times New Roman"/>
          <w:color w:val="000000" w:themeColor="text1"/>
          <w:sz w:val="20"/>
          <w:szCs w:val="20"/>
        </w:rPr>
        <w:t>Universal privacy access regardless of literacy or device type, complete protection for minors against predatory profiling, transparent AI interactions, and human-in-the-loop review for automated service restrictions.</w:t>
      </w:r>
    </w:p>
    <w:p w14:paraId="0F9ABCB8" w14:textId="77777777" w:rsidR="00CC51BD" w:rsidRPr="00623BE8" w:rsidRDefault="00000000" w:rsidP="00B06BA6">
      <w:pPr>
        <w:pStyle w:val="ListBullet"/>
        <w:tabs>
          <w:tab w:val="clear" w:pos="360"/>
          <w:tab w:val="left" w:pos="630"/>
          <w:tab w:val="num" w:pos="1080"/>
        </w:tabs>
        <w:spacing w:after="120"/>
        <w:ind w:left="630"/>
        <w:jc w:val="both"/>
        <w:rPr>
          <w:color w:val="000000" w:themeColor="text1"/>
          <w:sz w:val="20"/>
          <w:szCs w:val="20"/>
        </w:rPr>
      </w:pPr>
      <w:r w:rsidRPr="00623BE8">
        <w:rPr>
          <w:rFonts w:ascii="Times New Roman" w:hAnsi="Times New Roman"/>
          <w:b/>
          <w:color w:val="000000" w:themeColor="text1"/>
          <w:sz w:val="20"/>
          <w:szCs w:val="20"/>
        </w:rPr>
        <w:t xml:space="preserve">For New Telecom Ltd.: </w:t>
      </w:r>
      <w:r w:rsidRPr="00623BE8">
        <w:rPr>
          <w:rFonts w:ascii="Times New Roman" w:hAnsi="Times New Roman"/>
          <w:color w:val="000000" w:themeColor="text1"/>
          <w:sz w:val="20"/>
          <w:szCs w:val="20"/>
        </w:rPr>
        <w:t>Total audit readiness under the PDPA, elimination of multi-crore Taka fine exposures, accelerated AI time-to-market via automated CI/CD gating, and market leadership as 'Bangladesh’s Most Trusted Digital Network.'</w:t>
      </w:r>
    </w:p>
    <w:p w14:paraId="3E4685F5" w14:textId="77777777" w:rsidR="00CC51BD" w:rsidRPr="00623BE8" w:rsidRDefault="00000000" w:rsidP="00B06BA6">
      <w:pPr>
        <w:spacing w:before="240" w:after="120"/>
        <w:jc w:val="both"/>
        <w:rPr>
          <w:color w:val="000000" w:themeColor="text1"/>
        </w:rPr>
      </w:pPr>
      <w:r w:rsidRPr="00623BE8">
        <w:rPr>
          <w:rFonts w:ascii="Times New Roman" w:hAnsi="Times New Roman"/>
          <w:b/>
          <w:color w:val="000000" w:themeColor="text1"/>
        </w:rPr>
        <w:t>5. Applicability &amp; National Significance (Bangladesh)</w:t>
      </w:r>
    </w:p>
    <w:p w14:paraId="328DDACD" w14:textId="77777777" w:rsidR="00CC51BD" w:rsidRPr="00623BE8" w:rsidRDefault="00000000" w:rsidP="00B06BA6">
      <w:pPr>
        <w:spacing w:after="120"/>
        <w:ind w:left="288"/>
        <w:jc w:val="both"/>
        <w:rPr>
          <w:color w:val="000000" w:themeColor="text1"/>
          <w:sz w:val="20"/>
          <w:szCs w:val="20"/>
        </w:rPr>
      </w:pPr>
      <w:r w:rsidRPr="00623BE8">
        <w:rPr>
          <w:rFonts w:ascii="Times New Roman" w:hAnsi="Times New Roman"/>
          <w:color w:val="000000" w:themeColor="text1"/>
          <w:sz w:val="20"/>
          <w:szCs w:val="20"/>
        </w:rPr>
        <w:t>As a Critical Information Infrastructure (CII) connecting 180M+ biometric SIMs and powering Mobile Financial Services (bKash/Nagad), New Telecom Ltd. provides a reference architecture for Smart Bangladesh 2041. By operationalizing low-literacy-friendly transparency, sovereign on-premises LLMs, and automated child protection, this framework demonstrates that enterprise AI adoption can advance alongside constitutional data rights and national security priorities.</w:t>
      </w:r>
    </w:p>
    <w:sectPr w:rsidR="00CC51BD" w:rsidRPr="00623BE8" w:rsidSect="00623BE8">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019314">
    <w:abstractNumId w:val="8"/>
  </w:num>
  <w:num w:numId="2" w16cid:durableId="1667778553">
    <w:abstractNumId w:val="6"/>
  </w:num>
  <w:num w:numId="3" w16cid:durableId="1444611843">
    <w:abstractNumId w:val="5"/>
  </w:num>
  <w:num w:numId="4" w16cid:durableId="1402826181">
    <w:abstractNumId w:val="4"/>
  </w:num>
  <w:num w:numId="5" w16cid:durableId="998381897">
    <w:abstractNumId w:val="7"/>
  </w:num>
  <w:num w:numId="6" w16cid:durableId="1013260185">
    <w:abstractNumId w:val="3"/>
  </w:num>
  <w:num w:numId="7" w16cid:durableId="1975331336">
    <w:abstractNumId w:val="2"/>
  </w:num>
  <w:num w:numId="8" w16cid:durableId="692540003">
    <w:abstractNumId w:val="1"/>
  </w:num>
  <w:num w:numId="9" w16cid:durableId="175134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3BE8"/>
    <w:rsid w:val="0068120E"/>
    <w:rsid w:val="007311FF"/>
    <w:rsid w:val="00AA1D8D"/>
    <w:rsid w:val="00B06BA6"/>
    <w:rsid w:val="00B47730"/>
    <w:rsid w:val="00CB0664"/>
    <w:rsid w:val="00CC51BD"/>
    <w:rsid w:val="00E013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F8835B"/>
  <w14:defaultImageDpi w14:val="300"/>
  <w15:docId w15:val="{3F7CAB51-9EA6-49D3-B2BE-1B2EFB424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625</Words>
  <Characters>3569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Minhajul Islam</cp:lastModifiedBy>
  <cp:revision>3</cp:revision>
  <dcterms:created xsi:type="dcterms:W3CDTF">2013-12-23T23:15:00Z</dcterms:created>
  <dcterms:modified xsi:type="dcterms:W3CDTF">2026-09-23T21:38:00Z</dcterms:modified>
  <cp:category/>
</cp:coreProperties>
</file>