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8632E" w14:textId="77777777" w:rsidR="0041029C" w:rsidRPr="00AC7D63" w:rsidRDefault="00000000" w:rsidP="00AC7D63">
      <w:pPr>
        <w:spacing w:after="120" w:line="276" w:lineRule="auto"/>
        <w:jc w:val="center"/>
        <w:rPr>
          <w:sz w:val="24"/>
          <w:szCs w:val="24"/>
        </w:rPr>
      </w:pPr>
      <w:r w:rsidRPr="00AC7D63">
        <w:rPr>
          <w:b/>
          <w:bCs/>
          <w:sz w:val="24"/>
          <w:szCs w:val="24"/>
        </w:rPr>
        <w:t xml:space="preserve">Concept Paper: </w:t>
      </w:r>
      <w:proofErr w:type="spellStart"/>
      <w:r w:rsidRPr="00AC7D63">
        <w:rPr>
          <w:b/>
          <w:bCs/>
          <w:sz w:val="24"/>
          <w:szCs w:val="24"/>
        </w:rPr>
        <w:t>OmniTrust</w:t>
      </w:r>
      <w:proofErr w:type="spellEnd"/>
      <w:r w:rsidRPr="00AC7D63">
        <w:rPr>
          <w:b/>
          <w:bCs/>
          <w:sz w:val="24"/>
          <w:szCs w:val="24"/>
        </w:rPr>
        <w:t xml:space="preserve"> Fabric — A Unified, Real-Time AI Privacy Architecture</w:t>
      </w:r>
    </w:p>
    <w:p w14:paraId="6D81BBB1" w14:textId="77777777" w:rsidR="0041029C" w:rsidRPr="00AC7D63" w:rsidRDefault="00000000" w:rsidP="00AC7D63">
      <w:pPr>
        <w:spacing w:after="240" w:line="276" w:lineRule="auto"/>
        <w:jc w:val="center"/>
        <w:rPr>
          <w:sz w:val="18"/>
          <w:szCs w:val="18"/>
        </w:rPr>
      </w:pPr>
      <w:r w:rsidRPr="00AC7D63">
        <w:rPr>
          <w:i/>
          <w:iCs/>
          <w:sz w:val="18"/>
          <w:szCs w:val="18"/>
        </w:rPr>
        <w:t>Transparent, Risk-tiered, User-controlled, Secure, Traceable — PDPA-Aligned Responsible AI for New Telecom Ltd.</w:t>
      </w:r>
    </w:p>
    <w:p w14:paraId="250A694B" w14:textId="77777777" w:rsidR="0041029C" w:rsidRPr="00AC7D63" w:rsidRDefault="00000000" w:rsidP="00AC7D63">
      <w:pPr>
        <w:spacing w:before="80" w:after="120" w:line="276" w:lineRule="auto"/>
      </w:pPr>
      <w:r w:rsidRPr="00AC7D63">
        <w:rPr>
          <w:b/>
          <w:bCs/>
        </w:rPr>
        <w:t>1. Deconstruction of the Problem</w:t>
      </w:r>
    </w:p>
    <w:p w14:paraId="1B761C9E" w14:textId="77777777" w:rsidR="0041029C" w:rsidRPr="00AC7D63" w:rsidRDefault="00000000" w:rsidP="00AC7D63">
      <w:pPr>
        <w:spacing w:after="120" w:line="276" w:lineRule="auto"/>
      </w:pPr>
      <w:r w:rsidRPr="00AC7D63">
        <w:t>New Telecom Ltd. pairs a mature cybersecurity foundation (Privacy-by-Design, Zero Trust, encryption, DLP) with fragmented privacy ownership, just as it scales six AI use cases touching financial, location, profile, and behavioral data. The PDPA converts prior best practice into binding duty: lawful basis, minimization, explainability, cross-border control, and an absolute ban on tracking minors. Every management question raised in the case traces to one root gap — no live, end-to-end source of truth linking data, purpose, AI access, vendor, location, and accountability — compounded by a harder technical problem AI itself creates: a customer's erasure right is difficult to honor once their data is embedded in a trained model's weights.</w:t>
      </w:r>
    </w:p>
    <w:p w14:paraId="1D349FFC" w14:textId="77777777" w:rsidR="0041029C" w:rsidRPr="00AC7D63" w:rsidRDefault="00000000" w:rsidP="00AC7D63">
      <w:pPr>
        <w:spacing w:before="80" w:after="120" w:line="276" w:lineRule="auto"/>
      </w:pPr>
      <w:r w:rsidRPr="00AC7D63">
        <w:rPr>
          <w:b/>
          <w:bCs/>
        </w:rPr>
        <w:t>2. Key Privacy, Security &amp; Ethical Challenges</w:t>
      </w:r>
    </w:p>
    <w:p w14:paraId="06EA3E13" w14:textId="33BF4D68" w:rsidR="0041029C" w:rsidRPr="00AC7D63" w:rsidRDefault="00000000" w:rsidP="00AC7D63">
      <w:pPr>
        <w:pStyle w:val="ListParagraph"/>
        <w:numPr>
          <w:ilvl w:val="0"/>
          <w:numId w:val="5"/>
        </w:numPr>
        <w:spacing w:after="120" w:line="276" w:lineRule="auto"/>
      </w:pPr>
      <w:r w:rsidRPr="00AC7D63">
        <w:rPr>
          <w:b/>
          <w:bCs/>
        </w:rPr>
        <w:t xml:space="preserve">Visibility &amp; Accountability: </w:t>
      </w:r>
      <w:r w:rsidRPr="00AC7D63">
        <w:t>no live AI/data register; unclear lawful basis and treatment for cross-border AI-vendor transfers; no single accountable owner.</w:t>
      </w:r>
    </w:p>
    <w:p w14:paraId="635C02DE" w14:textId="6DF22A3A" w:rsidR="0041029C" w:rsidRPr="00AC7D63" w:rsidRDefault="00000000" w:rsidP="00AC7D63">
      <w:pPr>
        <w:pStyle w:val="ListParagraph"/>
        <w:numPr>
          <w:ilvl w:val="0"/>
          <w:numId w:val="5"/>
        </w:numPr>
        <w:spacing w:after="120" w:line="276" w:lineRule="auto"/>
      </w:pPr>
      <w:r w:rsidRPr="00AC7D63">
        <w:rPr>
          <w:b/>
          <w:bCs/>
        </w:rPr>
        <w:t xml:space="preserve">AI-Native Security: </w:t>
      </w:r>
      <w:r w:rsidRPr="00AC7D63">
        <w:t>prompt injection, model inversion, and training-data poisoning exposure across customer-facing GenAI and e-KYC pipelines.</w:t>
      </w:r>
    </w:p>
    <w:p w14:paraId="5BE6DFAE" w14:textId="408BA122" w:rsidR="0041029C" w:rsidRPr="00AC7D63" w:rsidRDefault="00000000" w:rsidP="00AC7D63">
      <w:pPr>
        <w:pStyle w:val="ListParagraph"/>
        <w:numPr>
          <w:ilvl w:val="0"/>
          <w:numId w:val="5"/>
        </w:numPr>
        <w:spacing w:after="120" w:line="276" w:lineRule="auto"/>
      </w:pPr>
      <w:r w:rsidRPr="00AC7D63">
        <w:rPr>
          <w:b/>
          <w:bCs/>
        </w:rPr>
        <w:t xml:space="preserve">Ethical &amp; Rights Gaps: </w:t>
      </w:r>
      <w:r w:rsidRPr="00AC7D63">
        <w:t>opaque, potentially biased automated decisions in fraud/churn/marketing models, and erasure requests that collide with data already baked into trained model weights.</w:t>
      </w:r>
    </w:p>
    <w:p w14:paraId="431FF8AB" w14:textId="1165674F" w:rsidR="0041029C" w:rsidRPr="00AC7D63" w:rsidRDefault="00000000" w:rsidP="00AC7D63">
      <w:pPr>
        <w:pStyle w:val="ListParagraph"/>
        <w:numPr>
          <w:ilvl w:val="0"/>
          <w:numId w:val="5"/>
        </w:numPr>
        <w:spacing w:after="120" w:line="276" w:lineRule="auto"/>
      </w:pPr>
      <w:r w:rsidRPr="00AC7D63">
        <w:rPr>
          <w:b/>
          <w:bCs/>
        </w:rPr>
        <w:t xml:space="preserve">Child Protection: </w:t>
      </w:r>
      <w:r w:rsidRPr="00AC7D63">
        <w:t>shared family/student SIMs can mask under-18 usage, risking unlawful profiling and targeted marketing directed at minors.</w:t>
      </w:r>
    </w:p>
    <w:p w14:paraId="3C938586" w14:textId="77777777" w:rsidR="0041029C" w:rsidRPr="00AC7D63" w:rsidRDefault="00000000" w:rsidP="00AC7D63">
      <w:pPr>
        <w:spacing w:before="80" w:after="120" w:line="276" w:lineRule="auto"/>
      </w:pPr>
      <w:r w:rsidRPr="00AC7D63">
        <w:rPr>
          <w:b/>
          <w:bCs/>
        </w:rPr>
        <w:t>3. Proposed Approach — the "</w:t>
      </w:r>
      <w:proofErr w:type="spellStart"/>
      <w:r w:rsidRPr="00AC7D63">
        <w:rPr>
          <w:b/>
          <w:bCs/>
        </w:rPr>
        <w:t>OmniTrust</w:t>
      </w:r>
      <w:proofErr w:type="spellEnd"/>
      <w:r w:rsidRPr="00AC7D63">
        <w:rPr>
          <w:b/>
          <w:bCs/>
        </w:rPr>
        <w:t xml:space="preserve"> Fabric"</w:t>
      </w:r>
    </w:p>
    <w:p w14:paraId="02763183" w14:textId="77777777" w:rsidR="0041029C" w:rsidRPr="00AC7D63" w:rsidRDefault="00000000" w:rsidP="00AC7D63">
      <w:pPr>
        <w:spacing w:after="120" w:line="276" w:lineRule="auto"/>
      </w:pPr>
      <w:r w:rsidRPr="00AC7D63">
        <w:t>A three-layer architecture makes privacy both a product feature customers can see and a live control engineering can enforce:</w:t>
      </w:r>
    </w:p>
    <w:p w14:paraId="0B561B2D" w14:textId="12A5EC94" w:rsidR="0041029C" w:rsidRPr="00AC7D63" w:rsidRDefault="00000000" w:rsidP="00AC7D63">
      <w:pPr>
        <w:pStyle w:val="ListParagraph"/>
        <w:numPr>
          <w:ilvl w:val="0"/>
          <w:numId w:val="9"/>
        </w:numPr>
        <w:spacing w:after="120" w:line="276" w:lineRule="auto"/>
      </w:pPr>
      <w:r w:rsidRPr="00AC7D63">
        <w:rPr>
          <w:b/>
          <w:bCs/>
        </w:rPr>
        <w:t xml:space="preserve">Omnichannel Privacy Cockpit: </w:t>
      </w:r>
      <w:r w:rsidRPr="00AC7D63">
        <w:t>an in-app hub plus a *121# USSD menu (Bangla/English, works on feature phones) for per-use-case consent toggles, single-click access/portability/erasure requests, a tamper-evident consent ledger, and plain-language explanations or human review on demand.</w:t>
      </w:r>
    </w:p>
    <w:p w14:paraId="015D43C1" w14:textId="2425C171" w:rsidR="0041029C" w:rsidRPr="00AC7D63" w:rsidRDefault="00000000" w:rsidP="00AC7D63">
      <w:pPr>
        <w:pStyle w:val="ListParagraph"/>
        <w:numPr>
          <w:ilvl w:val="0"/>
          <w:numId w:val="9"/>
        </w:numPr>
        <w:spacing w:after="120" w:line="276" w:lineRule="auto"/>
      </w:pPr>
      <w:r w:rsidRPr="00AC7D63">
        <w:rPr>
          <w:b/>
          <w:bCs/>
        </w:rPr>
        <w:t xml:space="preserve">Real-Time Privacy Decision Engine: </w:t>
      </w:r>
      <w:r w:rsidRPr="00AC7D63">
        <w:t>every AI data request is checked live against approved purpose, minimum-necessary data, sensitivity, age signal, destination, and vendor terms, and returns ALLOW, MASK, or BLOCK before any data reaches a model.</w:t>
      </w:r>
    </w:p>
    <w:p w14:paraId="71FCE245" w14:textId="0884EFF5" w:rsidR="0041029C" w:rsidRPr="00AC7D63" w:rsidRDefault="00000000" w:rsidP="00AC7D63">
      <w:pPr>
        <w:pStyle w:val="ListParagraph"/>
        <w:numPr>
          <w:ilvl w:val="0"/>
          <w:numId w:val="9"/>
        </w:numPr>
        <w:spacing w:after="120" w:line="276" w:lineRule="auto"/>
      </w:pPr>
      <w:r w:rsidRPr="00AC7D63">
        <w:rPr>
          <w:b/>
          <w:bCs/>
        </w:rPr>
        <w:t xml:space="preserve">Cryptographic Vault &amp; Crypto-Erasure: </w:t>
      </w:r>
      <w:r w:rsidRPr="00AC7D63">
        <w:t>HSM-backed tokenization replaces raw PII before AI ingestion; an erasure request destroys the customer's encryption key, rendering their data cryptographically unusable without a full model retrain.</w:t>
      </w:r>
    </w:p>
    <w:p w14:paraId="0D817798" w14:textId="7E10193F" w:rsidR="0041029C" w:rsidRPr="00AC7D63" w:rsidRDefault="00000000" w:rsidP="00AC7D63">
      <w:pPr>
        <w:pStyle w:val="ListParagraph"/>
        <w:numPr>
          <w:ilvl w:val="0"/>
          <w:numId w:val="9"/>
        </w:numPr>
        <w:spacing w:after="120" w:line="276" w:lineRule="auto"/>
      </w:pPr>
      <w:r w:rsidRPr="00AC7D63">
        <w:rPr>
          <w:b/>
          <w:bCs/>
        </w:rPr>
        <w:t xml:space="preserve">NID-Verified Minor Safeguard: </w:t>
      </w:r>
      <w:r w:rsidRPr="00AC7D63">
        <w:t>an opt-in cross-check against Bangladesh's National ID system flags under-18 accounts so the Decision Engine defaults to BLOCK on all profiling and marketing AI — the same conservative default applies whenever age is uncertain.</w:t>
      </w:r>
    </w:p>
    <w:p w14:paraId="3AD5CA60" w14:textId="359628B9" w:rsidR="0041029C" w:rsidRPr="00AC7D63" w:rsidRDefault="00000000" w:rsidP="00AC7D63">
      <w:pPr>
        <w:pStyle w:val="ListParagraph"/>
        <w:numPr>
          <w:ilvl w:val="0"/>
          <w:numId w:val="9"/>
        </w:numPr>
        <w:spacing w:after="120" w:line="276" w:lineRule="auto"/>
      </w:pPr>
      <w:r w:rsidRPr="00AC7D63">
        <w:rPr>
          <w:b/>
          <w:bCs/>
        </w:rPr>
        <w:t xml:space="preserve">PRISM Governance Engine: </w:t>
      </w:r>
      <w:r w:rsidRPr="00AC7D63">
        <w:t>a live AI/data register; DPIA required before deployment and enforced as a CI/CD gate ("DPIA-as-code"); differential privacy, synthetic data, and on-device inference as defaults; a vendor "Privacy Passport" score gating AI procurement — owned by a Chief Privacy Officer with embedded Privacy Champions per business unit.</w:t>
      </w:r>
    </w:p>
    <w:p w14:paraId="36C19BA5" w14:textId="77777777" w:rsidR="0041029C" w:rsidRPr="00AC7D63" w:rsidRDefault="00000000" w:rsidP="00AC7D63">
      <w:pPr>
        <w:spacing w:before="80" w:after="120" w:line="276" w:lineRule="auto"/>
      </w:pPr>
      <w:r w:rsidRPr="00AC7D63">
        <w:rPr>
          <w:b/>
          <w:bCs/>
        </w:rPr>
        <w:t>4. Expected Impact</w:t>
      </w:r>
    </w:p>
    <w:p w14:paraId="3C7CC975" w14:textId="77777777" w:rsidR="0041029C" w:rsidRPr="00AC7D63" w:rsidRDefault="00000000" w:rsidP="00AC7D63">
      <w:pPr>
        <w:spacing w:after="120" w:line="276" w:lineRule="auto"/>
      </w:pPr>
      <w:r w:rsidRPr="00AC7D63">
        <w:t>For customers: visible, self-served control on any device — smartphone or feature phone — a working erasure right even for AI-trained models, explainable decisions, and concrete protection for minors. For New Telecom: audit-ready evidence (register, DPIA logs, consent ledger) for PDPA inspection; a shrunk breach footprint through tokenization; and faster, safer AI rollout because governance is enforced inside the deployment pipeline rather than bolted on. A phased rollout — governance and inventory (0–3 months), Decision Engine and vendor controls (3–6), cockpit and continuous monitoring (6–12) — lets the model scale sustainably as AI use grows.</w:t>
      </w:r>
    </w:p>
    <w:p w14:paraId="1A49500B" w14:textId="77777777" w:rsidR="0041029C" w:rsidRPr="00AC7D63" w:rsidRDefault="00000000" w:rsidP="00AC7D63">
      <w:pPr>
        <w:spacing w:before="80" w:after="120" w:line="276" w:lineRule="auto"/>
      </w:pPr>
      <w:r w:rsidRPr="00AC7D63">
        <w:rPr>
          <w:b/>
          <w:bCs/>
        </w:rPr>
        <w:t>5. Applicability to Bangladesh</w:t>
      </w:r>
    </w:p>
    <w:p w14:paraId="099074DD" w14:textId="77777777" w:rsidR="0041029C" w:rsidRPr="00AC7D63" w:rsidRDefault="00000000" w:rsidP="00AC7D63">
      <w:pPr>
        <w:spacing w:after="120" w:line="276" w:lineRule="auto"/>
      </w:pPr>
      <w:r w:rsidRPr="00AC7D63">
        <w:t>In a mobile-first economy where the PDPA is newly enacted with limited enforcement precedent, telecoms are natural trust anchors for the wider digital ecosystem, as fintech, health-tech, and e-commerce increasingly depend on telecom-linked identity and data. Reusing national infrastructure (NID, USSD) keeps the solution practical and inclusive of rural and feature-phone users rather than smartphone-only. The Decision Engine and DPIA-as-code give regulators a concrete, auditable reference model — directly answering the case's own observation that some areas still need regulatory clarification.</w:t>
      </w:r>
    </w:p>
    <w:sectPr w:rsidR="0041029C" w:rsidRPr="00AC7D63">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6B3C"/>
    <w:multiLevelType w:val="hybridMultilevel"/>
    <w:tmpl w:val="DF04243C"/>
    <w:lvl w:ilvl="0" w:tplc="5A387FD6">
      <w:start w:val="1"/>
      <w:numFmt w:val="bullet"/>
      <w:lvlText w:val="●"/>
      <w:lvlJc w:val="left"/>
      <w:pPr>
        <w:ind w:left="720" w:hanging="360"/>
      </w:pPr>
    </w:lvl>
    <w:lvl w:ilvl="1" w:tplc="CA8E64FC">
      <w:start w:val="1"/>
      <w:numFmt w:val="bullet"/>
      <w:lvlText w:val="○"/>
      <w:lvlJc w:val="left"/>
      <w:pPr>
        <w:ind w:left="1440" w:hanging="360"/>
      </w:pPr>
    </w:lvl>
    <w:lvl w:ilvl="2" w:tplc="6FD6C402">
      <w:start w:val="1"/>
      <w:numFmt w:val="bullet"/>
      <w:lvlText w:val="■"/>
      <w:lvlJc w:val="left"/>
      <w:pPr>
        <w:ind w:left="2160" w:hanging="360"/>
      </w:pPr>
    </w:lvl>
    <w:lvl w:ilvl="3" w:tplc="2878C620">
      <w:start w:val="1"/>
      <w:numFmt w:val="bullet"/>
      <w:lvlText w:val="●"/>
      <w:lvlJc w:val="left"/>
      <w:pPr>
        <w:ind w:left="2880" w:hanging="360"/>
      </w:pPr>
    </w:lvl>
    <w:lvl w:ilvl="4" w:tplc="63344AF6">
      <w:start w:val="1"/>
      <w:numFmt w:val="bullet"/>
      <w:lvlText w:val="○"/>
      <w:lvlJc w:val="left"/>
      <w:pPr>
        <w:ind w:left="3600" w:hanging="360"/>
      </w:pPr>
    </w:lvl>
    <w:lvl w:ilvl="5" w:tplc="46C2E3C0">
      <w:start w:val="1"/>
      <w:numFmt w:val="bullet"/>
      <w:lvlText w:val="■"/>
      <w:lvlJc w:val="left"/>
      <w:pPr>
        <w:ind w:left="4320" w:hanging="360"/>
      </w:pPr>
    </w:lvl>
    <w:lvl w:ilvl="6" w:tplc="EEC49132">
      <w:start w:val="1"/>
      <w:numFmt w:val="bullet"/>
      <w:lvlText w:val="●"/>
      <w:lvlJc w:val="left"/>
      <w:pPr>
        <w:ind w:left="5040" w:hanging="360"/>
      </w:pPr>
    </w:lvl>
    <w:lvl w:ilvl="7" w:tplc="C804E652">
      <w:start w:val="1"/>
      <w:numFmt w:val="bullet"/>
      <w:lvlText w:val="●"/>
      <w:lvlJc w:val="left"/>
      <w:pPr>
        <w:ind w:left="5760" w:hanging="360"/>
      </w:pPr>
    </w:lvl>
    <w:lvl w:ilvl="8" w:tplc="8726472C">
      <w:start w:val="1"/>
      <w:numFmt w:val="bullet"/>
      <w:lvlText w:val="●"/>
      <w:lvlJc w:val="left"/>
      <w:pPr>
        <w:ind w:left="6480" w:hanging="360"/>
      </w:pPr>
    </w:lvl>
  </w:abstractNum>
  <w:abstractNum w:abstractNumId="1" w15:restartNumberingAfterBreak="0">
    <w:nsid w:val="0EF21B92"/>
    <w:multiLevelType w:val="hybridMultilevel"/>
    <w:tmpl w:val="48401DEE"/>
    <w:lvl w:ilvl="0" w:tplc="04090001">
      <w:start w:val="1"/>
      <w:numFmt w:val="bullet"/>
      <w:lvlText w:val=""/>
      <w:lvlJc w:val="left"/>
      <w:pPr>
        <w:ind w:left="500" w:hanging="360"/>
      </w:pPr>
      <w:rPr>
        <w:rFonts w:ascii="Symbol" w:hAnsi="Symbol" w:hint="default"/>
      </w:rPr>
    </w:lvl>
    <w:lvl w:ilvl="1" w:tplc="FFFFFFFF" w:tentative="1">
      <w:start w:val="1"/>
      <w:numFmt w:val="bullet"/>
      <w:lvlText w:val="o"/>
      <w:lvlJc w:val="left"/>
      <w:pPr>
        <w:ind w:left="1510" w:hanging="360"/>
      </w:pPr>
      <w:rPr>
        <w:rFonts w:ascii="Courier New" w:hAnsi="Courier New" w:cs="Courier New" w:hint="default"/>
      </w:rPr>
    </w:lvl>
    <w:lvl w:ilvl="2" w:tplc="FFFFFFFF" w:tentative="1">
      <w:start w:val="1"/>
      <w:numFmt w:val="bullet"/>
      <w:lvlText w:val=""/>
      <w:lvlJc w:val="left"/>
      <w:pPr>
        <w:ind w:left="2230" w:hanging="360"/>
      </w:pPr>
      <w:rPr>
        <w:rFonts w:ascii="Wingdings" w:hAnsi="Wingdings" w:hint="default"/>
      </w:rPr>
    </w:lvl>
    <w:lvl w:ilvl="3" w:tplc="FFFFFFFF" w:tentative="1">
      <w:start w:val="1"/>
      <w:numFmt w:val="bullet"/>
      <w:lvlText w:val=""/>
      <w:lvlJc w:val="left"/>
      <w:pPr>
        <w:ind w:left="2950" w:hanging="360"/>
      </w:pPr>
      <w:rPr>
        <w:rFonts w:ascii="Symbol" w:hAnsi="Symbol" w:hint="default"/>
      </w:rPr>
    </w:lvl>
    <w:lvl w:ilvl="4" w:tplc="FFFFFFFF" w:tentative="1">
      <w:start w:val="1"/>
      <w:numFmt w:val="bullet"/>
      <w:lvlText w:val="o"/>
      <w:lvlJc w:val="left"/>
      <w:pPr>
        <w:ind w:left="3670" w:hanging="360"/>
      </w:pPr>
      <w:rPr>
        <w:rFonts w:ascii="Courier New" w:hAnsi="Courier New" w:cs="Courier New" w:hint="default"/>
      </w:rPr>
    </w:lvl>
    <w:lvl w:ilvl="5" w:tplc="FFFFFFFF" w:tentative="1">
      <w:start w:val="1"/>
      <w:numFmt w:val="bullet"/>
      <w:lvlText w:val=""/>
      <w:lvlJc w:val="left"/>
      <w:pPr>
        <w:ind w:left="4390" w:hanging="360"/>
      </w:pPr>
      <w:rPr>
        <w:rFonts w:ascii="Wingdings" w:hAnsi="Wingdings" w:hint="default"/>
      </w:rPr>
    </w:lvl>
    <w:lvl w:ilvl="6" w:tplc="FFFFFFFF" w:tentative="1">
      <w:start w:val="1"/>
      <w:numFmt w:val="bullet"/>
      <w:lvlText w:val=""/>
      <w:lvlJc w:val="left"/>
      <w:pPr>
        <w:ind w:left="5110" w:hanging="360"/>
      </w:pPr>
      <w:rPr>
        <w:rFonts w:ascii="Symbol" w:hAnsi="Symbol" w:hint="default"/>
      </w:rPr>
    </w:lvl>
    <w:lvl w:ilvl="7" w:tplc="FFFFFFFF" w:tentative="1">
      <w:start w:val="1"/>
      <w:numFmt w:val="bullet"/>
      <w:lvlText w:val="o"/>
      <w:lvlJc w:val="left"/>
      <w:pPr>
        <w:ind w:left="5830" w:hanging="360"/>
      </w:pPr>
      <w:rPr>
        <w:rFonts w:ascii="Courier New" w:hAnsi="Courier New" w:cs="Courier New" w:hint="default"/>
      </w:rPr>
    </w:lvl>
    <w:lvl w:ilvl="8" w:tplc="FFFFFFFF" w:tentative="1">
      <w:start w:val="1"/>
      <w:numFmt w:val="bullet"/>
      <w:lvlText w:val=""/>
      <w:lvlJc w:val="left"/>
      <w:pPr>
        <w:ind w:left="6550" w:hanging="360"/>
      </w:pPr>
      <w:rPr>
        <w:rFonts w:ascii="Wingdings" w:hAnsi="Wingdings" w:hint="default"/>
      </w:rPr>
    </w:lvl>
  </w:abstractNum>
  <w:abstractNum w:abstractNumId="2" w15:restartNumberingAfterBreak="0">
    <w:nsid w:val="1027533C"/>
    <w:multiLevelType w:val="hybridMultilevel"/>
    <w:tmpl w:val="E45E6E4C"/>
    <w:lvl w:ilvl="0" w:tplc="53CC5082">
      <w:numFmt w:val="bullet"/>
      <w:lvlText w:val="-"/>
      <w:lvlJc w:val="left"/>
      <w:pPr>
        <w:ind w:left="500" w:hanging="360"/>
      </w:pPr>
      <w:rPr>
        <w:rFonts w:ascii="Times New Roman" w:eastAsia="Times New Roman" w:hAnsi="Times New Roman" w:cs="Times New Roman"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3" w15:restartNumberingAfterBreak="0">
    <w:nsid w:val="558C292E"/>
    <w:multiLevelType w:val="hybridMultilevel"/>
    <w:tmpl w:val="F24AA90E"/>
    <w:lvl w:ilvl="0" w:tplc="53CC5082">
      <w:numFmt w:val="bullet"/>
      <w:lvlText w:val="-"/>
      <w:lvlJc w:val="left"/>
      <w:pPr>
        <w:ind w:left="500" w:hanging="360"/>
      </w:pPr>
      <w:rPr>
        <w:rFonts w:ascii="Times New Roman" w:eastAsia="Times New Roman" w:hAnsi="Times New Roman" w:cs="Times New Roman"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4" w15:restartNumberingAfterBreak="0">
    <w:nsid w:val="5C852E6B"/>
    <w:multiLevelType w:val="hybridMultilevel"/>
    <w:tmpl w:val="11122104"/>
    <w:lvl w:ilvl="0" w:tplc="53CC5082">
      <w:numFmt w:val="bullet"/>
      <w:lvlText w:val="-"/>
      <w:lvlJc w:val="left"/>
      <w:pPr>
        <w:ind w:left="430" w:hanging="360"/>
      </w:pPr>
      <w:rPr>
        <w:rFonts w:ascii="Times New Roman" w:eastAsia="Times New Roman" w:hAnsi="Times New Roman" w:cs="Times New Roman"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5" w15:restartNumberingAfterBreak="0">
    <w:nsid w:val="5CCE1F90"/>
    <w:multiLevelType w:val="hybridMultilevel"/>
    <w:tmpl w:val="38628D1C"/>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6" w15:restartNumberingAfterBreak="0">
    <w:nsid w:val="6375449C"/>
    <w:multiLevelType w:val="hybridMultilevel"/>
    <w:tmpl w:val="092C3E3A"/>
    <w:lvl w:ilvl="0" w:tplc="04090001">
      <w:start w:val="1"/>
      <w:numFmt w:val="bullet"/>
      <w:lvlText w:val=""/>
      <w:lvlJc w:val="left"/>
      <w:pPr>
        <w:ind w:left="500" w:hanging="360"/>
      </w:pPr>
      <w:rPr>
        <w:rFonts w:ascii="Symbol" w:hAnsi="Symbol" w:hint="default"/>
      </w:rPr>
    </w:lvl>
    <w:lvl w:ilvl="1" w:tplc="FFFFFFFF" w:tentative="1">
      <w:start w:val="1"/>
      <w:numFmt w:val="bullet"/>
      <w:lvlText w:val="o"/>
      <w:lvlJc w:val="left"/>
      <w:pPr>
        <w:ind w:left="1510" w:hanging="360"/>
      </w:pPr>
      <w:rPr>
        <w:rFonts w:ascii="Courier New" w:hAnsi="Courier New" w:cs="Courier New" w:hint="default"/>
      </w:rPr>
    </w:lvl>
    <w:lvl w:ilvl="2" w:tplc="FFFFFFFF" w:tentative="1">
      <w:start w:val="1"/>
      <w:numFmt w:val="bullet"/>
      <w:lvlText w:val=""/>
      <w:lvlJc w:val="left"/>
      <w:pPr>
        <w:ind w:left="2230" w:hanging="360"/>
      </w:pPr>
      <w:rPr>
        <w:rFonts w:ascii="Wingdings" w:hAnsi="Wingdings" w:hint="default"/>
      </w:rPr>
    </w:lvl>
    <w:lvl w:ilvl="3" w:tplc="FFFFFFFF" w:tentative="1">
      <w:start w:val="1"/>
      <w:numFmt w:val="bullet"/>
      <w:lvlText w:val=""/>
      <w:lvlJc w:val="left"/>
      <w:pPr>
        <w:ind w:left="2950" w:hanging="360"/>
      </w:pPr>
      <w:rPr>
        <w:rFonts w:ascii="Symbol" w:hAnsi="Symbol" w:hint="default"/>
      </w:rPr>
    </w:lvl>
    <w:lvl w:ilvl="4" w:tplc="FFFFFFFF" w:tentative="1">
      <w:start w:val="1"/>
      <w:numFmt w:val="bullet"/>
      <w:lvlText w:val="o"/>
      <w:lvlJc w:val="left"/>
      <w:pPr>
        <w:ind w:left="3670" w:hanging="360"/>
      </w:pPr>
      <w:rPr>
        <w:rFonts w:ascii="Courier New" w:hAnsi="Courier New" w:cs="Courier New" w:hint="default"/>
      </w:rPr>
    </w:lvl>
    <w:lvl w:ilvl="5" w:tplc="FFFFFFFF" w:tentative="1">
      <w:start w:val="1"/>
      <w:numFmt w:val="bullet"/>
      <w:lvlText w:val=""/>
      <w:lvlJc w:val="left"/>
      <w:pPr>
        <w:ind w:left="4390" w:hanging="360"/>
      </w:pPr>
      <w:rPr>
        <w:rFonts w:ascii="Wingdings" w:hAnsi="Wingdings" w:hint="default"/>
      </w:rPr>
    </w:lvl>
    <w:lvl w:ilvl="6" w:tplc="FFFFFFFF" w:tentative="1">
      <w:start w:val="1"/>
      <w:numFmt w:val="bullet"/>
      <w:lvlText w:val=""/>
      <w:lvlJc w:val="left"/>
      <w:pPr>
        <w:ind w:left="5110" w:hanging="360"/>
      </w:pPr>
      <w:rPr>
        <w:rFonts w:ascii="Symbol" w:hAnsi="Symbol" w:hint="default"/>
      </w:rPr>
    </w:lvl>
    <w:lvl w:ilvl="7" w:tplc="FFFFFFFF" w:tentative="1">
      <w:start w:val="1"/>
      <w:numFmt w:val="bullet"/>
      <w:lvlText w:val="o"/>
      <w:lvlJc w:val="left"/>
      <w:pPr>
        <w:ind w:left="5830" w:hanging="360"/>
      </w:pPr>
      <w:rPr>
        <w:rFonts w:ascii="Courier New" w:hAnsi="Courier New" w:cs="Courier New" w:hint="default"/>
      </w:rPr>
    </w:lvl>
    <w:lvl w:ilvl="8" w:tplc="FFFFFFFF" w:tentative="1">
      <w:start w:val="1"/>
      <w:numFmt w:val="bullet"/>
      <w:lvlText w:val=""/>
      <w:lvlJc w:val="left"/>
      <w:pPr>
        <w:ind w:left="6550" w:hanging="360"/>
      </w:pPr>
      <w:rPr>
        <w:rFonts w:ascii="Wingdings" w:hAnsi="Wingdings" w:hint="default"/>
      </w:rPr>
    </w:lvl>
  </w:abstractNum>
  <w:abstractNum w:abstractNumId="7" w15:restartNumberingAfterBreak="0">
    <w:nsid w:val="76B83C97"/>
    <w:multiLevelType w:val="hybridMultilevel"/>
    <w:tmpl w:val="FF46BD4A"/>
    <w:lvl w:ilvl="0" w:tplc="53CC5082">
      <w:numFmt w:val="bullet"/>
      <w:lvlText w:val="-"/>
      <w:lvlJc w:val="left"/>
      <w:pPr>
        <w:ind w:left="430" w:hanging="360"/>
      </w:pPr>
      <w:rPr>
        <w:rFonts w:ascii="Times New Roman" w:eastAsia="Times New Roman" w:hAnsi="Times New Roman" w:cs="Times New Roman"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8" w15:restartNumberingAfterBreak="0">
    <w:nsid w:val="7F37351A"/>
    <w:multiLevelType w:val="hybridMultilevel"/>
    <w:tmpl w:val="CF36059C"/>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num w:numId="1" w16cid:durableId="1818497321">
    <w:abstractNumId w:val="0"/>
    <w:lvlOverride w:ilvl="0">
      <w:startOverride w:val="1"/>
    </w:lvlOverride>
  </w:num>
  <w:num w:numId="2" w16cid:durableId="243270931">
    <w:abstractNumId w:val="5"/>
  </w:num>
  <w:num w:numId="3" w16cid:durableId="400954102">
    <w:abstractNumId w:val="4"/>
  </w:num>
  <w:num w:numId="4" w16cid:durableId="1736196358">
    <w:abstractNumId w:val="3"/>
  </w:num>
  <w:num w:numId="5" w16cid:durableId="1545405547">
    <w:abstractNumId w:val="1"/>
  </w:num>
  <w:num w:numId="6" w16cid:durableId="713042178">
    <w:abstractNumId w:val="8"/>
  </w:num>
  <w:num w:numId="7" w16cid:durableId="795950096">
    <w:abstractNumId w:val="7"/>
  </w:num>
  <w:num w:numId="8" w16cid:durableId="1191845883">
    <w:abstractNumId w:val="2"/>
  </w:num>
  <w:num w:numId="9" w16cid:durableId="12674970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29C"/>
    <w:rsid w:val="0041029C"/>
    <w:rsid w:val="00A07BC5"/>
    <w:rsid w:val="00AC7D6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9F992"/>
  <w15:docId w15:val="{D3DF177A-D0EB-4328-9DBF-66ED009FB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670</Words>
  <Characters>3820</Characters>
  <Application>Microsoft Office Word</Application>
  <DocSecurity>0</DocSecurity>
  <Lines>31</Lines>
  <Paragraphs>8</Paragraphs>
  <ScaleCrop>false</ScaleCrop>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Minhajul Islam</cp:lastModifiedBy>
  <cp:revision>2</cp:revision>
  <dcterms:created xsi:type="dcterms:W3CDTF">2026-09-24T05:21:00Z</dcterms:created>
  <dcterms:modified xsi:type="dcterms:W3CDTF">2026-09-24T05:24:00Z</dcterms:modified>
</cp:coreProperties>
</file>