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6C17" w14:textId="77777777" w:rsidR="00F066AB" w:rsidRPr="0022627D" w:rsidRDefault="00000000" w:rsidP="0022627D">
      <w:pPr>
        <w:spacing w:after="120"/>
        <w:jc w:val="center"/>
        <w:rPr>
          <w:sz w:val="22"/>
          <w:szCs w:val="24"/>
        </w:rPr>
      </w:pPr>
      <w:r w:rsidRPr="0022627D">
        <w:rPr>
          <w:b/>
          <w:sz w:val="24"/>
          <w:szCs w:val="24"/>
        </w:rPr>
        <w:t>THE TRUST MESH: A CUSTOMER-CENTRIC AI PRIVACY CONTROL ARCHITECTURE</w:t>
      </w:r>
    </w:p>
    <w:p w14:paraId="338F5B17" w14:textId="77777777" w:rsidR="00F066AB" w:rsidRPr="0022627D" w:rsidRDefault="00000000" w:rsidP="0022627D">
      <w:pPr>
        <w:spacing w:after="240"/>
        <w:jc w:val="center"/>
        <w:rPr>
          <w:sz w:val="19"/>
          <w:szCs w:val="19"/>
        </w:rPr>
      </w:pPr>
      <w:r w:rsidRPr="0022627D">
        <w:rPr>
          <w:i/>
          <w:sz w:val="19"/>
          <w:szCs w:val="19"/>
        </w:rPr>
        <w:t>Strategic Concept Paper for New Telecom Ltd. | Bangladesh PDPA Alignment</w:t>
      </w:r>
    </w:p>
    <w:p w14:paraId="1DA645B1" w14:textId="77777777" w:rsidR="00F066AB" w:rsidRDefault="00000000" w:rsidP="0022627D">
      <w:pPr>
        <w:spacing w:before="120" w:after="120"/>
      </w:pPr>
      <w:r>
        <w:rPr>
          <w:b/>
        </w:rPr>
        <w:t>1. Deconstruction of the Problem</w:t>
      </w:r>
    </w:p>
    <w:p w14:paraId="0ECC63F5" w14:textId="77777777" w:rsidR="00F066AB" w:rsidRDefault="00000000" w:rsidP="0022627D">
      <w:pPr>
        <w:spacing w:after="120"/>
      </w:pPr>
      <w:r>
        <w:t>New Telecom Ltd. operates with mature cybersecurity but faces a severe governance deficit as it scales AI across six core workloads (fraud, churn, marketing, GenAI support, network ML, document processing). The Bangladesh Personal Data Protection Act (PDPA) converts this visibility gap into a statutory liability. Management lacks a dynamic data lineage, struggles with cross-border API data egress, and cannot easily enforce algorithmic transparency or absolute minor tracking prohibitions. The core problem is structural: standard compliance checklists fail at AI scale, where personal data becomes inextricably embedded in model weights.</w:t>
      </w:r>
    </w:p>
    <w:p w14:paraId="52235A83" w14:textId="77777777" w:rsidR="00F066AB" w:rsidRDefault="00000000" w:rsidP="0022627D">
      <w:pPr>
        <w:spacing w:before="120" w:after="120"/>
      </w:pPr>
      <w:r>
        <w:rPr>
          <w:b/>
        </w:rPr>
        <w:t>2. Key Privacy, Security &amp; Ethical Challenges</w:t>
      </w:r>
    </w:p>
    <w:p w14:paraId="7160C801" w14:textId="06CB9883" w:rsidR="0022627D" w:rsidRDefault="00000000" w:rsidP="0022627D">
      <w:pPr>
        <w:pStyle w:val="ListBullet"/>
        <w:numPr>
          <w:ilvl w:val="0"/>
          <w:numId w:val="10"/>
        </w:numPr>
        <w:spacing w:after="120"/>
      </w:pPr>
      <w:r w:rsidRPr="0022627D">
        <w:rPr>
          <w:b/>
          <w:bCs/>
        </w:rPr>
        <w:t>The 'Black-Box' Erasure Conflict:</w:t>
      </w:r>
      <w:r>
        <w:t xml:space="preserve"> Statutory Right to Erasure requests clash with AI mechanics; purging embedded personal data from trained model weights requires unfeasible retraining.</w:t>
      </w:r>
    </w:p>
    <w:p w14:paraId="04C46D9F" w14:textId="77777777" w:rsidR="00F066AB" w:rsidRDefault="00000000" w:rsidP="0022627D">
      <w:pPr>
        <w:pStyle w:val="ListBullet"/>
        <w:numPr>
          <w:ilvl w:val="0"/>
          <w:numId w:val="10"/>
        </w:numPr>
        <w:spacing w:after="120"/>
      </w:pPr>
      <w:r w:rsidRPr="0022627D">
        <w:rPr>
          <w:b/>
          <w:bCs/>
        </w:rPr>
        <w:t>Child Profiling Prohibition:</w:t>
      </w:r>
      <w:r>
        <w:t xml:space="preserve"> Shared family SIMs obscure underage users, risking the unlawful profiling of minors (&lt;18) by marketing and recommendation engines.</w:t>
      </w:r>
    </w:p>
    <w:p w14:paraId="7EAE1824" w14:textId="77777777" w:rsidR="00F066AB" w:rsidRDefault="00000000" w:rsidP="0022627D">
      <w:pPr>
        <w:pStyle w:val="ListBullet"/>
        <w:numPr>
          <w:ilvl w:val="0"/>
          <w:numId w:val="10"/>
        </w:numPr>
        <w:spacing w:after="120"/>
      </w:pPr>
      <w:r w:rsidRPr="0022627D">
        <w:rPr>
          <w:b/>
          <w:bCs/>
        </w:rPr>
        <w:t>Shadow AI &amp; Sovereign Egress:</w:t>
      </w:r>
      <w:r>
        <w:t xml:space="preserve"> Decentralized product squads utilizing third-party LLMs risk unauthorized cross-border exfiltration of biometric and financial PII.</w:t>
      </w:r>
    </w:p>
    <w:p w14:paraId="77E123CC" w14:textId="77777777" w:rsidR="00F066AB" w:rsidRDefault="00000000" w:rsidP="0022627D">
      <w:pPr>
        <w:pStyle w:val="ListBullet"/>
        <w:numPr>
          <w:ilvl w:val="0"/>
          <w:numId w:val="10"/>
        </w:numPr>
        <w:spacing w:after="120"/>
      </w:pPr>
      <w:r w:rsidRPr="0022627D">
        <w:rPr>
          <w:b/>
          <w:bCs/>
        </w:rPr>
        <w:t>Algorithmic Opacity:</w:t>
      </w:r>
      <w:r>
        <w:t xml:space="preserve"> Predictive churn and fraud pipelines risk discriminatory biases without providing the human-interpretable explanations mandated by the PDPA.</w:t>
      </w:r>
    </w:p>
    <w:p w14:paraId="132739BB" w14:textId="77777777" w:rsidR="00F066AB" w:rsidRDefault="00000000" w:rsidP="0022627D">
      <w:pPr>
        <w:spacing w:before="120" w:after="120"/>
      </w:pPr>
      <w:r>
        <w:rPr>
          <w:b/>
        </w:rPr>
        <w:t>3. Proposed Approach: The 'Trust Mesh' Architecture</w:t>
      </w:r>
    </w:p>
    <w:p w14:paraId="62DE6EB5" w14:textId="77777777" w:rsidR="00F066AB" w:rsidRDefault="00000000" w:rsidP="0022627D">
      <w:pPr>
        <w:spacing w:after="120"/>
      </w:pPr>
      <w:r>
        <w:t>A three-layered architecture embedding privacy as a product feature and an automated CI/CD engineering control:</w:t>
      </w:r>
    </w:p>
    <w:p w14:paraId="0A4A034D" w14:textId="77777777" w:rsidR="00F066AB" w:rsidRDefault="00000000" w:rsidP="0022627D">
      <w:pPr>
        <w:pStyle w:val="ListBullet"/>
        <w:numPr>
          <w:ilvl w:val="0"/>
          <w:numId w:val="11"/>
        </w:numPr>
        <w:spacing w:after="120"/>
      </w:pPr>
      <w:r w:rsidRPr="0022627D">
        <w:rPr>
          <w:b/>
          <w:bCs/>
        </w:rPr>
        <w:t>Customer Privacy Cockpit (Layer 1):</w:t>
      </w:r>
      <w:r>
        <w:t xml:space="preserve"> An omnichannel, bilingual (Bangla/English) dashboard accessible via app and USSD (*121#). It empowers subscribers with granular micro-consents, plain-language AI decision receipts, and automated DSAR execution (access, portability, erasure).</w:t>
      </w:r>
    </w:p>
    <w:p w14:paraId="546D69E1" w14:textId="77777777" w:rsidR="00F066AB" w:rsidRDefault="00000000" w:rsidP="0022627D">
      <w:pPr>
        <w:pStyle w:val="ListBullet"/>
        <w:numPr>
          <w:ilvl w:val="0"/>
          <w:numId w:val="11"/>
        </w:numPr>
        <w:spacing w:after="120"/>
      </w:pPr>
      <w:r w:rsidRPr="0022627D">
        <w:rPr>
          <w:b/>
          <w:bCs/>
        </w:rPr>
        <w:t>Cryptographic Vault &amp; 'Crypto-Erasure' (Layer 2):</w:t>
      </w:r>
      <w:r>
        <w:t xml:space="preserve"> Raw PII is isolated in an HSM-backed vault, issuing high-entropy tokens to AI feature stores. If a subscriber exercises their erasure right, their cryptographic key is destroyed, mathematically severing historical data from model weights without retraining.</w:t>
      </w:r>
    </w:p>
    <w:p w14:paraId="0483AC77" w14:textId="77777777" w:rsidR="00F066AB" w:rsidRDefault="00000000" w:rsidP="0022627D">
      <w:pPr>
        <w:pStyle w:val="ListBullet"/>
        <w:numPr>
          <w:ilvl w:val="0"/>
          <w:numId w:val="11"/>
        </w:numPr>
        <w:spacing w:after="120"/>
      </w:pPr>
      <w:r w:rsidRPr="0022627D">
        <w:rPr>
          <w:b/>
          <w:bCs/>
        </w:rPr>
        <w:t>Deterministic Minor Safeguard Engine:</w:t>
      </w:r>
      <w:r>
        <w:t xml:space="preserve"> Cross-referencing National ID (NID) data with BTRC biometric KYC and usage heuristics dynamically tags minor profiles, routing them into a hardcoded 'Zero-Tracking Lock' that bypasses all behavioral ad pipelines.</w:t>
      </w:r>
    </w:p>
    <w:p w14:paraId="4A7C0EE5" w14:textId="77777777" w:rsidR="00F066AB" w:rsidRDefault="00000000" w:rsidP="0022627D">
      <w:pPr>
        <w:pStyle w:val="ListBullet"/>
        <w:numPr>
          <w:ilvl w:val="0"/>
          <w:numId w:val="11"/>
        </w:numPr>
        <w:spacing w:after="120"/>
      </w:pPr>
      <w:r w:rsidRPr="0022627D">
        <w:rPr>
          <w:b/>
          <w:bCs/>
        </w:rPr>
        <w:t>PRISM Governance &amp; DPIA-as-Code (Layer 3):</w:t>
      </w:r>
      <w:r>
        <w:t xml:space="preserve"> Automated privacy unit tests block CI/CD pipelines if models fail explainability (SHAP/LIME) or minimization checks. A vendor 'Privacy Passport' restricts third parties from secondary model training.</w:t>
      </w:r>
    </w:p>
    <w:p w14:paraId="145453D7" w14:textId="77777777" w:rsidR="00F066AB" w:rsidRDefault="00000000" w:rsidP="0022627D">
      <w:pPr>
        <w:spacing w:before="120" w:after="120"/>
      </w:pPr>
      <w:r>
        <w:rPr>
          <w:b/>
        </w:rPr>
        <w:t>4. Expected Impact</w:t>
      </w:r>
    </w:p>
    <w:p w14:paraId="0221211F" w14:textId="77777777" w:rsidR="00F066AB" w:rsidRDefault="00000000" w:rsidP="0022627D">
      <w:pPr>
        <w:pStyle w:val="ListBullet"/>
        <w:numPr>
          <w:ilvl w:val="0"/>
          <w:numId w:val="12"/>
        </w:numPr>
        <w:spacing w:after="120"/>
      </w:pPr>
      <w:r w:rsidRPr="0022627D">
        <w:rPr>
          <w:b/>
          <w:bCs/>
        </w:rPr>
        <w:t>Customer Empowerment:</w:t>
      </w:r>
      <w:r>
        <w:t xml:space="preserve"> Translates complex legal rights into frictionless, low-literacy-friendly digital controls, establishing deep brand trust.</w:t>
      </w:r>
    </w:p>
    <w:p w14:paraId="4C0056B6" w14:textId="77777777" w:rsidR="00F066AB" w:rsidRDefault="00000000" w:rsidP="0022627D">
      <w:pPr>
        <w:pStyle w:val="ListBullet"/>
        <w:numPr>
          <w:ilvl w:val="0"/>
          <w:numId w:val="12"/>
        </w:numPr>
        <w:spacing w:after="120"/>
      </w:pPr>
      <w:r w:rsidRPr="0022627D">
        <w:rPr>
          <w:b/>
          <w:bCs/>
        </w:rPr>
        <w:t>Operational Resilience:</w:t>
      </w:r>
      <w:r>
        <w:t xml:space="preserve"> 'Crypto-erasure' drastically reduces compliance overhead and breach blast radii. DPIA-as-code eliminates deployment bottlenecks, accelerating secure AI innovation.</w:t>
      </w:r>
    </w:p>
    <w:p w14:paraId="440B63A7" w14:textId="77777777" w:rsidR="00F066AB" w:rsidRDefault="00000000" w:rsidP="0022627D">
      <w:pPr>
        <w:pStyle w:val="ListBullet"/>
        <w:numPr>
          <w:ilvl w:val="0"/>
          <w:numId w:val="12"/>
        </w:numPr>
        <w:spacing w:after="120"/>
      </w:pPr>
      <w:r w:rsidRPr="0022627D">
        <w:rPr>
          <w:b/>
          <w:bCs/>
        </w:rPr>
        <w:t>Audit-Proof Compliance:</w:t>
      </w:r>
      <w:r>
        <w:t xml:space="preserve"> Dynamic AI data mapping and immutable consent ledgers shield the enterprise from regulatory penalties and ensure continuous audit readiness.</w:t>
      </w:r>
    </w:p>
    <w:p w14:paraId="03FADEDB" w14:textId="77777777" w:rsidR="00F066AB" w:rsidRDefault="00000000" w:rsidP="0022627D">
      <w:pPr>
        <w:spacing w:before="120" w:after="120"/>
      </w:pPr>
      <w:r>
        <w:rPr>
          <w:b/>
        </w:rPr>
        <w:t>5. Applicability &amp; National Impact in Bangladesh</w:t>
      </w:r>
    </w:p>
    <w:p w14:paraId="4A441B39" w14:textId="77777777" w:rsidR="00F066AB" w:rsidRDefault="00000000" w:rsidP="0022627D">
      <w:pPr>
        <w:spacing w:after="120"/>
      </w:pPr>
      <w:r>
        <w:t>As a Critical Information Infrastructure (CII) connecting 180M+ SIMs and powering Mobile Financial Services (MFS), New Telecom Ltd. holds a systemic responsibility. This NID-integrated, Bangla-first Trust Mesh establishes an auditable gold standard for Smart Bangladesh 2041. It provides regulators a practical reference blueprint for PDPA enforcement, proving that sovereign data rights and rapid AI monetization can advance concurrently.</w:t>
      </w:r>
    </w:p>
    <w:sectPr w:rsidR="00F066AB"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4E110C"/>
    <w:multiLevelType w:val="hybridMultilevel"/>
    <w:tmpl w:val="645A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20D88"/>
    <w:multiLevelType w:val="hybridMultilevel"/>
    <w:tmpl w:val="A684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1B3084"/>
    <w:multiLevelType w:val="hybridMultilevel"/>
    <w:tmpl w:val="C6FA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029476">
    <w:abstractNumId w:val="8"/>
  </w:num>
  <w:num w:numId="2" w16cid:durableId="1531138792">
    <w:abstractNumId w:val="6"/>
  </w:num>
  <w:num w:numId="3" w16cid:durableId="402263212">
    <w:abstractNumId w:val="5"/>
  </w:num>
  <w:num w:numId="4" w16cid:durableId="658461709">
    <w:abstractNumId w:val="4"/>
  </w:num>
  <w:num w:numId="5" w16cid:durableId="1125581668">
    <w:abstractNumId w:val="7"/>
  </w:num>
  <w:num w:numId="6" w16cid:durableId="552153831">
    <w:abstractNumId w:val="3"/>
  </w:num>
  <w:num w:numId="7" w16cid:durableId="1250770465">
    <w:abstractNumId w:val="2"/>
  </w:num>
  <w:num w:numId="8" w16cid:durableId="1480733250">
    <w:abstractNumId w:val="1"/>
  </w:num>
  <w:num w:numId="9" w16cid:durableId="1827670718">
    <w:abstractNumId w:val="0"/>
  </w:num>
  <w:num w:numId="10" w16cid:durableId="1743672253">
    <w:abstractNumId w:val="10"/>
  </w:num>
  <w:num w:numId="11" w16cid:durableId="1387026803">
    <w:abstractNumId w:val="11"/>
  </w:num>
  <w:num w:numId="12" w16cid:durableId="1949583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27D"/>
    <w:rsid w:val="0029639D"/>
    <w:rsid w:val="00326F90"/>
    <w:rsid w:val="009C24CC"/>
    <w:rsid w:val="00AA1D8D"/>
    <w:rsid w:val="00B47730"/>
    <w:rsid w:val="00CB0664"/>
    <w:rsid w:val="00F066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A8D2F"/>
  <w14:defaultImageDpi w14:val="300"/>
  <w15:docId w15:val="{F7A6349B-341A-49D2-B188-8ED85309D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Minhajul Islam</cp:lastModifiedBy>
  <cp:revision>2</cp:revision>
  <dcterms:created xsi:type="dcterms:W3CDTF">2013-12-23T23:15:00Z</dcterms:created>
  <dcterms:modified xsi:type="dcterms:W3CDTF">2026-09-23T21:53:00Z</dcterms:modified>
  <cp:category/>
</cp:coreProperties>
</file>