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C84C" w14:textId="77777777" w:rsidR="005A5BF4" w:rsidRDefault="005A5BF4">
      <w:pPr>
        <w:spacing w:line="240" w:lineRule="auto"/>
        <w:jc w:val="both"/>
        <w:rPr>
          <w:rFonts w:ascii="Times New Roman" w:eastAsia="Times New Roman" w:hAnsi="Times New Roman" w:cs="Times New Roman"/>
          <w:b/>
          <w:bCs/>
          <w:sz w:val="26"/>
          <w:szCs w:val="26"/>
        </w:rPr>
      </w:pPr>
    </w:p>
    <w:p w14:paraId="2CE1F110" w14:textId="77777777" w:rsidR="005A5BF4"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MINISTRY OF EDUCATION AND TRAINING</w:t>
      </w:r>
    </w:p>
    <w:p w14:paraId="72E9CA67" w14:textId="77777777" w:rsidR="005A5BF4"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 CHI MINH UNIVERSITY OF LAW</w:t>
      </w:r>
    </w:p>
    <w:p w14:paraId="0E06B839" w14:textId="77777777" w:rsidR="005A5BF4"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p>
    <w:p w14:paraId="32D61E47" w14:textId="77777777" w:rsidR="005A5BF4"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FACULTY OF LEGAL ENGLISH</w:t>
      </w:r>
    </w:p>
    <w:p w14:paraId="5B544CC7" w14:textId="77777777" w:rsidR="005A5BF4" w:rsidRDefault="005A5BF4">
      <w:pPr>
        <w:spacing w:line="240" w:lineRule="auto"/>
        <w:rPr>
          <w:rFonts w:ascii="Times New Roman" w:eastAsia="Times New Roman" w:hAnsi="Times New Roman" w:cs="Times New Roman"/>
          <w:b/>
          <w:bCs/>
          <w:sz w:val="26"/>
          <w:szCs w:val="26"/>
        </w:rPr>
      </w:pPr>
    </w:p>
    <w:p w14:paraId="4C1256F8" w14:textId="77777777" w:rsidR="005A5BF4" w:rsidRDefault="00000000">
      <w:pPr>
        <w:spacing w:line="240" w:lineRule="auto"/>
        <w:jc w:val="both"/>
        <w:rPr>
          <w:rFonts w:ascii="Times New Roman" w:eastAsia="Times New Roman" w:hAnsi="Times New Roman" w:cs="Times New Roman"/>
          <w:b/>
          <w:bCs/>
          <w:sz w:val="26"/>
          <w:szCs w:val="26"/>
        </w:rPr>
      </w:pPr>
      <w:r>
        <w:rPr>
          <w:noProof/>
        </w:rPr>
        <w:drawing>
          <wp:anchor distT="0" distB="0" distL="114300" distR="114300" simplePos="0" relativeHeight="251658240" behindDoc="0" locked="0" layoutInCell="1" hidden="0" allowOverlap="1" wp14:anchorId="1C973D19" wp14:editId="710FAD61">
            <wp:simplePos x="0" y="0"/>
            <wp:positionH relativeFrom="column">
              <wp:posOffset>1855470</wp:posOffset>
            </wp:positionH>
            <wp:positionV relativeFrom="paragraph">
              <wp:posOffset>29845</wp:posOffset>
            </wp:positionV>
            <wp:extent cx="2400300" cy="1765300"/>
            <wp:effectExtent l="0" t="0" r="0" b="0"/>
            <wp:wrapNone/>
            <wp:docPr id="18012120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00300" cy="1765300"/>
                    </a:xfrm>
                    <a:prstGeom prst="rect">
                      <a:avLst/>
                    </a:prstGeom>
                    <a:ln/>
                  </pic:spPr>
                </pic:pic>
              </a:graphicData>
            </a:graphic>
          </wp:anchor>
        </w:drawing>
      </w:r>
    </w:p>
    <w:p w14:paraId="769F386A" w14:textId="77777777" w:rsidR="005A5BF4" w:rsidRDefault="005A5BF4">
      <w:pPr>
        <w:spacing w:line="240" w:lineRule="auto"/>
        <w:jc w:val="both"/>
        <w:rPr>
          <w:rFonts w:ascii="Times New Roman" w:eastAsia="Times New Roman" w:hAnsi="Times New Roman" w:cs="Times New Roman"/>
          <w:b/>
          <w:bCs/>
          <w:sz w:val="26"/>
          <w:szCs w:val="26"/>
        </w:rPr>
      </w:pPr>
    </w:p>
    <w:p w14:paraId="55442FEB" w14:textId="77777777" w:rsidR="005A5BF4" w:rsidRDefault="005A5BF4">
      <w:pPr>
        <w:spacing w:line="240" w:lineRule="auto"/>
        <w:jc w:val="both"/>
        <w:rPr>
          <w:rFonts w:ascii="Times New Roman" w:eastAsia="Times New Roman" w:hAnsi="Times New Roman" w:cs="Times New Roman"/>
          <w:b/>
          <w:bCs/>
          <w:sz w:val="26"/>
          <w:szCs w:val="26"/>
        </w:rPr>
      </w:pPr>
    </w:p>
    <w:p w14:paraId="33EF3C7D" w14:textId="77777777" w:rsidR="005A5BF4" w:rsidRDefault="005A5BF4">
      <w:pPr>
        <w:spacing w:line="240" w:lineRule="auto"/>
        <w:jc w:val="both"/>
        <w:rPr>
          <w:rFonts w:ascii="Times New Roman" w:eastAsia="Times New Roman" w:hAnsi="Times New Roman" w:cs="Times New Roman"/>
          <w:b/>
          <w:bCs/>
          <w:sz w:val="26"/>
          <w:szCs w:val="26"/>
        </w:rPr>
      </w:pPr>
    </w:p>
    <w:p w14:paraId="7BF05362" w14:textId="77777777" w:rsidR="005A5BF4" w:rsidRDefault="005A5BF4">
      <w:pPr>
        <w:spacing w:line="240" w:lineRule="auto"/>
        <w:jc w:val="both"/>
        <w:rPr>
          <w:rFonts w:ascii="Times New Roman" w:eastAsia="Times New Roman" w:hAnsi="Times New Roman" w:cs="Times New Roman"/>
          <w:b/>
          <w:bCs/>
          <w:sz w:val="26"/>
          <w:szCs w:val="26"/>
        </w:rPr>
      </w:pPr>
    </w:p>
    <w:p w14:paraId="4DBBDDD9" w14:textId="77777777" w:rsidR="005A5BF4" w:rsidRDefault="005A5BF4">
      <w:pPr>
        <w:spacing w:line="240" w:lineRule="auto"/>
        <w:rPr>
          <w:rFonts w:ascii="Times New Roman" w:eastAsia="Times New Roman" w:hAnsi="Times New Roman" w:cs="Times New Roman"/>
          <w:b/>
          <w:bCs/>
          <w:sz w:val="26"/>
          <w:szCs w:val="26"/>
        </w:rPr>
      </w:pPr>
    </w:p>
    <w:p w14:paraId="3B3AA26D" w14:textId="77777777" w:rsidR="005A5BF4"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ASSIGNMENT REPORT</w:t>
      </w:r>
    </w:p>
    <w:p w14:paraId="53760C35" w14:textId="77777777" w:rsidR="005A5BF4"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COURSE: TORT LAW</w:t>
      </w:r>
    </w:p>
    <w:p w14:paraId="72BF3A92" w14:textId="77777777" w:rsidR="005A5BF4" w:rsidRDefault="00000000">
      <w:pPr>
        <w:spacing w:line="240" w:lineRule="auto"/>
        <w:ind w:firstLine="567"/>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TOPIC: PRODUCT LIABILITY</w:t>
      </w:r>
    </w:p>
    <w:p w14:paraId="2D36F3C4" w14:textId="77777777" w:rsidR="005A5BF4" w:rsidRDefault="00000000">
      <w:pPr>
        <w:spacing w:line="240" w:lineRule="auto"/>
        <w:ind w:left="56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Lecturer</w:t>
      </w:r>
      <w:r>
        <w:rPr>
          <w:rFonts w:ascii="Times New Roman" w:eastAsia="Times New Roman" w:hAnsi="Times New Roman" w:cs="Times New Roman"/>
          <w:sz w:val="26"/>
          <w:szCs w:val="26"/>
        </w:rPr>
        <w:t>: TRẦN THANH TÂM</w:t>
      </w:r>
    </w:p>
    <w:p w14:paraId="30328271" w14:textId="77777777" w:rsidR="005A5BF4" w:rsidRDefault="00000000">
      <w:pPr>
        <w:spacing w:line="240" w:lineRule="auto"/>
        <w:ind w:left="56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Class</w:t>
      </w:r>
      <w:r>
        <w:rPr>
          <w:rFonts w:ascii="Times New Roman" w:eastAsia="Times New Roman" w:hAnsi="Times New Roman" w:cs="Times New Roman"/>
          <w:sz w:val="26"/>
          <w:szCs w:val="26"/>
        </w:rPr>
        <w:t>: LE47B</w:t>
      </w:r>
    </w:p>
    <w:p w14:paraId="1CC2F388" w14:textId="77777777" w:rsidR="005A5BF4" w:rsidRDefault="00000000">
      <w:pPr>
        <w:spacing w:line="240" w:lineRule="auto"/>
        <w:ind w:left="567"/>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Group</w:t>
      </w:r>
      <w:r>
        <w:rPr>
          <w:rFonts w:ascii="Times New Roman" w:eastAsia="Times New Roman" w:hAnsi="Times New Roman" w:cs="Times New Roman"/>
          <w:sz w:val="26"/>
          <w:szCs w:val="26"/>
        </w:rPr>
        <w:t>: 02</w:t>
      </w:r>
    </w:p>
    <w:p w14:paraId="7E057102" w14:textId="77777777" w:rsidR="005A5BF4" w:rsidRDefault="00000000">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LIST OF GROUP MEMBERS</w:t>
      </w:r>
    </w:p>
    <w:p w14:paraId="31CD5A4E" w14:textId="77777777" w:rsidR="005A5BF4"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(Arranged in order of student ID number)</w:t>
      </w:r>
    </w:p>
    <w:tbl>
      <w:tblPr>
        <w:tblStyle w:val="a"/>
        <w:tblW w:w="8156" w:type="dxa"/>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
        <w:gridCol w:w="4909"/>
        <w:gridCol w:w="2525"/>
      </w:tblGrid>
      <w:tr w:rsidR="005A5BF4" w14:paraId="0E0DB0ED" w14:textId="77777777">
        <w:trPr>
          <w:trHeight w:val="301"/>
        </w:trPr>
        <w:tc>
          <w:tcPr>
            <w:tcW w:w="722" w:type="dxa"/>
          </w:tcPr>
          <w:p w14:paraId="2E0E307D" w14:textId="77777777" w:rsidR="005A5BF4" w:rsidRDefault="005A5BF4">
            <w:pPr>
              <w:jc w:val="center"/>
              <w:rPr>
                <w:rFonts w:ascii="Times New Roman" w:eastAsia="Times New Roman" w:hAnsi="Times New Roman" w:cs="Times New Roman"/>
                <w:b/>
                <w:bCs/>
                <w:sz w:val="26"/>
                <w:szCs w:val="26"/>
              </w:rPr>
            </w:pPr>
          </w:p>
        </w:tc>
        <w:tc>
          <w:tcPr>
            <w:tcW w:w="4909" w:type="dxa"/>
          </w:tcPr>
          <w:p w14:paraId="7166F031" w14:textId="77777777" w:rsidR="005A5BF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STUDENT’S NAME</w:t>
            </w:r>
          </w:p>
        </w:tc>
        <w:tc>
          <w:tcPr>
            <w:tcW w:w="2525" w:type="dxa"/>
          </w:tcPr>
          <w:p w14:paraId="15197E44" w14:textId="77777777" w:rsidR="005A5BF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ID NUMBER</w:t>
            </w:r>
          </w:p>
        </w:tc>
      </w:tr>
      <w:tr w:rsidR="005A5BF4" w14:paraId="1A407777" w14:textId="77777777">
        <w:trPr>
          <w:trHeight w:val="287"/>
        </w:trPr>
        <w:tc>
          <w:tcPr>
            <w:tcW w:w="722" w:type="dxa"/>
          </w:tcPr>
          <w:p w14:paraId="3E492CBE" w14:textId="77777777" w:rsidR="005A5BF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4909" w:type="dxa"/>
          </w:tcPr>
          <w:p w14:paraId="18465B27" w14:textId="77777777" w:rsidR="005A5BF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Đào Trúc Anh</w:t>
            </w:r>
          </w:p>
        </w:tc>
        <w:tc>
          <w:tcPr>
            <w:tcW w:w="2525" w:type="dxa"/>
          </w:tcPr>
          <w:p w14:paraId="5E23B0BF" w14:textId="77777777" w:rsidR="005A5BF4" w:rsidRDefault="00000000">
            <w:pPr>
              <w:jc w:val="both"/>
              <w:rPr>
                <w:rFonts w:ascii="Times New Roman" w:eastAsia="Times New Roman" w:hAnsi="Times New Roman" w:cs="Times New Roman"/>
                <w:b/>
                <w:bCs/>
                <w:sz w:val="26"/>
                <w:szCs w:val="26"/>
              </w:rPr>
            </w:pPr>
            <w:r>
              <w:rPr>
                <w:rFonts w:ascii="Times New Roman" w:eastAsia="Times New Roman" w:hAnsi="Times New Roman" w:cs="Times New Roman"/>
                <w:color w:val="000000"/>
                <w:sz w:val="26"/>
                <w:szCs w:val="26"/>
                <w:highlight w:val="white"/>
              </w:rPr>
              <w:t>2252202010003</w:t>
            </w:r>
          </w:p>
        </w:tc>
      </w:tr>
      <w:tr w:rsidR="005A5BF4" w14:paraId="18E06550" w14:textId="77777777">
        <w:trPr>
          <w:trHeight w:val="301"/>
        </w:trPr>
        <w:tc>
          <w:tcPr>
            <w:tcW w:w="722" w:type="dxa"/>
          </w:tcPr>
          <w:p w14:paraId="3633CF2C" w14:textId="77777777" w:rsidR="005A5BF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4909" w:type="dxa"/>
          </w:tcPr>
          <w:p w14:paraId="7C9F94A3" w14:textId="77777777" w:rsidR="005A5BF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Phạm Thảo Nhi</w:t>
            </w:r>
          </w:p>
        </w:tc>
        <w:tc>
          <w:tcPr>
            <w:tcW w:w="2525" w:type="dxa"/>
          </w:tcPr>
          <w:p w14:paraId="11162043" w14:textId="77777777" w:rsidR="005A5BF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2252202010058</w:t>
            </w:r>
          </w:p>
        </w:tc>
      </w:tr>
      <w:tr w:rsidR="005A5BF4" w14:paraId="06B6FE1A" w14:textId="77777777">
        <w:trPr>
          <w:trHeight w:val="301"/>
        </w:trPr>
        <w:tc>
          <w:tcPr>
            <w:tcW w:w="722" w:type="dxa"/>
          </w:tcPr>
          <w:p w14:paraId="739B5FAA" w14:textId="77777777" w:rsidR="005A5BF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4909" w:type="dxa"/>
          </w:tcPr>
          <w:p w14:paraId="2AB1E00A" w14:textId="77777777" w:rsidR="005A5BF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Đinh Hoàng Thanh Quý </w:t>
            </w:r>
          </w:p>
        </w:tc>
        <w:tc>
          <w:tcPr>
            <w:tcW w:w="2525" w:type="dxa"/>
          </w:tcPr>
          <w:p w14:paraId="04ECAD0A" w14:textId="77777777" w:rsidR="005A5BF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2252202010069</w:t>
            </w:r>
          </w:p>
        </w:tc>
      </w:tr>
      <w:tr w:rsidR="005A5BF4" w14:paraId="1BA7238F" w14:textId="77777777">
        <w:trPr>
          <w:trHeight w:val="301"/>
        </w:trPr>
        <w:tc>
          <w:tcPr>
            <w:tcW w:w="722" w:type="dxa"/>
          </w:tcPr>
          <w:p w14:paraId="353ED807" w14:textId="77777777" w:rsidR="005A5BF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4909" w:type="dxa"/>
          </w:tcPr>
          <w:p w14:paraId="46F2614E" w14:textId="77777777" w:rsidR="005A5BF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Phương Thảo</w:t>
            </w:r>
          </w:p>
        </w:tc>
        <w:tc>
          <w:tcPr>
            <w:tcW w:w="2525" w:type="dxa"/>
          </w:tcPr>
          <w:p w14:paraId="5B8BC23A" w14:textId="77777777" w:rsidR="005A5BF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2252202010084</w:t>
            </w:r>
          </w:p>
        </w:tc>
      </w:tr>
      <w:tr w:rsidR="005A5BF4" w14:paraId="6746E594" w14:textId="77777777">
        <w:trPr>
          <w:trHeight w:val="301"/>
        </w:trPr>
        <w:tc>
          <w:tcPr>
            <w:tcW w:w="722" w:type="dxa"/>
          </w:tcPr>
          <w:p w14:paraId="760BDB6B" w14:textId="77777777" w:rsidR="005A5BF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4909" w:type="dxa"/>
          </w:tcPr>
          <w:p w14:paraId="3FED9A19" w14:textId="77777777" w:rsidR="005A5BF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Thị Thu </w:t>
            </w:r>
            <w:proofErr w:type="spellStart"/>
            <w:r>
              <w:rPr>
                <w:rFonts w:ascii="Times New Roman" w:eastAsia="Times New Roman" w:hAnsi="Times New Roman" w:cs="Times New Roman"/>
                <w:sz w:val="26"/>
                <w:szCs w:val="26"/>
              </w:rPr>
              <w:t>Thủy</w:t>
            </w:r>
            <w:proofErr w:type="spellEnd"/>
          </w:p>
        </w:tc>
        <w:tc>
          <w:tcPr>
            <w:tcW w:w="2525" w:type="dxa"/>
          </w:tcPr>
          <w:p w14:paraId="193D7F3C" w14:textId="77777777" w:rsidR="005A5BF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2252202010094</w:t>
            </w:r>
          </w:p>
        </w:tc>
      </w:tr>
      <w:tr w:rsidR="005A5BF4" w14:paraId="27721C29" w14:textId="77777777">
        <w:trPr>
          <w:trHeight w:val="301"/>
        </w:trPr>
        <w:tc>
          <w:tcPr>
            <w:tcW w:w="722" w:type="dxa"/>
          </w:tcPr>
          <w:p w14:paraId="25E2553B" w14:textId="77777777" w:rsidR="005A5BF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4909" w:type="dxa"/>
          </w:tcPr>
          <w:p w14:paraId="76EC7293" w14:textId="77777777" w:rsidR="005A5BF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Phạm Ngọc Khánh Vy</w:t>
            </w:r>
          </w:p>
        </w:tc>
        <w:tc>
          <w:tcPr>
            <w:tcW w:w="2525" w:type="dxa"/>
          </w:tcPr>
          <w:p w14:paraId="67F46FCE" w14:textId="77777777" w:rsidR="005A5BF4"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2252202010108</w:t>
            </w:r>
          </w:p>
        </w:tc>
      </w:tr>
    </w:tbl>
    <w:p w14:paraId="5FAF2111"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5C9470A6" w14:textId="77777777" w:rsidR="005A5BF4" w:rsidRDefault="00000000">
      <w:pPr>
        <w:rPr>
          <w:rFonts w:ascii="Times New Roman" w:eastAsia="Times New Roman" w:hAnsi="Times New Roman" w:cs="Times New Roman"/>
          <w:b/>
          <w:bCs/>
          <w:color w:val="000000"/>
          <w:sz w:val="26"/>
          <w:szCs w:val="26"/>
        </w:rPr>
      </w:pPr>
      <w:r>
        <w:br w:type="page"/>
      </w:r>
    </w:p>
    <w:p w14:paraId="45B28A96"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6D7B871D"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36FB4F95" w14:textId="77777777" w:rsidR="005A5BF4" w:rsidRDefault="00000000">
      <w:pPr>
        <w:keepNext/>
        <w:keepLines/>
        <w:pBdr>
          <w:top w:val="nil"/>
          <w:left w:val="nil"/>
          <w:bottom w:val="nil"/>
          <w:right w:val="nil"/>
          <w:between w:val="nil"/>
        </w:pBdr>
        <w:spacing w:before="240" w:after="0" w:line="259" w:lineRule="auto"/>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Contents</w:t>
      </w:r>
    </w:p>
    <w:sdt>
      <w:sdtPr>
        <w:id w:val="484469264"/>
        <w:docPartObj>
          <w:docPartGallery w:val="Table of Contents"/>
          <w:docPartUnique/>
        </w:docPartObj>
      </w:sdtPr>
      <w:sdtContent>
        <w:p w14:paraId="6228DE45" w14:textId="77777777" w:rsidR="005A5BF4" w:rsidRDefault="00000000">
          <w:pPr>
            <w:pBdr>
              <w:top w:val="nil"/>
              <w:left w:val="nil"/>
              <w:bottom w:val="nil"/>
              <w:right w:val="nil"/>
              <w:between w:val="nil"/>
            </w:pBdr>
            <w:tabs>
              <w:tab w:val="right" w:leader="dot" w:pos="9016"/>
            </w:tabs>
            <w:spacing w:after="100"/>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hyperlink w:anchor="_heading=h.jc7mk1ew89ci">
            <w:r w:rsidR="005A5BF4">
              <w:rPr>
                <w:rFonts w:ascii="Times New Roman" w:eastAsia="Times New Roman" w:hAnsi="Times New Roman" w:cs="Times New Roman"/>
                <w:b/>
                <w:bCs/>
                <w:color w:val="000000"/>
                <w:sz w:val="26"/>
                <w:szCs w:val="26"/>
              </w:rPr>
              <w:t>INTRODUCTION</w:t>
            </w:r>
          </w:hyperlink>
          <w:hyperlink w:anchor="_heading=h.jc7mk1ew89ci">
            <w:r w:rsidR="005A5BF4">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1</w:t>
          </w:r>
        </w:p>
        <w:p w14:paraId="54E3E06C"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6gh2klfjuo2c">
            <w:r>
              <w:rPr>
                <w:rFonts w:ascii="Times New Roman" w:eastAsia="Times New Roman" w:hAnsi="Times New Roman" w:cs="Times New Roman"/>
                <w:color w:val="000000"/>
                <w:sz w:val="26"/>
                <w:szCs w:val="26"/>
              </w:rPr>
              <w:t>1. Significance of Topic</w:t>
            </w:r>
            <w:r>
              <w:rPr>
                <w:rFonts w:ascii="Times New Roman" w:eastAsia="Times New Roman" w:hAnsi="Times New Roman" w:cs="Times New Roman"/>
                <w:color w:val="000000"/>
                <w:sz w:val="26"/>
                <w:szCs w:val="26"/>
              </w:rPr>
              <w:tab/>
            </w:r>
          </w:hyperlink>
          <w:r w:rsidR="00000000">
            <w:rPr>
              <w:rFonts w:ascii="Times New Roman" w:eastAsia="Times New Roman" w:hAnsi="Times New Roman" w:cs="Times New Roman"/>
              <w:sz w:val="26"/>
              <w:szCs w:val="26"/>
            </w:rPr>
            <w:t>1</w:t>
          </w:r>
        </w:p>
        <w:p w14:paraId="45256387"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gwd4rwos0p95">
            <w:r>
              <w:rPr>
                <w:rFonts w:ascii="Times New Roman" w:eastAsia="Times New Roman" w:hAnsi="Times New Roman" w:cs="Times New Roman"/>
                <w:color w:val="000000"/>
                <w:sz w:val="26"/>
                <w:szCs w:val="26"/>
              </w:rPr>
              <w:t>2. Research Subject and Scope</w:t>
            </w:r>
            <w:r>
              <w:rPr>
                <w:rFonts w:ascii="Times New Roman" w:eastAsia="Times New Roman" w:hAnsi="Times New Roman" w:cs="Times New Roman"/>
                <w:color w:val="000000"/>
                <w:sz w:val="26"/>
                <w:szCs w:val="26"/>
              </w:rPr>
              <w:tab/>
            </w:r>
          </w:hyperlink>
          <w:r w:rsidR="00000000">
            <w:rPr>
              <w:rFonts w:ascii="Times New Roman" w:eastAsia="Times New Roman" w:hAnsi="Times New Roman" w:cs="Times New Roman"/>
              <w:sz w:val="26"/>
              <w:szCs w:val="26"/>
            </w:rPr>
            <w:t>1</w:t>
          </w:r>
        </w:p>
        <w:p w14:paraId="46681925"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7farvlczyeva">
            <w:r>
              <w:rPr>
                <w:rFonts w:ascii="Times New Roman" w:eastAsia="Times New Roman" w:hAnsi="Times New Roman" w:cs="Times New Roman"/>
                <w:color w:val="000000"/>
                <w:sz w:val="26"/>
                <w:szCs w:val="26"/>
              </w:rPr>
              <w:t>3. Research Objectives and Methodology</w:t>
            </w:r>
            <w:r>
              <w:rPr>
                <w:rFonts w:ascii="Times New Roman" w:eastAsia="Times New Roman" w:hAnsi="Times New Roman" w:cs="Times New Roman"/>
                <w:color w:val="000000"/>
                <w:sz w:val="26"/>
                <w:szCs w:val="26"/>
              </w:rPr>
              <w:tab/>
            </w:r>
          </w:hyperlink>
          <w:r w:rsidR="00000000">
            <w:rPr>
              <w:rFonts w:ascii="Times New Roman" w:eastAsia="Times New Roman" w:hAnsi="Times New Roman" w:cs="Times New Roman"/>
              <w:sz w:val="26"/>
              <w:szCs w:val="26"/>
            </w:rPr>
            <w:t>1</w:t>
          </w:r>
        </w:p>
        <w:p w14:paraId="229977E3" w14:textId="77777777" w:rsidR="005A5BF4" w:rsidRDefault="005A5BF4">
          <w:pPr>
            <w:pBdr>
              <w:top w:val="nil"/>
              <w:left w:val="nil"/>
              <w:bottom w:val="nil"/>
              <w:right w:val="nil"/>
              <w:between w:val="nil"/>
            </w:pBdr>
            <w:tabs>
              <w:tab w:val="left" w:pos="480"/>
              <w:tab w:val="right" w:leader="dot" w:pos="9016"/>
            </w:tabs>
            <w:spacing w:after="100"/>
            <w:rPr>
              <w:rFonts w:ascii="Times New Roman" w:eastAsia="Times New Roman" w:hAnsi="Times New Roman" w:cs="Times New Roman"/>
              <w:color w:val="000000"/>
              <w:sz w:val="26"/>
              <w:szCs w:val="26"/>
            </w:rPr>
          </w:pPr>
          <w:hyperlink w:anchor="_heading=h.1me2ulfruiem">
            <w:r>
              <w:rPr>
                <w:rFonts w:ascii="Times New Roman" w:eastAsia="Times New Roman" w:hAnsi="Times New Roman" w:cs="Times New Roman"/>
                <w:b/>
                <w:bCs/>
                <w:color w:val="000000"/>
                <w:sz w:val="26"/>
                <w:szCs w:val="26"/>
              </w:rPr>
              <w:t>1.</w:t>
            </w:r>
          </w:hyperlink>
          <w:hyperlink w:anchor="_heading=h.1me2ulfruiem">
            <w:r>
              <w:rPr>
                <w:rFonts w:ascii="Times New Roman" w:eastAsia="Times New Roman" w:hAnsi="Times New Roman" w:cs="Times New Roman"/>
                <w:color w:val="000000"/>
                <w:sz w:val="26"/>
                <w:szCs w:val="26"/>
              </w:rPr>
              <w:tab/>
            </w:r>
          </w:hyperlink>
          <w:r w:rsidR="00000000">
            <w:fldChar w:fldCharType="begin"/>
          </w:r>
          <w:r w:rsidR="00000000">
            <w:instrText xml:space="preserve"> PAGEREF _heading=h.1me2ulfruiem \h </w:instrText>
          </w:r>
          <w:r w:rsidR="00000000">
            <w:fldChar w:fldCharType="separate"/>
          </w:r>
          <w:r w:rsidR="00000000">
            <w:rPr>
              <w:rFonts w:ascii="Times New Roman" w:eastAsia="Times New Roman" w:hAnsi="Times New Roman" w:cs="Times New Roman"/>
              <w:b/>
              <w:bCs/>
              <w:color w:val="000000"/>
              <w:sz w:val="26"/>
              <w:szCs w:val="26"/>
            </w:rPr>
            <w:t>Definition of Product Liability</w:t>
          </w:r>
          <w:r w:rsidR="00000000">
            <w:rPr>
              <w:rFonts w:ascii="Times New Roman" w:eastAsia="Times New Roman" w:hAnsi="Times New Roman" w:cs="Times New Roman"/>
              <w:color w:val="000000"/>
              <w:sz w:val="26"/>
              <w:szCs w:val="26"/>
            </w:rPr>
            <w:tab/>
            <w:t>1</w:t>
          </w:r>
          <w:r w:rsidR="00000000">
            <w:fldChar w:fldCharType="end"/>
          </w:r>
        </w:p>
        <w:p w14:paraId="7498F1F7"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e5higzoz99la">
            <w:r>
              <w:rPr>
                <w:rFonts w:ascii="Times New Roman" w:eastAsia="Times New Roman" w:hAnsi="Times New Roman" w:cs="Times New Roman"/>
                <w:color w:val="000000"/>
                <w:sz w:val="26"/>
                <w:szCs w:val="26"/>
              </w:rPr>
              <w:t>1.1. Strict liability defendants</w:t>
            </w:r>
            <w:r>
              <w:rPr>
                <w:rFonts w:ascii="Times New Roman" w:eastAsia="Times New Roman" w:hAnsi="Times New Roman" w:cs="Times New Roman"/>
                <w:color w:val="000000"/>
                <w:sz w:val="26"/>
                <w:szCs w:val="26"/>
              </w:rPr>
              <w:tab/>
              <w:t>1</w:t>
            </w:r>
          </w:hyperlink>
        </w:p>
        <w:p w14:paraId="2A877AE8"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vazds9wzbcf">
            <w:r>
              <w:rPr>
                <w:rFonts w:ascii="Times New Roman" w:eastAsia="Times New Roman" w:hAnsi="Times New Roman" w:cs="Times New Roman"/>
                <w:color w:val="000000"/>
                <w:sz w:val="26"/>
                <w:szCs w:val="26"/>
              </w:rPr>
              <w:t>1.2. Strict liability plaintiffs</w:t>
            </w:r>
            <w:r>
              <w:rPr>
                <w:rFonts w:ascii="Times New Roman" w:eastAsia="Times New Roman" w:hAnsi="Times New Roman" w:cs="Times New Roman"/>
                <w:color w:val="000000"/>
                <w:sz w:val="26"/>
                <w:szCs w:val="26"/>
              </w:rPr>
              <w:tab/>
              <w:t>2</w:t>
            </w:r>
          </w:hyperlink>
        </w:p>
        <w:p w14:paraId="2A82D898"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btumylpcwju6">
            <w:r>
              <w:rPr>
                <w:rFonts w:ascii="Times New Roman" w:eastAsia="Times New Roman" w:hAnsi="Times New Roman" w:cs="Times New Roman"/>
                <w:color w:val="000000"/>
                <w:sz w:val="26"/>
                <w:szCs w:val="26"/>
              </w:rPr>
              <w:t>1.3. Strict liability damages</w:t>
            </w:r>
            <w:r>
              <w:rPr>
                <w:rFonts w:ascii="Times New Roman" w:eastAsia="Times New Roman" w:hAnsi="Times New Roman" w:cs="Times New Roman"/>
                <w:color w:val="000000"/>
                <w:sz w:val="26"/>
                <w:szCs w:val="26"/>
              </w:rPr>
              <w:tab/>
              <w:t>2</w:t>
            </w:r>
          </w:hyperlink>
        </w:p>
        <w:p w14:paraId="78BC0F8A" w14:textId="77777777" w:rsidR="005A5BF4" w:rsidRDefault="005A5BF4">
          <w:pPr>
            <w:pBdr>
              <w:top w:val="nil"/>
              <w:left w:val="nil"/>
              <w:bottom w:val="nil"/>
              <w:right w:val="nil"/>
              <w:between w:val="nil"/>
            </w:pBdr>
            <w:tabs>
              <w:tab w:val="left" w:pos="480"/>
              <w:tab w:val="right" w:leader="dot" w:pos="9016"/>
            </w:tabs>
            <w:spacing w:after="100"/>
            <w:rPr>
              <w:rFonts w:ascii="Times New Roman" w:eastAsia="Times New Roman" w:hAnsi="Times New Roman" w:cs="Times New Roman"/>
              <w:color w:val="000000"/>
              <w:sz w:val="26"/>
              <w:szCs w:val="26"/>
            </w:rPr>
          </w:pPr>
          <w:hyperlink w:anchor="_heading=h.p1e1g6mvb1t">
            <w:r>
              <w:rPr>
                <w:rFonts w:ascii="Times New Roman" w:eastAsia="Times New Roman" w:hAnsi="Times New Roman" w:cs="Times New Roman"/>
                <w:b/>
                <w:bCs/>
                <w:color w:val="000000"/>
                <w:sz w:val="26"/>
                <w:szCs w:val="26"/>
              </w:rPr>
              <w:t>2.</w:t>
            </w:r>
          </w:hyperlink>
          <w:hyperlink w:anchor="_heading=h.p1e1g6mvb1t">
            <w:r>
              <w:rPr>
                <w:rFonts w:ascii="Times New Roman" w:eastAsia="Times New Roman" w:hAnsi="Times New Roman" w:cs="Times New Roman"/>
                <w:color w:val="000000"/>
                <w:sz w:val="26"/>
                <w:szCs w:val="26"/>
              </w:rPr>
              <w:tab/>
            </w:r>
          </w:hyperlink>
          <w:r w:rsidR="00000000">
            <w:fldChar w:fldCharType="begin"/>
          </w:r>
          <w:r w:rsidR="00000000">
            <w:instrText xml:space="preserve"> PAGEREF _heading=h.p1e1g6mvb1t \h </w:instrText>
          </w:r>
          <w:r w:rsidR="00000000">
            <w:fldChar w:fldCharType="separate"/>
          </w:r>
          <w:r w:rsidR="00000000">
            <w:rPr>
              <w:rFonts w:ascii="Times New Roman" w:eastAsia="Times New Roman" w:hAnsi="Times New Roman" w:cs="Times New Roman"/>
              <w:b/>
              <w:bCs/>
              <w:color w:val="000000"/>
              <w:sz w:val="26"/>
              <w:szCs w:val="26"/>
            </w:rPr>
            <w:t>Negligence and Strict Liability Compared in Product Liability</w:t>
          </w:r>
          <w:r w:rsidR="00000000">
            <w:rPr>
              <w:rFonts w:ascii="Times New Roman" w:eastAsia="Times New Roman" w:hAnsi="Times New Roman" w:cs="Times New Roman"/>
              <w:color w:val="000000"/>
              <w:sz w:val="26"/>
              <w:szCs w:val="26"/>
            </w:rPr>
            <w:tab/>
            <w:t>3</w:t>
          </w:r>
          <w:r w:rsidR="00000000">
            <w:fldChar w:fldCharType="end"/>
          </w:r>
        </w:p>
        <w:p w14:paraId="61AD168B" w14:textId="77777777" w:rsidR="005A5BF4" w:rsidRDefault="005A5BF4">
          <w:pPr>
            <w:pBdr>
              <w:top w:val="nil"/>
              <w:left w:val="nil"/>
              <w:bottom w:val="nil"/>
              <w:right w:val="nil"/>
              <w:between w:val="nil"/>
            </w:pBdr>
            <w:tabs>
              <w:tab w:val="left" w:pos="480"/>
              <w:tab w:val="right" w:leader="dot" w:pos="9016"/>
            </w:tabs>
            <w:spacing w:after="100"/>
            <w:rPr>
              <w:rFonts w:ascii="Times New Roman" w:eastAsia="Times New Roman" w:hAnsi="Times New Roman" w:cs="Times New Roman"/>
              <w:color w:val="000000"/>
              <w:sz w:val="26"/>
              <w:szCs w:val="26"/>
            </w:rPr>
          </w:pPr>
          <w:hyperlink w:anchor="_heading=h.vqn81at1pncg">
            <w:r>
              <w:rPr>
                <w:rFonts w:ascii="Times New Roman" w:eastAsia="Times New Roman" w:hAnsi="Times New Roman" w:cs="Times New Roman"/>
                <w:b/>
                <w:bCs/>
                <w:color w:val="000000"/>
                <w:sz w:val="26"/>
                <w:szCs w:val="26"/>
              </w:rPr>
              <w:t>3.</w:t>
            </w:r>
          </w:hyperlink>
          <w:hyperlink w:anchor="_heading=h.vqn81at1pncg">
            <w:r>
              <w:rPr>
                <w:rFonts w:ascii="Times New Roman" w:eastAsia="Times New Roman" w:hAnsi="Times New Roman" w:cs="Times New Roman"/>
                <w:color w:val="000000"/>
                <w:sz w:val="26"/>
                <w:szCs w:val="26"/>
              </w:rPr>
              <w:tab/>
            </w:r>
          </w:hyperlink>
          <w:r w:rsidR="00000000">
            <w:fldChar w:fldCharType="begin"/>
          </w:r>
          <w:r w:rsidR="00000000">
            <w:instrText xml:space="preserve"> PAGEREF _heading=h.vqn81at1pncg \h </w:instrText>
          </w:r>
          <w:r w:rsidR="00000000">
            <w:fldChar w:fldCharType="separate"/>
          </w:r>
          <w:r w:rsidR="00000000">
            <w:rPr>
              <w:rFonts w:ascii="Times New Roman" w:eastAsia="Times New Roman" w:hAnsi="Times New Roman" w:cs="Times New Roman"/>
              <w:b/>
              <w:bCs/>
              <w:color w:val="000000"/>
              <w:sz w:val="26"/>
              <w:szCs w:val="26"/>
            </w:rPr>
            <w:t>Types of Defective Products</w:t>
          </w:r>
          <w:r w:rsidR="00000000">
            <w:rPr>
              <w:rFonts w:ascii="Times New Roman" w:eastAsia="Times New Roman" w:hAnsi="Times New Roman" w:cs="Times New Roman"/>
              <w:color w:val="000000"/>
              <w:sz w:val="26"/>
              <w:szCs w:val="26"/>
            </w:rPr>
            <w:tab/>
            <w:t>4</w:t>
          </w:r>
          <w:r w:rsidR="00000000">
            <w:fldChar w:fldCharType="end"/>
          </w:r>
        </w:p>
        <w:p w14:paraId="4846C49D"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o0dl95lpeav6">
            <w:r>
              <w:rPr>
                <w:rFonts w:ascii="Times New Roman" w:eastAsia="Times New Roman" w:hAnsi="Times New Roman" w:cs="Times New Roman"/>
                <w:color w:val="000000"/>
                <w:sz w:val="26"/>
                <w:szCs w:val="26"/>
              </w:rPr>
              <w:t>3.1. Defects in Manufacture</w:t>
            </w:r>
            <w:r>
              <w:rPr>
                <w:rFonts w:ascii="Times New Roman" w:eastAsia="Times New Roman" w:hAnsi="Times New Roman" w:cs="Times New Roman"/>
                <w:color w:val="000000"/>
                <w:sz w:val="26"/>
                <w:szCs w:val="26"/>
              </w:rPr>
              <w:tab/>
              <w:t>4</w:t>
            </w:r>
          </w:hyperlink>
        </w:p>
        <w:p w14:paraId="5DF18703"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pbap7xtzlpq">
            <w:r>
              <w:rPr>
                <w:rFonts w:ascii="Times New Roman" w:eastAsia="Times New Roman" w:hAnsi="Times New Roman" w:cs="Times New Roman"/>
                <w:color w:val="000000"/>
                <w:sz w:val="26"/>
                <w:szCs w:val="26"/>
              </w:rPr>
              <w:t>3.2. Design Defects</w:t>
            </w:r>
            <w:r>
              <w:rPr>
                <w:rFonts w:ascii="Times New Roman" w:eastAsia="Times New Roman" w:hAnsi="Times New Roman" w:cs="Times New Roman"/>
                <w:color w:val="000000"/>
                <w:sz w:val="26"/>
                <w:szCs w:val="26"/>
              </w:rPr>
              <w:tab/>
              <w:t>6</w:t>
            </w:r>
          </w:hyperlink>
        </w:p>
        <w:p w14:paraId="15D55EFA"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7fun9e2rf1gz">
            <w:r>
              <w:rPr>
                <w:rFonts w:ascii="Times New Roman" w:eastAsia="Times New Roman" w:hAnsi="Times New Roman" w:cs="Times New Roman"/>
                <w:color w:val="000000"/>
                <w:sz w:val="26"/>
                <w:szCs w:val="26"/>
              </w:rPr>
              <w:t>3.2.1. Definition and Characteristics of Design Defects:</w:t>
            </w:r>
            <w:r>
              <w:rPr>
                <w:rFonts w:ascii="Times New Roman" w:eastAsia="Times New Roman" w:hAnsi="Times New Roman" w:cs="Times New Roman"/>
                <w:color w:val="000000"/>
                <w:sz w:val="26"/>
                <w:szCs w:val="26"/>
              </w:rPr>
              <w:tab/>
              <w:t>6</w:t>
            </w:r>
          </w:hyperlink>
        </w:p>
        <w:p w14:paraId="35A94AFA"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l9czx6kf4s0r">
            <w:r>
              <w:rPr>
                <w:rFonts w:ascii="Times New Roman" w:eastAsia="Times New Roman" w:hAnsi="Times New Roman" w:cs="Times New Roman"/>
                <w:color w:val="000000"/>
                <w:sz w:val="26"/>
                <w:szCs w:val="26"/>
              </w:rPr>
              <w:t>3.2.2. Legal standards for Design Defects</w:t>
            </w:r>
            <w:r>
              <w:rPr>
                <w:rFonts w:ascii="Times New Roman" w:eastAsia="Times New Roman" w:hAnsi="Times New Roman" w:cs="Times New Roman"/>
                <w:color w:val="000000"/>
                <w:sz w:val="26"/>
                <w:szCs w:val="26"/>
              </w:rPr>
              <w:tab/>
              <w:t>7</w:t>
            </w:r>
          </w:hyperlink>
        </w:p>
        <w:p w14:paraId="3AAE2E77"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i0hkmzb2zuqd">
            <w:r>
              <w:rPr>
                <w:rFonts w:ascii="Times New Roman" w:eastAsia="Times New Roman" w:hAnsi="Times New Roman" w:cs="Times New Roman"/>
                <w:color w:val="000000"/>
                <w:sz w:val="26"/>
                <w:szCs w:val="26"/>
              </w:rPr>
              <w:t>3.2.3. Cases study</w:t>
            </w:r>
            <w:r>
              <w:rPr>
                <w:rFonts w:ascii="Times New Roman" w:eastAsia="Times New Roman" w:hAnsi="Times New Roman" w:cs="Times New Roman"/>
                <w:color w:val="000000"/>
                <w:sz w:val="26"/>
                <w:szCs w:val="26"/>
              </w:rPr>
              <w:tab/>
              <w:t>7</w:t>
            </w:r>
          </w:hyperlink>
        </w:p>
        <w:p w14:paraId="4739564F"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o8ad2dm1otel">
            <w:r>
              <w:rPr>
                <w:rFonts w:ascii="Times New Roman" w:eastAsia="Times New Roman" w:hAnsi="Times New Roman" w:cs="Times New Roman"/>
                <w:color w:val="000000"/>
                <w:sz w:val="26"/>
                <w:szCs w:val="26"/>
              </w:rPr>
              <w:t>DIFFERENCES BETWEEN DEFECTS IN PRODUCT AND DEFECTS IN MANUFACTURING</w:t>
            </w:r>
            <w:r>
              <w:rPr>
                <w:rFonts w:ascii="Times New Roman" w:eastAsia="Times New Roman" w:hAnsi="Times New Roman" w:cs="Times New Roman"/>
                <w:color w:val="000000"/>
                <w:sz w:val="26"/>
                <w:szCs w:val="26"/>
              </w:rPr>
              <w:tab/>
              <w:t>9</w:t>
            </w:r>
          </w:hyperlink>
        </w:p>
        <w:p w14:paraId="7DB0EEAF"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bmn8myb5rgd">
            <w:r>
              <w:rPr>
                <w:rFonts w:ascii="Times New Roman" w:eastAsia="Times New Roman" w:hAnsi="Times New Roman" w:cs="Times New Roman"/>
                <w:color w:val="000000"/>
                <w:sz w:val="26"/>
                <w:szCs w:val="26"/>
              </w:rPr>
              <w:t>3.3. Failure to Warn</w:t>
            </w:r>
            <w:r>
              <w:rPr>
                <w:rFonts w:ascii="Times New Roman" w:eastAsia="Times New Roman" w:hAnsi="Times New Roman" w:cs="Times New Roman"/>
                <w:color w:val="000000"/>
                <w:sz w:val="26"/>
                <w:szCs w:val="26"/>
              </w:rPr>
              <w:tab/>
              <w:t>11</w:t>
            </w:r>
          </w:hyperlink>
        </w:p>
        <w:p w14:paraId="07C1B58D"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8ub81yev3dh">
            <w:r>
              <w:rPr>
                <w:rFonts w:ascii="Times New Roman" w:eastAsia="Times New Roman" w:hAnsi="Times New Roman" w:cs="Times New Roman"/>
                <w:color w:val="000000"/>
                <w:sz w:val="26"/>
                <w:szCs w:val="26"/>
              </w:rPr>
              <w:t>3.3.1.Definition of failure to warn</w:t>
            </w:r>
            <w:r>
              <w:rPr>
                <w:rFonts w:ascii="Times New Roman" w:eastAsia="Times New Roman" w:hAnsi="Times New Roman" w:cs="Times New Roman"/>
                <w:color w:val="000000"/>
                <w:sz w:val="26"/>
                <w:szCs w:val="26"/>
              </w:rPr>
              <w:tab/>
              <w:t>11</w:t>
            </w:r>
          </w:hyperlink>
        </w:p>
        <w:p w14:paraId="2D5E8D02"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26y0a3pnmxc4">
            <w:r>
              <w:rPr>
                <w:rFonts w:ascii="Times New Roman" w:eastAsia="Times New Roman" w:hAnsi="Times New Roman" w:cs="Times New Roman"/>
                <w:color w:val="000000"/>
                <w:sz w:val="26"/>
                <w:szCs w:val="26"/>
              </w:rPr>
              <w:t>3.3.2</w:t>
            </w:r>
          </w:hyperlink>
          <w:hyperlink w:anchor="_heading=h.26y0a3pnmxc4">
            <w:r>
              <w:rPr>
                <w:rFonts w:ascii="Times New Roman" w:eastAsia="Times New Roman" w:hAnsi="Times New Roman" w:cs="Times New Roman"/>
                <w:b/>
                <w:bCs/>
                <w:color w:val="000000"/>
                <w:sz w:val="26"/>
                <w:szCs w:val="26"/>
              </w:rPr>
              <w:t>.</w:t>
            </w:r>
          </w:hyperlink>
          <w:hyperlink w:anchor="_heading=h.26y0a3pnmxc4">
            <w:r>
              <w:rPr>
                <w:rFonts w:ascii="Times New Roman" w:eastAsia="Times New Roman" w:hAnsi="Times New Roman" w:cs="Times New Roman"/>
                <w:color w:val="000000"/>
                <w:sz w:val="26"/>
                <w:szCs w:val="26"/>
              </w:rPr>
              <w:t>Case summary</w:t>
            </w:r>
            <w:r>
              <w:rPr>
                <w:rFonts w:ascii="Times New Roman" w:eastAsia="Times New Roman" w:hAnsi="Times New Roman" w:cs="Times New Roman"/>
                <w:color w:val="000000"/>
                <w:sz w:val="26"/>
                <w:szCs w:val="26"/>
              </w:rPr>
              <w:tab/>
              <w:t>11</w:t>
            </w:r>
          </w:hyperlink>
        </w:p>
        <w:p w14:paraId="1F5454B4"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vudixzzakhv">
            <w:r>
              <w:rPr>
                <w:rFonts w:ascii="Times New Roman" w:eastAsia="Times New Roman" w:hAnsi="Times New Roman" w:cs="Times New Roman"/>
                <w:color w:val="000000"/>
                <w:sz w:val="26"/>
                <w:szCs w:val="26"/>
              </w:rPr>
              <w:t>3.4.3. IRAC Analysis</w:t>
            </w:r>
            <w:r>
              <w:rPr>
                <w:rFonts w:ascii="Times New Roman" w:eastAsia="Times New Roman" w:hAnsi="Times New Roman" w:cs="Times New Roman"/>
                <w:color w:val="000000"/>
                <w:sz w:val="26"/>
                <w:szCs w:val="26"/>
              </w:rPr>
              <w:tab/>
              <w:t>12</w:t>
            </w:r>
          </w:hyperlink>
        </w:p>
        <w:p w14:paraId="0142421B"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yp6vyos91jxb">
            <w:r>
              <w:rPr>
                <w:rFonts w:ascii="Times New Roman" w:eastAsia="Times New Roman" w:hAnsi="Times New Roman" w:cs="Times New Roman"/>
                <w:color w:val="000000"/>
                <w:sz w:val="26"/>
                <w:szCs w:val="26"/>
              </w:rPr>
              <w:t>3.4. Defect in packaging</w:t>
            </w:r>
            <w:r>
              <w:rPr>
                <w:rFonts w:ascii="Times New Roman" w:eastAsia="Times New Roman" w:hAnsi="Times New Roman" w:cs="Times New Roman"/>
                <w:color w:val="000000"/>
                <w:sz w:val="26"/>
                <w:szCs w:val="26"/>
              </w:rPr>
              <w:tab/>
              <w:t>13</w:t>
            </w:r>
          </w:hyperlink>
        </w:p>
        <w:p w14:paraId="65EEA893" w14:textId="77777777" w:rsidR="005A5BF4" w:rsidRDefault="005A5BF4">
          <w:pPr>
            <w:pBdr>
              <w:top w:val="nil"/>
              <w:left w:val="nil"/>
              <w:bottom w:val="nil"/>
              <w:right w:val="nil"/>
              <w:between w:val="nil"/>
            </w:pBdr>
            <w:tabs>
              <w:tab w:val="right" w:leader="dot" w:pos="9016"/>
            </w:tabs>
            <w:spacing w:after="100"/>
            <w:rPr>
              <w:rFonts w:ascii="Times New Roman" w:eastAsia="Times New Roman" w:hAnsi="Times New Roman" w:cs="Times New Roman"/>
              <w:b/>
              <w:bCs/>
              <w:color w:val="000000"/>
              <w:sz w:val="26"/>
              <w:szCs w:val="26"/>
            </w:rPr>
          </w:pPr>
          <w:hyperlink w:anchor="_heading=h.t80899y0iutu">
            <w:r>
              <w:rPr>
                <w:rFonts w:ascii="Times New Roman" w:eastAsia="Times New Roman" w:hAnsi="Times New Roman" w:cs="Times New Roman"/>
                <w:b/>
                <w:bCs/>
                <w:color w:val="000000"/>
                <w:sz w:val="26"/>
                <w:szCs w:val="26"/>
              </w:rPr>
              <w:t>4. The Vietnamese product liability regime under consumer protection laws.</w:t>
            </w:r>
            <w:r>
              <w:rPr>
                <w:rFonts w:ascii="Times New Roman" w:eastAsia="Times New Roman" w:hAnsi="Times New Roman" w:cs="Times New Roman"/>
                <w:b/>
                <w:bCs/>
                <w:color w:val="000000"/>
                <w:sz w:val="26"/>
                <w:szCs w:val="26"/>
              </w:rPr>
              <w:tab/>
              <w:t>16</w:t>
            </w:r>
          </w:hyperlink>
        </w:p>
        <w:p w14:paraId="0FC5F409"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i5ti1jud1r0m">
            <w:r>
              <w:rPr>
                <w:rFonts w:ascii="Times New Roman" w:eastAsia="Times New Roman" w:hAnsi="Times New Roman" w:cs="Times New Roman"/>
                <w:color w:val="000000"/>
                <w:sz w:val="26"/>
                <w:szCs w:val="26"/>
              </w:rPr>
              <w:t>4.1. Fundamental Similarities in Principles</w:t>
            </w:r>
            <w:r>
              <w:rPr>
                <w:rFonts w:ascii="Times New Roman" w:eastAsia="Times New Roman" w:hAnsi="Times New Roman" w:cs="Times New Roman"/>
                <w:color w:val="000000"/>
                <w:sz w:val="26"/>
                <w:szCs w:val="26"/>
              </w:rPr>
              <w:tab/>
              <w:t>17</w:t>
            </w:r>
          </w:hyperlink>
        </w:p>
        <w:p w14:paraId="382FBA0A" w14:textId="77777777" w:rsidR="005A5BF4" w:rsidRDefault="005A5BF4">
          <w:pPr>
            <w:pBdr>
              <w:top w:val="nil"/>
              <w:left w:val="nil"/>
              <w:bottom w:val="nil"/>
              <w:right w:val="nil"/>
              <w:between w:val="nil"/>
            </w:pBdr>
            <w:tabs>
              <w:tab w:val="right" w:leader="dot" w:pos="9016"/>
            </w:tabs>
            <w:spacing w:after="100"/>
            <w:ind w:left="220"/>
            <w:rPr>
              <w:rFonts w:ascii="Times New Roman" w:eastAsia="Times New Roman" w:hAnsi="Times New Roman" w:cs="Times New Roman"/>
              <w:color w:val="000000"/>
              <w:sz w:val="26"/>
              <w:szCs w:val="26"/>
            </w:rPr>
          </w:pPr>
          <w:hyperlink w:anchor="_heading=h.jtksp21p2uza">
            <w:r>
              <w:rPr>
                <w:rFonts w:ascii="Times New Roman" w:eastAsia="Times New Roman" w:hAnsi="Times New Roman" w:cs="Times New Roman"/>
                <w:color w:val="000000"/>
                <w:sz w:val="26"/>
                <w:szCs w:val="26"/>
              </w:rPr>
              <w:t>4.2. United States and Vietnam compared</w:t>
            </w:r>
            <w:r>
              <w:rPr>
                <w:rFonts w:ascii="Times New Roman" w:eastAsia="Times New Roman" w:hAnsi="Times New Roman" w:cs="Times New Roman"/>
                <w:color w:val="000000"/>
                <w:sz w:val="26"/>
                <w:szCs w:val="26"/>
              </w:rPr>
              <w:tab/>
              <w:t>17</w:t>
            </w:r>
          </w:hyperlink>
        </w:p>
        <w:p w14:paraId="1A00D106" w14:textId="77777777" w:rsidR="005A5BF4" w:rsidRDefault="005A5BF4">
          <w:pPr>
            <w:pBdr>
              <w:top w:val="nil"/>
              <w:left w:val="nil"/>
              <w:bottom w:val="nil"/>
              <w:right w:val="nil"/>
              <w:between w:val="nil"/>
            </w:pBdr>
            <w:tabs>
              <w:tab w:val="right" w:leader="dot" w:pos="9016"/>
            </w:tabs>
            <w:spacing w:after="100"/>
            <w:rPr>
              <w:rFonts w:ascii="Times New Roman" w:eastAsia="Times New Roman" w:hAnsi="Times New Roman" w:cs="Times New Roman"/>
              <w:color w:val="000000"/>
              <w:sz w:val="26"/>
              <w:szCs w:val="26"/>
            </w:rPr>
          </w:pPr>
          <w:hyperlink w:anchor="_heading=h.5zclkonujl3c">
            <w:r>
              <w:rPr>
                <w:rFonts w:ascii="Times New Roman" w:eastAsia="Times New Roman" w:hAnsi="Times New Roman" w:cs="Times New Roman"/>
                <w:b/>
                <w:bCs/>
                <w:color w:val="000000"/>
                <w:sz w:val="26"/>
                <w:szCs w:val="26"/>
              </w:rPr>
              <w:t>5. Practical implications</w:t>
            </w:r>
          </w:hyperlink>
          <w:hyperlink w:anchor="_heading=h.5zclkonujl3c">
            <w:r>
              <w:rPr>
                <w:rFonts w:ascii="Times New Roman" w:eastAsia="Times New Roman" w:hAnsi="Times New Roman" w:cs="Times New Roman"/>
                <w:color w:val="000000"/>
                <w:sz w:val="26"/>
                <w:szCs w:val="26"/>
              </w:rPr>
              <w:tab/>
              <w:t>19</w:t>
            </w:r>
          </w:hyperlink>
        </w:p>
        <w:p w14:paraId="2C5FA048"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xv1v5afzhmv">
            <w:r>
              <w:rPr>
                <w:rFonts w:ascii="Times New Roman" w:eastAsia="Times New Roman" w:hAnsi="Times New Roman" w:cs="Times New Roman"/>
                <w:color w:val="000000"/>
                <w:sz w:val="26"/>
                <w:szCs w:val="26"/>
              </w:rPr>
              <w:t>5.1. Consumer Protection and Simplified Burden of Proof</w:t>
            </w:r>
            <w:r>
              <w:rPr>
                <w:rFonts w:ascii="Times New Roman" w:eastAsia="Times New Roman" w:hAnsi="Times New Roman" w:cs="Times New Roman"/>
                <w:color w:val="000000"/>
                <w:sz w:val="26"/>
                <w:szCs w:val="26"/>
              </w:rPr>
              <w:tab/>
              <w:t>19</w:t>
            </w:r>
          </w:hyperlink>
        </w:p>
        <w:p w14:paraId="6B94C079"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cuyxw3n58kbb">
            <w:r>
              <w:rPr>
                <w:rFonts w:ascii="Times New Roman" w:eastAsia="Times New Roman" w:hAnsi="Times New Roman" w:cs="Times New Roman"/>
                <w:color w:val="000000"/>
                <w:sz w:val="26"/>
                <w:szCs w:val="26"/>
              </w:rPr>
              <w:t>5.2. Promoting Product Safety and Risk Prevention</w:t>
            </w:r>
            <w:r>
              <w:rPr>
                <w:rFonts w:ascii="Times New Roman" w:eastAsia="Times New Roman" w:hAnsi="Times New Roman" w:cs="Times New Roman"/>
                <w:color w:val="000000"/>
                <w:sz w:val="26"/>
                <w:szCs w:val="26"/>
              </w:rPr>
              <w:tab/>
              <w:t>19</w:t>
            </w:r>
          </w:hyperlink>
        </w:p>
        <w:p w14:paraId="44A8C563"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56tbn2qjw0nh">
            <w:r>
              <w:rPr>
                <w:rFonts w:ascii="Times New Roman" w:eastAsia="Times New Roman" w:hAnsi="Times New Roman" w:cs="Times New Roman"/>
                <w:color w:val="000000"/>
                <w:sz w:val="26"/>
                <w:szCs w:val="26"/>
              </w:rPr>
              <w:t>5.3. Impact on Pricing and the "Cost of Doing Business"</w:t>
            </w:r>
            <w:r>
              <w:rPr>
                <w:rFonts w:ascii="Times New Roman" w:eastAsia="Times New Roman" w:hAnsi="Times New Roman" w:cs="Times New Roman"/>
                <w:color w:val="000000"/>
                <w:sz w:val="26"/>
                <w:szCs w:val="26"/>
              </w:rPr>
              <w:tab/>
              <w:t>19</w:t>
            </w:r>
          </w:hyperlink>
        </w:p>
        <w:p w14:paraId="19A9424E"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pszpcvcl8oqr">
            <w:r>
              <w:rPr>
                <w:rFonts w:ascii="Times New Roman" w:eastAsia="Times New Roman" w:hAnsi="Times New Roman" w:cs="Times New Roman"/>
                <w:color w:val="000000"/>
                <w:sz w:val="26"/>
                <w:szCs w:val="26"/>
              </w:rPr>
              <w:t>5.4. Consequences for Markets and Businesses</w:t>
            </w:r>
            <w:r>
              <w:rPr>
                <w:rFonts w:ascii="Times New Roman" w:eastAsia="Times New Roman" w:hAnsi="Times New Roman" w:cs="Times New Roman"/>
                <w:color w:val="000000"/>
                <w:sz w:val="26"/>
                <w:szCs w:val="26"/>
              </w:rPr>
              <w:tab/>
              <w:t>19</w:t>
            </w:r>
          </w:hyperlink>
        </w:p>
        <w:p w14:paraId="0D616DED" w14:textId="77777777" w:rsidR="005A5BF4" w:rsidRDefault="005A5BF4">
          <w:pPr>
            <w:pBdr>
              <w:top w:val="nil"/>
              <w:left w:val="nil"/>
              <w:bottom w:val="nil"/>
              <w:right w:val="nil"/>
              <w:between w:val="nil"/>
            </w:pBdr>
            <w:tabs>
              <w:tab w:val="right" w:pos="9016"/>
            </w:tabs>
            <w:spacing w:after="100"/>
            <w:ind w:left="440"/>
            <w:rPr>
              <w:rFonts w:ascii="Times New Roman" w:eastAsia="Times New Roman" w:hAnsi="Times New Roman" w:cs="Times New Roman"/>
              <w:color w:val="000000"/>
              <w:sz w:val="26"/>
              <w:szCs w:val="26"/>
            </w:rPr>
          </w:pPr>
          <w:hyperlink w:anchor="_heading=h.1oc5nwkwr9ht">
            <w:r>
              <w:rPr>
                <w:rFonts w:ascii="Times New Roman" w:eastAsia="Times New Roman" w:hAnsi="Times New Roman" w:cs="Times New Roman"/>
                <w:color w:val="000000"/>
                <w:sz w:val="26"/>
                <w:szCs w:val="26"/>
              </w:rPr>
              <w:t>5.5. Practical Legal Complexities</w:t>
            </w:r>
            <w:r>
              <w:rPr>
                <w:rFonts w:ascii="Times New Roman" w:eastAsia="Times New Roman" w:hAnsi="Times New Roman" w:cs="Times New Roman"/>
                <w:color w:val="000000"/>
                <w:sz w:val="26"/>
                <w:szCs w:val="26"/>
              </w:rPr>
              <w:tab/>
              <w:t>19</w:t>
            </w:r>
          </w:hyperlink>
        </w:p>
        <w:p w14:paraId="6DC2CA6D" w14:textId="77777777" w:rsidR="005A5BF4" w:rsidRDefault="005A5BF4">
          <w:pPr>
            <w:pBdr>
              <w:top w:val="nil"/>
              <w:left w:val="nil"/>
              <w:bottom w:val="nil"/>
              <w:right w:val="nil"/>
              <w:between w:val="nil"/>
            </w:pBdr>
            <w:tabs>
              <w:tab w:val="right" w:leader="dot" w:pos="9016"/>
            </w:tabs>
            <w:spacing w:after="100"/>
            <w:rPr>
              <w:rFonts w:ascii="Times New Roman" w:eastAsia="Times New Roman" w:hAnsi="Times New Roman" w:cs="Times New Roman"/>
              <w:b/>
              <w:bCs/>
              <w:color w:val="000000"/>
              <w:sz w:val="26"/>
              <w:szCs w:val="26"/>
            </w:rPr>
          </w:pPr>
          <w:hyperlink w:anchor="_heading=h.nv6b9mabn97e">
            <w:r>
              <w:rPr>
                <w:rFonts w:ascii="Times New Roman" w:eastAsia="Times New Roman" w:hAnsi="Times New Roman" w:cs="Times New Roman"/>
                <w:b/>
                <w:bCs/>
                <w:color w:val="000000"/>
                <w:sz w:val="26"/>
                <w:szCs w:val="26"/>
              </w:rPr>
              <w:t>CONCLUSION</w:t>
            </w:r>
            <w:r>
              <w:rPr>
                <w:rFonts w:ascii="Times New Roman" w:eastAsia="Times New Roman" w:hAnsi="Times New Roman" w:cs="Times New Roman"/>
                <w:b/>
                <w:bCs/>
                <w:color w:val="000000"/>
                <w:sz w:val="26"/>
                <w:szCs w:val="26"/>
              </w:rPr>
              <w:tab/>
              <w:t>21</w:t>
            </w:r>
          </w:hyperlink>
        </w:p>
        <w:p w14:paraId="64DCB3AD" w14:textId="77777777" w:rsidR="005A5BF4" w:rsidRDefault="005A5BF4">
          <w:pPr>
            <w:pBdr>
              <w:top w:val="nil"/>
              <w:left w:val="nil"/>
              <w:bottom w:val="nil"/>
              <w:right w:val="nil"/>
              <w:between w:val="nil"/>
            </w:pBdr>
            <w:tabs>
              <w:tab w:val="right" w:leader="dot" w:pos="9016"/>
            </w:tabs>
            <w:spacing w:after="100"/>
            <w:rPr>
              <w:rFonts w:ascii="Times New Roman" w:eastAsia="Times New Roman" w:hAnsi="Times New Roman" w:cs="Times New Roman"/>
              <w:b/>
              <w:bCs/>
              <w:color w:val="000000"/>
              <w:sz w:val="26"/>
              <w:szCs w:val="26"/>
            </w:rPr>
          </w:pPr>
          <w:hyperlink w:anchor="_heading=h.hiqfapkp6biv">
            <w:r>
              <w:rPr>
                <w:rFonts w:ascii="Times New Roman" w:eastAsia="Times New Roman" w:hAnsi="Times New Roman" w:cs="Times New Roman"/>
                <w:b/>
                <w:bCs/>
                <w:color w:val="000000"/>
                <w:sz w:val="26"/>
                <w:szCs w:val="26"/>
              </w:rPr>
              <w:t>BIBLIOGRAPHY</w:t>
            </w:r>
            <w:r>
              <w:rPr>
                <w:rFonts w:ascii="Times New Roman" w:eastAsia="Times New Roman" w:hAnsi="Times New Roman" w:cs="Times New Roman"/>
                <w:b/>
                <w:bCs/>
                <w:color w:val="000000"/>
                <w:sz w:val="26"/>
                <w:szCs w:val="26"/>
              </w:rPr>
              <w:tab/>
              <w:t>22</w:t>
            </w:r>
          </w:hyperlink>
        </w:p>
        <w:p w14:paraId="01E5EC43" w14:textId="77777777" w:rsidR="005A5BF4" w:rsidRDefault="00000000">
          <w:r>
            <w:fldChar w:fldCharType="end"/>
          </w:r>
        </w:p>
      </w:sdtContent>
    </w:sdt>
    <w:p w14:paraId="6CA575D8"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22A6BF75"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720BA9C4"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447CC23C"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01343F5C"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4C6F4B71"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64AE0F88"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0496C5C7"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272E0FF4"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2D26C102"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42C73A80"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701C12FE"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001199F5"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3E4BECE6"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01CC036F"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0AAC6C34"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13BFC72F"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3F491AB3"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72921E4D"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6AA16D40"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4DE92510"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043FB779"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1B6E5C93"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73E22F0B"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4733A950"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23F346B1"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46EBCBF7"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5EFCB080"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1F0BFC50"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29DB4C6D"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5D0FB063"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3DEEA80C"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07B1A549"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451E9B97"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4243C0EE"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3C4D3278"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7895EE6C"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2AE8945B"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379028EC"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307EB29D"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0796F274" w14:textId="77777777" w:rsidR="005A5BF4" w:rsidRDefault="00000000">
      <w:pPr>
        <w:pStyle w:val="Heading1"/>
        <w:rPr>
          <w:rFonts w:ascii="Times New Roman" w:eastAsia="Times New Roman" w:hAnsi="Times New Roman" w:cs="Times New Roman"/>
          <w:sz w:val="26"/>
          <w:szCs w:val="26"/>
        </w:rPr>
      </w:pPr>
      <w:bookmarkStart w:id="0" w:name="_heading=h.jc7mk1ew89ci" w:colFirst="0" w:colLast="0"/>
      <w:bookmarkEnd w:id="0"/>
      <w:r>
        <w:rPr>
          <w:rFonts w:ascii="Times New Roman" w:eastAsia="Times New Roman" w:hAnsi="Times New Roman" w:cs="Times New Roman"/>
          <w:color w:val="000000"/>
          <w:sz w:val="26"/>
          <w:szCs w:val="26"/>
        </w:rPr>
        <w:t>INTRODUCTION</w:t>
      </w:r>
    </w:p>
    <w:p w14:paraId="44DFEF35" w14:textId="77777777" w:rsidR="005A5BF4" w:rsidRDefault="005A5BF4">
      <w:pPr>
        <w:spacing w:after="0" w:line="240" w:lineRule="auto"/>
        <w:jc w:val="both"/>
        <w:rPr>
          <w:rFonts w:ascii="Times New Roman" w:eastAsia="Times New Roman" w:hAnsi="Times New Roman" w:cs="Times New Roman"/>
          <w:sz w:val="26"/>
          <w:szCs w:val="26"/>
        </w:rPr>
      </w:pPr>
    </w:p>
    <w:p w14:paraId="5DE89E64" w14:textId="77777777" w:rsidR="005A5BF4" w:rsidRDefault="00000000">
      <w:pPr>
        <w:pStyle w:val="Heading2"/>
        <w:rPr>
          <w:rFonts w:ascii="Times New Roman" w:eastAsia="Times New Roman" w:hAnsi="Times New Roman" w:cs="Times New Roman"/>
        </w:rPr>
      </w:pPr>
      <w:bookmarkStart w:id="1" w:name="_heading=h.6gh2klfjuo2c" w:colFirst="0" w:colLast="0"/>
      <w:bookmarkEnd w:id="1"/>
      <w:r>
        <w:rPr>
          <w:rFonts w:ascii="Times New Roman" w:eastAsia="Times New Roman" w:hAnsi="Times New Roman" w:cs="Times New Roman"/>
          <w:color w:val="000000"/>
        </w:rPr>
        <w:t>1. Significance of Topic</w:t>
      </w:r>
    </w:p>
    <w:p w14:paraId="40114FE0" w14:textId="77777777" w:rsidR="005A5BF4" w:rsidRDefault="005A5BF4">
      <w:pPr>
        <w:spacing w:after="0" w:line="240" w:lineRule="auto"/>
        <w:jc w:val="both"/>
        <w:rPr>
          <w:rFonts w:ascii="Times New Roman" w:eastAsia="Times New Roman" w:hAnsi="Times New Roman" w:cs="Times New Roman"/>
          <w:sz w:val="26"/>
          <w:szCs w:val="26"/>
        </w:rPr>
      </w:pPr>
    </w:p>
    <w:p w14:paraId="73320D47" w14:textId="77777777" w:rsidR="005A5BF4" w:rsidRDefault="00000000">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In the context of mass production and increasingly complex supply chains, defective products pose serious risks to consumers' health, safety, and property. Modern consumers often lack the technical expertise and bargaining power necessary to evaluate product safety before use, making them particularly hazardous </w:t>
      </w:r>
      <w:proofErr w:type="gramStart"/>
      <w:r>
        <w:rPr>
          <w:rFonts w:ascii="Times New Roman" w:eastAsia="Times New Roman" w:hAnsi="Times New Roman" w:cs="Times New Roman"/>
          <w:color w:val="000000"/>
          <w:sz w:val="26"/>
          <w:szCs w:val="26"/>
        </w:rPr>
        <w:t>to harm caused by</w:t>
      </w:r>
      <w:proofErr w:type="gramEnd"/>
      <w:r>
        <w:rPr>
          <w:rFonts w:ascii="Times New Roman" w:eastAsia="Times New Roman" w:hAnsi="Times New Roman" w:cs="Times New Roman"/>
          <w:color w:val="000000"/>
          <w:sz w:val="26"/>
          <w:szCs w:val="26"/>
        </w:rPr>
        <w:t xml:space="preserve"> defective goods. As a result, the legal regulation of product-related injuries has become an urgent concern. Product liability, especially under the doctrine of strict liability in tort law, plays a crucial role in addressing this issue by shifting the burden of loss from injured consumers to manufacturers and other parties involved in the distribution chain. The study of product liability is therefore significant not only for enhancing consumer protection but also for promoting higher safety standards and responsible manufacturing practices.</w:t>
      </w:r>
    </w:p>
    <w:p w14:paraId="623452E1" w14:textId="77777777" w:rsidR="005A5BF4" w:rsidRDefault="00000000">
      <w:pPr>
        <w:pStyle w:val="Heading2"/>
        <w:rPr>
          <w:rFonts w:ascii="Times New Roman" w:eastAsia="Times New Roman" w:hAnsi="Times New Roman" w:cs="Times New Roman"/>
        </w:rPr>
      </w:pPr>
      <w:bookmarkStart w:id="2" w:name="_heading=h.gwd4rwos0p95" w:colFirst="0" w:colLast="0"/>
      <w:bookmarkEnd w:id="2"/>
      <w:r>
        <w:rPr>
          <w:rFonts w:ascii="Times New Roman" w:eastAsia="Times New Roman" w:hAnsi="Times New Roman" w:cs="Times New Roman"/>
          <w:color w:val="000000"/>
        </w:rPr>
        <w:t>2. Research Subject and Scope</w:t>
      </w:r>
    </w:p>
    <w:p w14:paraId="0C5C65C5" w14:textId="77777777" w:rsidR="005A5BF4" w:rsidRDefault="005A5BF4">
      <w:pPr>
        <w:spacing w:after="0" w:line="240" w:lineRule="auto"/>
        <w:jc w:val="both"/>
        <w:rPr>
          <w:rFonts w:ascii="Times New Roman" w:eastAsia="Times New Roman" w:hAnsi="Times New Roman" w:cs="Times New Roman"/>
          <w:sz w:val="26"/>
          <w:szCs w:val="26"/>
        </w:rPr>
      </w:pPr>
    </w:p>
    <w:p w14:paraId="4FB8FCD9"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The subject of this paper is product liability within the law of torts, with a primary focus on strict liability for defective products under common law systems. The scope of the research includes an examination of the theoretical foundations of strict liability, the identification of defendants and accusers, and the types of </w:t>
      </w:r>
      <w:proofErr w:type="gramStart"/>
      <w:r>
        <w:rPr>
          <w:rFonts w:ascii="Times New Roman" w:eastAsia="Times New Roman" w:hAnsi="Times New Roman" w:cs="Times New Roman"/>
          <w:color w:val="000000"/>
          <w:sz w:val="26"/>
          <w:szCs w:val="26"/>
        </w:rPr>
        <w:t>damages</w:t>
      </w:r>
      <w:proofErr w:type="gramEnd"/>
      <w:r>
        <w:rPr>
          <w:rFonts w:ascii="Times New Roman" w:eastAsia="Times New Roman" w:hAnsi="Times New Roman" w:cs="Times New Roman"/>
          <w:color w:val="000000"/>
          <w:sz w:val="26"/>
          <w:szCs w:val="26"/>
        </w:rPr>
        <w:t xml:space="preserve"> recoverable in product liability cases. In addition, the paper analyzes the main categories of defective products, including manufacturing defects, design defects, defective packaging, and failure to warn. A comparative perspective with Vietnamese product liability under consumer protection law is also included to highlight similarities, differences, and practical limitations.</w:t>
      </w:r>
    </w:p>
    <w:p w14:paraId="06C8F936" w14:textId="77777777" w:rsidR="005A5BF4" w:rsidRDefault="005A5BF4">
      <w:pPr>
        <w:spacing w:after="0" w:line="240" w:lineRule="auto"/>
        <w:jc w:val="both"/>
        <w:rPr>
          <w:rFonts w:ascii="Times New Roman" w:eastAsia="Times New Roman" w:hAnsi="Times New Roman" w:cs="Times New Roman"/>
          <w:sz w:val="26"/>
          <w:szCs w:val="26"/>
        </w:rPr>
      </w:pPr>
    </w:p>
    <w:p w14:paraId="670D4111" w14:textId="77777777" w:rsidR="005A5BF4" w:rsidRDefault="00000000">
      <w:pPr>
        <w:pStyle w:val="Heading2"/>
        <w:rPr>
          <w:rFonts w:ascii="Times New Roman" w:eastAsia="Times New Roman" w:hAnsi="Times New Roman" w:cs="Times New Roman"/>
        </w:rPr>
      </w:pPr>
      <w:bookmarkStart w:id="3" w:name="_heading=h.7farvlczyeva" w:colFirst="0" w:colLast="0"/>
      <w:bookmarkEnd w:id="3"/>
      <w:r>
        <w:rPr>
          <w:rFonts w:ascii="Times New Roman" w:eastAsia="Times New Roman" w:hAnsi="Times New Roman" w:cs="Times New Roman"/>
          <w:color w:val="000000"/>
        </w:rPr>
        <w:t>3. Research Objectives and Methodology</w:t>
      </w:r>
    </w:p>
    <w:p w14:paraId="028608B7" w14:textId="77777777" w:rsidR="005A5BF4" w:rsidRDefault="005A5BF4">
      <w:pPr>
        <w:spacing w:after="0" w:line="240" w:lineRule="auto"/>
        <w:jc w:val="both"/>
        <w:rPr>
          <w:rFonts w:ascii="Times New Roman" w:eastAsia="Times New Roman" w:hAnsi="Times New Roman" w:cs="Times New Roman"/>
          <w:sz w:val="26"/>
          <w:szCs w:val="26"/>
        </w:rPr>
      </w:pPr>
    </w:p>
    <w:p w14:paraId="6B08F84B" w14:textId="77777777" w:rsidR="005A5BF4" w:rsidRDefault="00000000">
      <w:pPr>
        <w:spacing w:after="0" w:line="240" w:lineRule="auto"/>
        <w:jc w:val="both"/>
        <w:rPr>
          <w:rFonts w:ascii="Times New Roman" w:eastAsia="Times New Roman" w:hAnsi="Times New Roman" w:cs="Times New Roman"/>
          <w:sz w:val="26"/>
          <w:szCs w:val="26"/>
        </w:rPr>
        <w:sectPr w:rsidR="005A5BF4" w:rsidSect="00D818AB">
          <w:footerReference w:type="default" r:id="rId9"/>
          <w:footerReference w:type="first" r:id="rId10"/>
          <w:pgSz w:w="11906" w:h="16838"/>
          <w:pgMar w:top="1440" w:right="1440" w:bottom="1440" w:left="1440" w:header="720" w:footer="720" w:gutter="0"/>
          <w:pgNumType w:start="0"/>
          <w:cols w:space="720"/>
          <w:titlePg/>
          <w:docGrid w:linePitch="299"/>
        </w:sectPr>
      </w:pPr>
      <w:r>
        <w:rPr>
          <w:rFonts w:ascii="Times New Roman" w:eastAsia="Times New Roman" w:hAnsi="Times New Roman" w:cs="Times New Roman"/>
          <w:color w:val="000000"/>
          <w:sz w:val="26"/>
          <w:szCs w:val="26"/>
        </w:rPr>
        <w:t>The objective of this paper is to clarify the legal basis and practical application of strict product liability and to assess its effectiveness in comparison with negligence-based liability. To achieve this objective, the paper employs doctrinal legal analysis, case law analysis, and comparative legal research. These methods are used to examine judicial reasoning, evaluate legal principles, and provide a comprehensive understanding of product liability in both common law and Vietnamese legal contexts.</w:t>
      </w:r>
    </w:p>
    <w:p w14:paraId="522A4EB5" w14:textId="77777777" w:rsidR="005A5BF4" w:rsidRDefault="005A5BF4">
      <w:pPr>
        <w:spacing w:after="0" w:line="240" w:lineRule="auto"/>
        <w:jc w:val="both"/>
        <w:rPr>
          <w:rFonts w:ascii="Times New Roman" w:eastAsia="Times New Roman" w:hAnsi="Times New Roman" w:cs="Times New Roman"/>
          <w:sz w:val="26"/>
          <w:szCs w:val="26"/>
        </w:rPr>
      </w:pPr>
    </w:p>
    <w:p w14:paraId="3C1A5118" w14:textId="77777777" w:rsidR="005A5BF4" w:rsidRDefault="00000000">
      <w:pPr>
        <w:numPr>
          <w:ilvl w:val="0"/>
          <w:numId w:val="5"/>
        </w:num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bookmarkStart w:id="4" w:name="_heading=h.1me2ulfruiem" w:colFirst="0" w:colLast="0"/>
      <w:bookmarkEnd w:id="4"/>
      <w:r>
        <w:rPr>
          <w:rFonts w:ascii="Times New Roman" w:eastAsia="Times New Roman" w:hAnsi="Times New Roman" w:cs="Times New Roman"/>
          <w:b/>
          <w:bCs/>
          <w:color w:val="000000"/>
          <w:sz w:val="26"/>
          <w:szCs w:val="26"/>
        </w:rPr>
        <w:t>Definition of Product Liability </w:t>
      </w:r>
    </w:p>
    <w:p w14:paraId="58A5C94E" w14:textId="77777777" w:rsidR="005A5BF4" w:rsidRDefault="00000000">
      <w:pP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Product liability refers to the legal responsibility of manufacturers, distributors, and sellers to compensate consumers for injuries or </w:t>
      </w:r>
      <w:proofErr w:type="gramStart"/>
      <w:r>
        <w:rPr>
          <w:rFonts w:ascii="Times New Roman" w:eastAsia="Times New Roman" w:hAnsi="Times New Roman" w:cs="Times New Roman"/>
          <w:color w:val="000000"/>
          <w:sz w:val="26"/>
          <w:szCs w:val="26"/>
        </w:rPr>
        <w:t>damages</w:t>
      </w:r>
      <w:proofErr w:type="gramEnd"/>
      <w:r>
        <w:rPr>
          <w:rFonts w:ascii="Times New Roman" w:eastAsia="Times New Roman" w:hAnsi="Times New Roman" w:cs="Times New Roman"/>
          <w:color w:val="000000"/>
          <w:sz w:val="26"/>
          <w:szCs w:val="26"/>
        </w:rPr>
        <w:t xml:space="preserve"> caused by defective </w:t>
      </w:r>
      <w:proofErr w:type="gramStart"/>
      <w:r>
        <w:rPr>
          <w:rFonts w:ascii="Times New Roman" w:eastAsia="Times New Roman" w:hAnsi="Times New Roman" w:cs="Times New Roman"/>
          <w:color w:val="000000"/>
          <w:sz w:val="26"/>
          <w:szCs w:val="26"/>
        </w:rPr>
        <w:t>product</w:t>
      </w:r>
      <w:proofErr w:type="gramEnd"/>
      <w:r>
        <w:rPr>
          <w:rFonts w:ascii="Times New Roman" w:eastAsia="Times New Roman" w:hAnsi="Times New Roman" w:cs="Times New Roman"/>
          <w:color w:val="000000"/>
          <w:sz w:val="26"/>
          <w:szCs w:val="26"/>
        </w:rPr>
        <w:t>. The scope of product liability is broad, encompassing a wide range of products, from consumer goods to industrial equipment.</w:t>
      </w:r>
    </w:p>
    <w:p w14:paraId="6B288907" w14:textId="77777777" w:rsidR="005A5B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Tort law provides the foundation for product liability claims. Tort law is a body of law that addresses civil wrongs, providing remedies for individuals who have suffered harm or injury due to the actions or omissions of others.</w:t>
      </w:r>
    </w:p>
    <w:p w14:paraId="0D1DCDA1" w14:textId="77777777" w:rsidR="005A5BF4" w:rsidRDefault="005A5BF4">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4B66452C" w14:textId="77777777" w:rsidR="005A5BF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In product liability cases, tort law is applied to determine whether a manufacturer or supplier is liable for injuries or </w:t>
      </w:r>
      <w:proofErr w:type="gramStart"/>
      <w:r>
        <w:rPr>
          <w:rFonts w:ascii="Times New Roman" w:eastAsia="Times New Roman" w:hAnsi="Times New Roman" w:cs="Times New Roman"/>
          <w:color w:val="000000"/>
          <w:sz w:val="26"/>
          <w:szCs w:val="26"/>
        </w:rPr>
        <w:t>damages</w:t>
      </w:r>
      <w:proofErr w:type="gramEnd"/>
      <w:r>
        <w:rPr>
          <w:rFonts w:ascii="Times New Roman" w:eastAsia="Times New Roman" w:hAnsi="Times New Roman" w:cs="Times New Roman"/>
          <w:color w:val="000000"/>
          <w:sz w:val="26"/>
          <w:szCs w:val="26"/>
        </w:rPr>
        <w:t xml:space="preserve"> caused by a defective product. The court will examine whether the defendant breached its duty of care and whether this breach caused the plaintiff's harm.</w:t>
      </w:r>
    </w:p>
    <w:p w14:paraId="2D787EDB"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Article 402 of the Restatement (Second) of Torts (1965)</w:t>
      </w:r>
    </w:p>
    <w:p w14:paraId="02A7512F"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 One who sells any product in a defective condition unreasonably dangerous to the user or consumer or to his property is subject to liability for physical harm thereby caused to the ultimate user or consumer, or to his property, if:</w:t>
      </w:r>
    </w:p>
    <w:p w14:paraId="67E21F56"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(a) the seller is engaged in the business of selling such a product, and</w:t>
      </w:r>
    </w:p>
    <w:p w14:paraId="68D906FA"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(b) it is expected to and does reach the user or consumer without substantial change in the condition in which it is sold.</w:t>
      </w:r>
    </w:p>
    <w:p w14:paraId="68ED8267"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 The rule stated in Subsection (1) applies, although:</w:t>
      </w:r>
    </w:p>
    <w:p w14:paraId="7AB0A499"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(a) the seller has exercised all possible care in the preparation and sale of his product, and</w:t>
      </w:r>
    </w:p>
    <w:p w14:paraId="65A77319"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(b) the user or consumer has not bought the product from or </w:t>
      </w:r>
      <w:proofErr w:type="gramStart"/>
      <w:r>
        <w:rPr>
          <w:rFonts w:ascii="Times New Roman" w:eastAsia="Times New Roman" w:hAnsi="Times New Roman" w:cs="Times New Roman"/>
          <w:color w:val="000000"/>
          <w:sz w:val="26"/>
          <w:szCs w:val="26"/>
        </w:rPr>
        <w:t>entered into</w:t>
      </w:r>
      <w:proofErr w:type="gramEnd"/>
      <w:r>
        <w:rPr>
          <w:rFonts w:ascii="Times New Roman" w:eastAsia="Times New Roman" w:hAnsi="Times New Roman" w:cs="Times New Roman"/>
          <w:color w:val="000000"/>
          <w:sz w:val="26"/>
          <w:szCs w:val="26"/>
        </w:rPr>
        <w:t xml:space="preserve"> any contractual relation with the seller.</w:t>
      </w:r>
      <w:r>
        <w:rPr>
          <w:rFonts w:ascii="Times New Roman" w:eastAsia="Times New Roman" w:hAnsi="Times New Roman" w:cs="Times New Roman"/>
          <w:sz w:val="26"/>
          <w:szCs w:val="26"/>
          <w:vertAlign w:val="superscript"/>
        </w:rPr>
        <w:footnoteReference w:id="1"/>
      </w:r>
    </w:p>
    <w:p w14:paraId="63F7671D" w14:textId="77777777" w:rsidR="005A5BF4" w:rsidRDefault="00000000">
      <w:pPr>
        <w:pStyle w:val="Heading2"/>
        <w:rPr>
          <w:rFonts w:ascii="Times New Roman" w:eastAsia="Times New Roman" w:hAnsi="Times New Roman" w:cs="Times New Roman"/>
        </w:rPr>
      </w:pPr>
      <w:bookmarkStart w:id="5" w:name="_heading=h.e5higzoz99la" w:colFirst="0" w:colLast="0"/>
      <w:bookmarkEnd w:id="5"/>
      <w:r>
        <w:rPr>
          <w:rFonts w:ascii="Times New Roman" w:eastAsia="Times New Roman" w:hAnsi="Times New Roman" w:cs="Times New Roman"/>
          <w:color w:val="000000"/>
        </w:rPr>
        <w:t>1.1. Strict liability defendants</w:t>
      </w:r>
    </w:p>
    <w:p w14:paraId="253BA5FE" w14:textId="77777777" w:rsidR="005A5BF4" w:rsidRDefault="00000000">
      <w:pPr>
        <w:spacing w:before="240" w:after="240" w:line="24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Defendant: Sellers and lessors engaged in the business of selling or leasing products. </w:t>
      </w:r>
    </w:p>
    <w:p w14:paraId="7C5BCEAC"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All parties in the chain of distribution </w:t>
      </w:r>
    </w:p>
    <w:p w14:paraId="69148EAC"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All manufacturers, distributors, wholesalers, retailers, lessors, and subcomponent manufacturers. </w:t>
      </w:r>
    </w:p>
    <w:p w14:paraId="54B255CB"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lastRenderedPageBreak/>
        <w:t>Not for non-merchants</w:t>
      </w:r>
    </w:p>
    <w:p w14:paraId="58922982" w14:textId="77777777" w:rsidR="005A5BF4" w:rsidRDefault="00000000">
      <w:pPr>
        <w:pStyle w:val="Heading2"/>
        <w:rPr>
          <w:rFonts w:ascii="Times New Roman" w:eastAsia="Times New Roman" w:hAnsi="Times New Roman" w:cs="Times New Roman"/>
        </w:rPr>
      </w:pPr>
      <w:bookmarkStart w:id="6" w:name="_heading=h.vazds9wzbcf" w:colFirst="0" w:colLast="0"/>
      <w:bookmarkEnd w:id="6"/>
      <w:r>
        <w:rPr>
          <w:rFonts w:ascii="Times New Roman" w:eastAsia="Times New Roman" w:hAnsi="Times New Roman" w:cs="Times New Roman"/>
          <w:color w:val="000000"/>
        </w:rPr>
        <w:t>1.2. Strict liability plaintiffs</w:t>
      </w:r>
    </w:p>
    <w:p w14:paraId="7A4F351E" w14:textId="77777777" w:rsidR="005A5BF4" w:rsidRDefault="00000000">
      <w:pPr>
        <w:spacing w:before="240" w:after="240" w:line="24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Plaintiff: Any injured party</w:t>
      </w:r>
    </w:p>
    <w:p w14:paraId="4BB5B862"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Privity of contract </w:t>
      </w:r>
      <w:proofErr w:type="gramStart"/>
      <w:r>
        <w:rPr>
          <w:rFonts w:ascii="Times New Roman" w:eastAsia="Times New Roman" w:hAnsi="Times New Roman" w:cs="Times New Roman"/>
          <w:color w:val="000000"/>
          <w:sz w:val="26"/>
          <w:szCs w:val="26"/>
        </w:rPr>
        <w:t>not</w:t>
      </w:r>
      <w:proofErr w:type="gramEnd"/>
      <w:r>
        <w:rPr>
          <w:rFonts w:ascii="Times New Roman" w:eastAsia="Times New Roman" w:hAnsi="Times New Roman" w:cs="Times New Roman"/>
          <w:color w:val="000000"/>
          <w:sz w:val="26"/>
          <w:szCs w:val="26"/>
        </w:rPr>
        <w:t xml:space="preserve"> required. </w:t>
      </w:r>
    </w:p>
    <w:p w14:paraId="156F6471"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Recovery is possible even if the injured party had no contractual relations with the defendants. </w:t>
      </w:r>
    </w:p>
    <w:p w14:paraId="6D6CF88C" w14:textId="77777777" w:rsidR="005A5BF4" w:rsidRDefault="00000000">
      <w:pPr>
        <w:pStyle w:val="Heading2"/>
        <w:rPr>
          <w:rFonts w:ascii="Times New Roman" w:eastAsia="Times New Roman" w:hAnsi="Times New Roman" w:cs="Times New Roman"/>
        </w:rPr>
      </w:pPr>
      <w:bookmarkStart w:id="7" w:name="_heading=h.btumylpcwju6" w:colFirst="0" w:colLast="0"/>
      <w:bookmarkEnd w:id="7"/>
      <w:r>
        <w:rPr>
          <w:rFonts w:ascii="Times New Roman" w:eastAsia="Times New Roman" w:hAnsi="Times New Roman" w:cs="Times New Roman"/>
          <w:color w:val="000000"/>
        </w:rPr>
        <w:t>1.3. Strict liability damages</w:t>
      </w:r>
    </w:p>
    <w:p w14:paraId="0888073A"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Damages for personal injuries </w:t>
      </w:r>
      <w:proofErr w:type="gramStart"/>
      <w:r>
        <w:rPr>
          <w:rFonts w:ascii="Times New Roman" w:eastAsia="Times New Roman" w:hAnsi="Times New Roman" w:cs="Times New Roman"/>
          <w:color w:val="000000"/>
          <w:sz w:val="26"/>
          <w:szCs w:val="26"/>
        </w:rPr>
        <w:t>available</w:t>
      </w:r>
      <w:proofErr w:type="gramEnd"/>
      <w:r>
        <w:rPr>
          <w:rFonts w:ascii="Times New Roman" w:eastAsia="Times New Roman" w:hAnsi="Times New Roman" w:cs="Times New Roman"/>
          <w:color w:val="000000"/>
          <w:sz w:val="26"/>
          <w:szCs w:val="26"/>
        </w:rPr>
        <w:t xml:space="preserve"> in all jurisdictions.</w:t>
      </w:r>
    </w:p>
    <w:p w14:paraId="6589F2FE"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Property damage </w:t>
      </w:r>
      <w:proofErr w:type="gramStart"/>
      <w:r>
        <w:rPr>
          <w:rFonts w:ascii="Times New Roman" w:eastAsia="Times New Roman" w:hAnsi="Times New Roman" w:cs="Times New Roman"/>
          <w:color w:val="000000"/>
          <w:sz w:val="26"/>
          <w:szCs w:val="26"/>
        </w:rPr>
        <w:t>recoverable</w:t>
      </w:r>
      <w:proofErr w:type="gramEnd"/>
      <w:r>
        <w:rPr>
          <w:rFonts w:ascii="Times New Roman" w:eastAsia="Times New Roman" w:hAnsi="Times New Roman" w:cs="Times New Roman"/>
          <w:color w:val="000000"/>
          <w:sz w:val="26"/>
          <w:szCs w:val="26"/>
        </w:rPr>
        <w:t xml:space="preserve"> in most jurisdictions.</w:t>
      </w:r>
    </w:p>
    <w:p w14:paraId="783BD994"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Economic loss in few jurisdictions.</w:t>
      </w:r>
    </w:p>
    <w:p w14:paraId="2B1704C5"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Punitive damages </w:t>
      </w:r>
      <w:proofErr w:type="gramStart"/>
      <w:r>
        <w:rPr>
          <w:rFonts w:ascii="Times New Roman" w:eastAsia="Times New Roman" w:hAnsi="Times New Roman" w:cs="Times New Roman"/>
          <w:color w:val="000000"/>
          <w:sz w:val="26"/>
          <w:szCs w:val="26"/>
        </w:rPr>
        <w:t>generally</w:t>
      </w:r>
      <w:proofErr w:type="gramEnd"/>
      <w:r>
        <w:rPr>
          <w:rFonts w:ascii="Times New Roman" w:eastAsia="Times New Roman" w:hAnsi="Times New Roman" w:cs="Times New Roman"/>
          <w:color w:val="000000"/>
          <w:sz w:val="26"/>
          <w:szCs w:val="26"/>
        </w:rPr>
        <w:t xml:space="preserve"> allowed if the defendant either intentionally injured the plaintiff or acted with reckless disregard.</w:t>
      </w:r>
    </w:p>
    <w:p w14:paraId="2D1EB2BD" w14:textId="77777777" w:rsidR="005A5BF4" w:rsidRDefault="005A5BF4">
      <w:pPr>
        <w:spacing w:before="240" w:after="240" w:line="240" w:lineRule="auto"/>
        <w:jc w:val="both"/>
        <w:rPr>
          <w:rFonts w:ascii="Times New Roman" w:eastAsia="Times New Roman" w:hAnsi="Times New Roman" w:cs="Times New Roman"/>
          <w:b/>
          <w:bCs/>
          <w:color w:val="000000"/>
          <w:sz w:val="26"/>
          <w:szCs w:val="26"/>
        </w:rPr>
        <w:sectPr w:rsidR="005A5BF4" w:rsidSect="00D818AB">
          <w:headerReference w:type="default" r:id="rId11"/>
          <w:footerReference w:type="default" r:id="rId12"/>
          <w:pgSz w:w="11906" w:h="16838"/>
          <w:pgMar w:top="1440" w:right="1440" w:bottom="1440" w:left="1440" w:header="720" w:footer="720" w:gutter="0"/>
          <w:cols w:space="720"/>
        </w:sectPr>
      </w:pPr>
    </w:p>
    <w:p w14:paraId="0DBBC6D8" w14:textId="77777777" w:rsidR="005A5BF4" w:rsidRDefault="00000000">
      <w:pPr>
        <w:numPr>
          <w:ilvl w:val="0"/>
          <w:numId w:val="5"/>
        </w:num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bookmarkStart w:id="8" w:name="_heading=h.p1e1g6mvb1t" w:colFirst="0" w:colLast="0"/>
      <w:bookmarkEnd w:id="8"/>
      <w:r>
        <w:rPr>
          <w:rFonts w:ascii="Times New Roman" w:eastAsia="Times New Roman" w:hAnsi="Times New Roman" w:cs="Times New Roman"/>
          <w:b/>
          <w:bCs/>
          <w:color w:val="000000"/>
          <w:sz w:val="26"/>
          <w:szCs w:val="26"/>
        </w:rPr>
        <w:lastRenderedPageBreak/>
        <w:t>Negligence and Strict Liability Compared in Product Liability</w:t>
      </w:r>
    </w:p>
    <w:tbl>
      <w:tblPr>
        <w:tblStyle w:val="a0"/>
        <w:tblW w:w="9226" w:type="dxa"/>
        <w:tblInd w:w="-100" w:type="dxa"/>
        <w:tblLayout w:type="fixed"/>
        <w:tblLook w:val="0400" w:firstRow="0" w:lastRow="0" w:firstColumn="0" w:lastColumn="0" w:noHBand="0" w:noVBand="1"/>
      </w:tblPr>
      <w:tblGrid>
        <w:gridCol w:w="1617"/>
        <w:gridCol w:w="3361"/>
        <w:gridCol w:w="4248"/>
      </w:tblGrid>
      <w:tr w:rsidR="005A5BF4" w14:paraId="10AC1915" w14:textId="77777777">
        <w:trPr>
          <w:trHeight w:val="495"/>
        </w:trPr>
        <w:tc>
          <w:tcPr>
            <w:tcW w:w="16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C7F933"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Feature</w:t>
            </w:r>
          </w:p>
        </w:tc>
        <w:tc>
          <w:tcPr>
            <w:tcW w:w="33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B0043A"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Negligence</w:t>
            </w:r>
          </w:p>
        </w:tc>
        <w:tc>
          <w:tcPr>
            <w:tcW w:w="424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9EF1B8"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Strict Liability</w:t>
            </w:r>
          </w:p>
        </w:tc>
      </w:tr>
      <w:tr w:rsidR="005A5BF4" w14:paraId="4369AF95" w14:textId="77777777">
        <w:trPr>
          <w:trHeight w:val="1110"/>
        </w:trPr>
        <w:tc>
          <w:tcPr>
            <w:tcW w:w="16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4AEA36"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Basis of Liability</w:t>
            </w:r>
          </w:p>
        </w:tc>
        <w:tc>
          <w:tcPr>
            <w:tcW w:w="33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07DA35"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Focuses on the fault or careless conduct of a specific party in the production or sale process.</w:t>
            </w:r>
          </w:p>
        </w:tc>
        <w:tc>
          <w:tcPr>
            <w:tcW w:w="424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4AECC2"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Focuses on the condition of the product itself rather than the conduct of the defendant.</w:t>
            </w:r>
          </w:p>
        </w:tc>
      </w:tr>
      <w:tr w:rsidR="005A5BF4" w14:paraId="79E0EA9E" w14:textId="77777777">
        <w:trPr>
          <w:trHeight w:val="1110"/>
        </w:trPr>
        <w:tc>
          <w:tcPr>
            <w:tcW w:w="16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81D08E"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Burden of Proof</w:t>
            </w:r>
          </w:p>
        </w:tc>
        <w:tc>
          <w:tcPr>
            <w:tcW w:w="33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2AA0DE"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 plaintiff must prove all negligent elements (e.g., duty, breach, causation, and injury).</w:t>
            </w:r>
          </w:p>
        </w:tc>
        <w:tc>
          <w:tcPr>
            <w:tcW w:w="424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6A30D9"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 injured party must show that the product that caused the injury was "somehow defective".</w:t>
            </w:r>
          </w:p>
        </w:tc>
      </w:tr>
      <w:tr w:rsidR="005A5BF4" w14:paraId="762473A5" w14:textId="77777777">
        <w:trPr>
          <w:trHeight w:val="1110"/>
        </w:trPr>
        <w:tc>
          <w:tcPr>
            <w:tcW w:w="16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959DEB"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Potential Defendants</w:t>
            </w:r>
          </w:p>
        </w:tc>
        <w:tc>
          <w:tcPr>
            <w:tcW w:w="33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D81737"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Only the negligent party (the one who </w:t>
            </w:r>
            <w:proofErr w:type="gramStart"/>
            <w:r>
              <w:rPr>
                <w:rFonts w:ascii="Times New Roman" w:eastAsia="Times New Roman" w:hAnsi="Times New Roman" w:cs="Times New Roman"/>
                <w:color w:val="000000"/>
                <w:sz w:val="26"/>
                <w:szCs w:val="26"/>
              </w:rPr>
              <w:t>actually made</w:t>
            </w:r>
            <w:proofErr w:type="gramEnd"/>
            <w:r>
              <w:rPr>
                <w:rFonts w:ascii="Times New Roman" w:eastAsia="Times New Roman" w:hAnsi="Times New Roman" w:cs="Times New Roman"/>
                <w:color w:val="000000"/>
                <w:sz w:val="26"/>
                <w:szCs w:val="26"/>
              </w:rPr>
              <w:t xml:space="preserve"> the mistake) is held liable.</w:t>
            </w:r>
          </w:p>
        </w:tc>
        <w:tc>
          <w:tcPr>
            <w:tcW w:w="424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FF6077"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All parties in the chain of distribution (manufacturers, distributors, wholesalers, retailers, lessors) are </w:t>
            </w:r>
            <w:proofErr w:type="gramStart"/>
            <w:r>
              <w:rPr>
                <w:rFonts w:ascii="Times New Roman" w:eastAsia="Times New Roman" w:hAnsi="Times New Roman" w:cs="Times New Roman"/>
                <w:color w:val="000000"/>
                <w:sz w:val="26"/>
                <w:szCs w:val="26"/>
              </w:rPr>
              <w:t>liable,.</w:t>
            </w:r>
            <w:proofErr w:type="gramEnd"/>
          </w:p>
        </w:tc>
      </w:tr>
      <w:tr w:rsidR="005A5BF4" w14:paraId="6B0C5136" w14:textId="77777777">
        <w:trPr>
          <w:trHeight w:val="1395"/>
        </w:trPr>
        <w:tc>
          <w:tcPr>
            <w:tcW w:w="161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75668B"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Potential Plaintiffs</w:t>
            </w:r>
          </w:p>
        </w:tc>
        <w:tc>
          <w:tcPr>
            <w:tcW w:w="33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EBC807" w14:textId="77777777" w:rsidR="005A5BF4" w:rsidRDefault="00000000">
            <w:pPr>
              <w:spacing w:before="240" w:after="0" w:line="24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color w:val="000000"/>
                <w:sz w:val="26"/>
                <w:szCs w:val="26"/>
              </w:rPr>
              <w:t>Generally</w:t>
            </w:r>
            <w:proofErr w:type="gramEnd"/>
            <w:r>
              <w:rPr>
                <w:rFonts w:ascii="Times New Roman" w:eastAsia="Times New Roman" w:hAnsi="Times New Roman" w:cs="Times New Roman"/>
                <w:color w:val="000000"/>
                <w:sz w:val="26"/>
                <w:szCs w:val="26"/>
              </w:rPr>
              <w:t xml:space="preserve"> focuses on those to whom a duty was owed.</w:t>
            </w:r>
          </w:p>
        </w:tc>
        <w:tc>
          <w:tcPr>
            <w:tcW w:w="424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656CD0"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Any injured party, including those with no contractual relationship with the defendant (e.g., an injured bystander).</w:t>
            </w:r>
          </w:p>
        </w:tc>
      </w:tr>
    </w:tbl>
    <w:p w14:paraId="529462CD" w14:textId="77777777" w:rsidR="005A5BF4" w:rsidRDefault="005A5BF4">
      <w:pPr>
        <w:spacing w:before="240" w:after="240" w:line="240" w:lineRule="auto"/>
        <w:jc w:val="both"/>
        <w:rPr>
          <w:rFonts w:ascii="Times New Roman" w:eastAsia="Times New Roman" w:hAnsi="Times New Roman" w:cs="Times New Roman"/>
          <w:sz w:val="26"/>
          <w:szCs w:val="26"/>
        </w:rPr>
      </w:pPr>
    </w:p>
    <w:p w14:paraId="219F38C1"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Scenario: A customer buys an air fryer that explodes due to a defect, injuring the owner and a nearby neighbor.</w:t>
      </w:r>
    </w:p>
    <w:p w14:paraId="7450F543"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Under Negligence: The plaintiff must prove that a specific party was at fault (e.g., the manufacturer failed to test the product adequately). Only the negligent party is held liable for the </w:t>
      </w:r>
      <w:proofErr w:type="gramStart"/>
      <w:r>
        <w:rPr>
          <w:rFonts w:ascii="Times New Roman" w:eastAsia="Times New Roman" w:hAnsi="Times New Roman" w:cs="Times New Roman"/>
          <w:color w:val="000000"/>
          <w:sz w:val="26"/>
          <w:szCs w:val="26"/>
        </w:rPr>
        <w:t>damages</w:t>
      </w:r>
      <w:proofErr w:type="gramEnd"/>
      <w:r>
        <w:rPr>
          <w:rFonts w:ascii="Times New Roman" w:eastAsia="Times New Roman" w:hAnsi="Times New Roman" w:cs="Times New Roman"/>
          <w:color w:val="000000"/>
          <w:sz w:val="26"/>
          <w:szCs w:val="26"/>
        </w:rPr>
        <w:t>.</w:t>
      </w:r>
    </w:p>
    <w:p w14:paraId="60DE1189"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Under Strict Liability: The plaintiff only needs to show the product was "somehow defective. All parties in the chain of distribution (manufacturer, distributor, and retailer) are held liable, regardless of who was at fault.</w:t>
      </w:r>
    </w:p>
    <w:p w14:paraId="42539AE6"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Who can sue: Both the owner and the injured bystander (the neighbor) can seek recovery, as a direct contractual relationship is not required.</w:t>
      </w:r>
    </w:p>
    <w:p w14:paraId="1C6A3323"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 Damages: Victims can recover </w:t>
      </w:r>
      <w:proofErr w:type="gramStart"/>
      <w:r>
        <w:rPr>
          <w:rFonts w:ascii="Times New Roman" w:eastAsia="Times New Roman" w:hAnsi="Times New Roman" w:cs="Times New Roman"/>
          <w:color w:val="000000"/>
          <w:sz w:val="26"/>
          <w:szCs w:val="26"/>
        </w:rPr>
        <w:t>for</w:t>
      </w:r>
      <w:proofErr w:type="gramEnd"/>
      <w:r>
        <w:rPr>
          <w:rFonts w:ascii="Times New Roman" w:eastAsia="Times New Roman" w:hAnsi="Times New Roman" w:cs="Times New Roman"/>
          <w:color w:val="000000"/>
          <w:sz w:val="26"/>
          <w:szCs w:val="26"/>
        </w:rPr>
        <w:t xml:space="preserve"> personal injuries and property damage. If the manufacturer showed reckless disregard for safety, punitive damages may be awarded</w:t>
      </w:r>
    </w:p>
    <w:p w14:paraId="3138876E" w14:textId="77777777" w:rsidR="005A5BF4" w:rsidRDefault="00000000">
      <w:pPr>
        <w:spacing w:before="240" w:after="240" w:line="240" w:lineRule="auto"/>
        <w:jc w:val="both"/>
        <w:rPr>
          <w:rFonts w:ascii="Times New Roman" w:eastAsia="Times New Roman" w:hAnsi="Times New Roman" w:cs="Times New Roman"/>
          <w:sz w:val="26"/>
          <w:szCs w:val="26"/>
        </w:rPr>
        <w:sectPr w:rsidR="005A5BF4">
          <w:pgSz w:w="11906" w:h="16838"/>
          <w:pgMar w:top="1440" w:right="1440" w:bottom="1440" w:left="1440" w:header="720" w:footer="720" w:gutter="0"/>
          <w:cols w:space="720"/>
        </w:sectPr>
      </w:pPr>
      <w:r>
        <w:rPr>
          <w:rFonts w:ascii="Times New Roman" w:eastAsia="Times New Roman" w:hAnsi="Times New Roman" w:cs="Times New Roman"/>
          <w:color w:val="000000"/>
          <w:sz w:val="26"/>
          <w:szCs w:val="26"/>
        </w:rPr>
        <w:t>• Non-merchant Exception: Strict liability would not apply if the air fryer were purchased from a neighbor at a garage sale.</w:t>
      </w:r>
    </w:p>
    <w:p w14:paraId="60B045E6" w14:textId="77777777" w:rsidR="005A5BF4"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bookmarkStart w:id="9" w:name="_heading=h.vqn81at1pncg" w:colFirst="0" w:colLast="0"/>
      <w:bookmarkEnd w:id="9"/>
      <w:r>
        <w:rPr>
          <w:rFonts w:ascii="Times New Roman" w:eastAsia="Times New Roman" w:hAnsi="Times New Roman" w:cs="Times New Roman"/>
          <w:b/>
          <w:bCs/>
          <w:color w:val="000000"/>
          <w:sz w:val="26"/>
          <w:szCs w:val="26"/>
        </w:rPr>
        <w:lastRenderedPageBreak/>
        <w:t>Types of Defective Products</w:t>
      </w:r>
    </w:p>
    <w:p w14:paraId="65767892" w14:textId="77777777" w:rsidR="005A5BF4" w:rsidRDefault="005A5BF4">
      <w:pPr>
        <w:spacing w:after="0" w:line="240" w:lineRule="auto"/>
        <w:jc w:val="both"/>
        <w:rPr>
          <w:rFonts w:ascii="Times New Roman" w:eastAsia="Times New Roman" w:hAnsi="Times New Roman" w:cs="Times New Roman"/>
          <w:sz w:val="26"/>
          <w:szCs w:val="26"/>
        </w:rPr>
      </w:pPr>
    </w:p>
    <w:p w14:paraId="0CFC6816"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In product liability law, a product may be considered defective when it is unreasonably dangerous to the consumer and causes injury during normal or foreseeable use. The concept of defectiveness focuses on the condition of the product rather than the conduct of the manufacturer. Under the doctrine of strict liability, a manufacturer may be held liable even in the absence of negligence, provided that the product is defective and the defect causes harm.</w:t>
      </w:r>
    </w:p>
    <w:p w14:paraId="4A31CED0" w14:textId="77777777" w:rsidR="005A5BF4" w:rsidRDefault="005A5BF4">
      <w:pPr>
        <w:spacing w:after="0" w:line="240" w:lineRule="auto"/>
        <w:jc w:val="both"/>
        <w:rPr>
          <w:rFonts w:ascii="Times New Roman" w:eastAsia="Times New Roman" w:hAnsi="Times New Roman" w:cs="Times New Roman"/>
          <w:sz w:val="26"/>
          <w:szCs w:val="26"/>
        </w:rPr>
      </w:pPr>
    </w:p>
    <w:p w14:paraId="73D7CB97"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Courts generally recognize four main categories of product defects, each reflecting a different source of danger and requiring distinct legal analysis. The first category is manufacturing defects, which </w:t>
      </w:r>
      <w:proofErr w:type="gramStart"/>
      <w:r>
        <w:rPr>
          <w:rFonts w:ascii="Times New Roman" w:eastAsia="Times New Roman" w:hAnsi="Times New Roman" w:cs="Times New Roman"/>
          <w:color w:val="000000"/>
          <w:sz w:val="26"/>
          <w:szCs w:val="26"/>
        </w:rPr>
        <w:t>occurs</w:t>
      </w:r>
      <w:proofErr w:type="gramEnd"/>
      <w:r>
        <w:rPr>
          <w:rFonts w:ascii="Times New Roman" w:eastAsia="Times New Roman" w:hAnsi="Times New Roman" w:cs="Times New Roman"/>
          <w:color w:val="000000"/>
          <w:sz w:val="26"/>
          <w:szCs w:val="26"/>
        </w:rPr>
        <w:t xml:space="preserve"> when a product </w:t>
      </w:r>
      <w:proofErr w:type="gramStart"/>
      <w:r>
        <w:rPr>
          <w:rFonts w:ascii="Times New Roman" w:eastAsia="Times New Roman" w:hAnsi="Times New Roman" w:cs="Times New Roman"/>
          <w:color w:val="000000"/>
          <w:sz w:val="26"/>
          <w:szCs w:val="26"/>
        </w:rPr>
        <w:t>deviate</w:t>
      </w:r>
      <w:proofErr w:type="gramEnd"/>
      <w:r>
        <w:rPr>
          <w:rFonts w:ascii="Times New Roman" w:eastAsia="Times New Roman" w:hAnsi="Times New Roman" w:cs="Times New Roman"/>
          <w:color w:val="000000"/>
          <w:sz w:val="26"/>
          <w:szCs w:val="26"/>
        </w:rPr>
        <w:t xml:space="preserve"> from its intended design due to errors in the production process. The second category is design defects, where the product is manufactured as intended but the design itself is inherently unsafe. The third category includes packaging defects, which arise when inadequate or unsafe packaging renders the product dangerous. Finally, failure to warn refers to situations in which a product lacks sufficient instructions or warnings about foreseeable risks associated with its use.</w:t>
      </w:r>
    </w:p>
    <w:p w14:paraId="38AA4B61" w14:textId="77777777" w:rsidR="005A5BF4" w:rsidRDefault="005A5BF4">
      <w:pPr>
        <w:spacing w:after="0" w:line="240" w:lineRule="auto"/>
        <w:jc w:val="both"/>
        <w:rPr>
          <w:rFonts w:ascii="Times New Roman" w:eastAsia="Times New Roman" w:hAnsi="Times New Roman" w:cs="Times New Roman"/>
          <w:sz w:val="26"/>
          <w:szCs w:val="26"/>
        </w:rPr>
      </w:pPr>
    </w:p>
    <w:p w14:paraId="781A94E3"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These classifications are essential because they guide courts in determining whether a product is defective and whether strict liability should be imposed. Among these categories, manufacturing defects are often viewed as the most straightforward basis for strict liability, as they typically involve a clear departure from the manufacturer's own standards and expectations.</w:t>
      </w:r>
    </w:p>
    <w:p w14:paraId="2ECEC1B3" w14:textId="77777777" w:rsidR="005A5BF4" w:rsidRDefault="005A5BF4">
      <w:pPr>
        <w:spacing w:after="0" w:line="240" w:lineRule="auto"/>
        <w:jc w:val="both"/>
        <w:rPr>
          <w:rFonts w:ascii="Times New Roman" w:eastAsia="Times New Roman" w:hAnsi="Times New Roman" w:cs="Times New Roman"/>
          <w:sz w:val="26"/>
          <w:szCs w:val="26"/>
        </w:rPr>
      </w:pPr>
    </w:p>
    <w:p w14:paraId="4CE9C5F8" w14:textId="77777777" w:rsidR="005A5BF4" w:rsidRDefault="00000000">
      <w:pPr>
        <w:pStyle w:val="Heading2"/>
        <w:rPr>
          <w:rFonts w:ascii="Times New Roman" w:eastAsia="Times New Roman" w:hAnsi="Times New Roman" w:cs="Times New Roman"/>
        </w:rPr>
      </w:pPr>
      <w:bookmarkStart w:id="10" w:name="_heading=h.o0dl95lpeav6" w:colFirst="0" w:colLast="0"/>
      <w:bookmarkEnd w:id="10"/>
      <w:r>
        <w:rPr>
          <w:rFonts w:ascii="Times New Roman" w:eastAsia="Times New Roman" w:hAnsi="Times New Roman" w:cs="Times New Roman"/>
          <w:color w:val="000000"/>
        </w:rPr>
        <w:t>3.1. Defects in Manufacture</w:t>
      </w:r>
    </w:p>
    <w:p w14:paraId="3F5CA20C" w14:textId="77777777" w:rsidR="005A5BF4" w:rsidRDefault="005A5BF4">
      <w:pPr>
        <w:spacing w:after="0" w:line="240" w:lineRule="auto"/>
        <w:jc w:val="both"/>
        <w:rPr>
          <w:rFonts w:ascii="Times New Roman" w:eastAsia="Times New Roman" w:hAnsi="Times New Roman" w:cs="Times New Roman"/>
          <w:sz w:val="26"/>
          <w:szCs w:val="26"/>
        </w:rPr>
      </w:pPr>
    </w:p>
    <w:p w14:paraId="5FC16FDD"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 manufacturing defect arises when a product is not made in accordance with its intended design, even though the design itself may be safe. This type of defect occurs due to errors in the manufacturing or production process, such as failure to properly assemble the product, adequately test it, or sufficiently control product quality. As a result, the final product deviates from the manufacturer's own specifications and becomes unreasonably dangerous to consumers.</w:t>
      </w:r>
    </w:p>
    <w:p w14:paraId="1AED5265" w14:textId="77777777" w:rsidR="005A5BF4" w:rsidRDefault="005A5BF4">
      <w:pPr>
        <w:spacing w:after="0" w:line="240" w:lineRule="auto"/>
        <w:jc w:val="both"/>
        <w:rPr>
          <w:rFonts w:ascii="Times New Roman" w:eastAsia="Times New Roman" w:hAnsi="Times New Roman" w:cs="Times New Roman"/>
          <w:sz w:val="26"/>
          <w:szCs w:val="26"/>
        </w:rPr>
      </w:pPr>
    </w:p>
    <w:p w14:paraId="1D7EAFC1"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Manufacturing defects typically affect only individual units or limited batches rather than the entire product line. For this reason, they are considered the clearest and most straightforward category of product defects under strict liability. In manufacturing defect cases, the focus of liability is placed on the condition of the product itself, not on the manufacturer's conduct. The accusation is therefore not required to prove </w:t>
      </w:r>
      <w:proofErr w:type="gramStart"/>
      <w:r>
        <w:rPr>
          <w:rFonts w:ascii="Times New Roman" w:eastAsia="Times New Roman" w:hAnsi="Times New Roman" w:cs="Times New Roman"/>
          <w:color w:val="000000"/>
          <w:sz w:val="26"/>
          <w:szCs w:val="26"/>
        </w:rPr>
        <w:t>negligence, but</w:t>
      </w:r>
      <w:proofErr w:type="gramEnd"/>
      <w:r>
        <w:rPr>
          <w:rFonts w:ascii="Times New Roman" w:eastAsia="Times New Roman" w:hAnsi="Times New Roman" w:cs="Times New Roman"/>
          <w:color w:val="000000"/>
          <w:sz w:val="26"/>
          <w:szCs w:val="26"/>
        </w:rPr>
        <w:t xml:space="preserve"> must show that the defect existed when the product left the manufacturer's control and that the defect caused the injury.</w:t>
      </w:r>
    </w:p>
    <w:p w14:paraId="20294865" w14:textId="77777777" w:rsidR="005A5BF4" w:rsidRDefault="005A5BF4">
      <w:pPr>
        <w:spacing w:after="0" w:line="240" w:lineRule="auto"/>
        <w:jc w:val="both"/>
        <w:rPr>
          <w:rFonts w:ascii="Times New Roman" w:eastAsia="Times New Roman" w:hAnsi="Times New Roman" w:cs="Times New Roman"/>
          <w:sz w:val="26"/>
          <w:szCs w:val="26"/>
        </w:rPr>
      </w:pPr>
    </w:p>
    <w:p w14:paraId="6ACB16E4"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0C3A1E9E"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2CB55B8E"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44862D5A"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6A86BC92"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Case Summary: Shoshone Coca-Cola Bottling Co. v. Dolinski (1966)</w:t>
      </w:r>
    </w:p>
    <w:p w14:paraId="4DFD15F0"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vertAlign w:val="superscript"/>
        </w:rPr>
        <w:footnoteReference w:id="2"/>
      </w:r>
    </w:p>
    <w:p w14:paraId="013F7D6B"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Plaintiff</w:t>
      </w:r>
      <w:r>
        <w:rPr>
          <w:rFonts w:ascii="Times New Roman" w:eastAsia="Times New Roman" w:hAnsi="Times New Roman" w:cs="Times New Roman"/>
          <w:color w:val="000000"/>
          <w:sz w:val="26"/>
          <w:szCs w:val="26"/>
        </w:rPr>
        <w:t>: Leo Dolinski</w:t>
      </w:r>
    </w:p>
    <w:p w14:paraId="7BBB348E" w14:textId="77777777" w:rsidR="005A5BF4" w:rsidRDefault="005A5BF4">
      <w:pPr>
        <w:spacing w:after="0" w:line="240" w:lineRule="auto"/>
        <w:jc w:val="both"/>
        <w:rPr>
          <w:rFonts w:ascii="Times New Roman" w:eastAsia="Times New Roman" w:hAnsi="Times New Roman" w:cs="Times New Roman"/>
          <w:sz w:val="26"/>
          <w:szCs w:val="26"/>
        </w:rPr>
      </w:pPr>
    </w:p>
    <w:p w14:paraId="57DC1EC0"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Defendant</w:t>
      </w:r>
      <w:r>
        <w:rPr>
          <w:rFonts w:ascii="Times New Roman" w:eastAsia="Times New Roman" w:hAnsi="Times New Roman" w:cs="Times New Roman"/>
          <w:color w:val="000000"/>
          <w:sz w:val="26"/>
          <w:szCs w:val="26"/>
        </w:rPr>
        <w:t>: Shoshone Coca-Cola Bottling Company (manufacturer and distributor of bottled soft drinks)</w:t>
      </w:r>
    </w:p>
    <w:p w14:paraId="3294982C" w14:textId="77777777" w:rsidR="005A5BF4" w:rsidRDefault="005A5BF4">
      <w:pPr>
        <w:spacing w:after="0" w:line="240" w:lineRule="auto"/>
        <w:jc w:val="both"/>
        <w:rPr>
          <w:rFonts w:ascii="Times New Roman" w:eastAsia="Times New Roman" w:hAnsi="Times New Roman" w:cs="Times New Roman"/>
          <w:sz w:val="26"/>
          <w:szCs w:val="26"/>
        </w:rPr>
      </w:pPr>
    </w:p>
    <w:p w14:paraId="099EA375"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Court</w:t>
      </w:r>
      <w:r>
        <w:rPr>
          <w:rFonts w:ascii="Times New Roman" w:eastAsia="Times New Roman" w:hAnsi="Times New Roman" w:cs="Times New Roman"/>
          <w:color w:val="000000"/>
          <w:sz w:val="26"/>
          <w:szCs w:val="26"/>
        </w:rPr>
        <w:t>: Nevada Supreme Court</w:t>
      </w:r>
    </w:p>
    <w:p w14:paraId="25F18052" w14:textId="77777777" w:rsidR="005A5BF4" w:rsidRDefault="005A5BF4">
      <w:pPr>
        <w:spacing w:after="0" w:line="240" w:lineRule="auto"/>
        <w:jc w:val="both"/>
        <w:rPr>
          <w:rFonts w:ascii="Times New Roman" w:eastAsia="Times New Roman" w:hAnsi="Times New Roman" w:cs="Times New Roman"/>
          <w:sz w:val="26"/>
          <w:szCs w:val="26"/>
        </w:rPr>
      </w:pPr>
    </w:p>
    <w:p w14:paraId="3CD481D6"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Year of Decision</w:t>
      </w:r>
      <w:r>
        <w:rPr>
          <w:rFonts w:ascii="Times New Roman" w:eastAsia="Times New Roman" w:hAnsi="Times New Roman" w:cs="Times New Roman"/>
          <w:color w:val="000000"/>
          <w:sz w:val="26"/>
          <w:szCs w:val="26"/>
        </w:rPr>
        <w:t>: 1966</w:t>
      </w:r>
    </w:p>
    <w:p w14:paraId="3F85C37D" w14:textId="77777777" w:rsidR="005A5BF4" w:rsidRDefault="005A5BF4">
      <w:pPr>
        <w:spacing w:after="0" w:line="240" w:lineRule="auto"/>
        <w:jc w:val="both"/>
        <w:rPr>
          <w:rFonts w:ascii="Times New Roman" w:eastAsia="Times New Roman" w:hAnsi="Times New Roman" w:cs="Times New Roman"/>
          <w:sz w:val="26"/>
          <w:szCs w:val="26"/>
        </w:rPr>
      </w:pPr>
    </w:p>
    <w:p w14:paraId="09A95699"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Facts</w:t>
      </w:r>
      <w:r>
        <w:rPr>
          <w:rFonts w:ascii="Times New Roman" w:eastAsia="Times New Roman" w:hAnsi="Times New Roman" w:cs="Times New Roman"/>
          <w:color w:val="000000"/>
          <w:sz w:val="26"/>
          <w:szCs w:val="26"/>
        </w:rPr>
        <w:t>: Leo Dolinski became seriously ill after consuming a bottle of "Squirt" soda manufactured and distributed by Shoshone Coca-Cola Bottling Company. Upon inspection, the bottle was found to contain a decomposed mouse, along with hair and fecal matter. There was no evidence that the bottle had been mishandled after leaving the defendant's facility.</w:t>
      </w:r>
    </w:p>
    <w:p w14:paraId="406BEA4C" w14:textId="77777777" w:rsidR="005A5BF4" w:rsidRDefault="005A5BF4">
      <w:pPr>
        <w:spacing w:after="0" w:line="240" w:lineRule="auto"/>
        <w:jc w:val="both"/>
        <w:rPr>
          <w:rFonts w:ascii="Times New Roman" w:eastAsia="Times New Roman" w:hAnsi="Times New Roman" w:cs="Times New Roman"/>
          <w:sz w:val="26"/>
          <w:szCs w:val="26"/>
        </w:rPr>
      </w:pPr>
    </w:p>
    <w:p w14:paraId="070840BA"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At trial, </w:t>
      </w:r>
      <w:proofErr w:type="gramStart"/>
      <w:r>
        <w:rPr>
          <w:rFonts w:ascii="Times New Roman" w:eastAsia="Times New Roman" w:hAnsi="Times New Roman" w:cs="Times New Roman"/>
          <w:color w:val="000000"/>
          <w:sz w:val="26"/>
          <w:szCs w:val="26"/>
        </w:rPr>
        <w:t>expert</w:t>
      </w:r>
      <w:proofErr w:type="gramEnd"/>
      <w:r>
        <w:rPr>
          <w:rFonts w:ascii="Times New Roman" w:eastAsia="Times New Roman" w:hAnsi="Times New Roman" w:cs="Times New Roman"/>
          <w:color w:val="000000"/>
          <w:sz w:val="26"/>
          <w:szCs w:val="26"/>
        </w:rPr>
        <w:t xml:space="preserve"> testimony from an established toxicologist that the mouse had been dead for a significant </w:t>
      </w:r>
      <w:proofErr w:type="gramStart"/>
      <w:r>
        <w:rPr>
          <w:rFonts w:ascii="Times New Roman" w:eastAsia="Times New Roman" w:hAnsi="Times New Roman" w:cs="Times New Roman"/>
          <w:color w:val="000000"/>
          <w:sz w:val="26"/>
          <w:szCs w:val="26"/>
        </w:rPr>
        <w:t>period of time</w:t>
      </w:r>
      <w:proofErr w:type="gramEnd"/>
      <w:r>
        <w:rPr>
          <w:rFonts w:ascii="Times New Roman" w:eastAsia="Times New Roman" w:hAnsi="Times New Roman" w:cs="Times New Roman"/>
          <w:color w:val="000000"/>
          <w:sz w:val="26"/>
          <w:szCs w:val="26"/>
        </w:rPr>
        <w:t xml:space="preserve"> and that feces were present at the bottom of the bottle before the liquid was added. This evidence strongly indicates that </w:t>
      </w:r>
      <w:proofErr w:type="gramStart"/>
      <w:r>
        <w:rPr>
          <w:rFonts w:ascii="Times New Roman" w:eastAsia="Times New Roman" w:hAnsi="Times New Roman" w:cs="Times New Roman"/>
          <w:color w:val="000000"/>
          <w:sz w:val="26"/>
          <w:szCs w:val="26"/>
        </w:rPr>
        <w:t>the contamination</w:t>
      </w:r>
      <w:proofErr w:type="gramEnd"/>
      <w:r>
        <w:rPr>
          <w:rFonts w:ascii="Times New Roman" w:eastAsia="Times New Roman" w:hAnsi="Times New Roman" w:cs="Times New Roman"/>
          <w:color w:val="000000"/>
          <w:sz w:val="26"/>
          <w:szCs w:val="26"/>
        </w:rPr>
        <w:t xml:space="preserve"> occurs during the manufacturing process, prior to the bottle being sealed and distributed to consumers.</w:t>
      </w:r>
    </w:p>
    <w:p w14:paraId="62A7CE40" w14:textId="77777777" w:rsidR="005A5BF4" w:rsidRDefault="005A5BF4">
      <w:pPr>
        <w:spacing w:after="0" w:line="240" w:lineRule="auto"/>
        <w:jc w:val="both"/>
        <w:rPr>
          <w:rFonts w:ascii="Times New Roman" w:eastAsia="Times New Roman" w:hAnsi="Times New Roman" w:cs="Times New Roman"/>
          <w:sz w:val="26"/>
          <w:szCs w:val="26"/>
        </w:rPr>
      </w:pPr>
    </w:p>
    <w:p w14:paraId="5AA04D4F"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Court's Reasoning</w:t>
      </w:r>
      <w:r>
        <w:rPr>
          <w:rFonts w:ascii="Times New Roman" w:eastAsia="Times New Roman" w:hAnsi="Times New Roman" w:cs="Times New Roman"/>
          <w:color w:val="000000"/>
          <w:sz w:val="26"/>
          <w:szCs w:val="26"/>
        </w:rPr>
        <w:t>: The Nevada Supreme Court rejected the defendant's arguments, emphasizing that expert evidence demonstrated the contamination existed before the bottle was filled and sealed. The court reasoned that consumers have no ability to inspect sealed beverage containers and must rely on manufacturers to ensure product safety. As manufacturers are in the best position to prevent such defects and distribute the costs of injuries, strict liability was considered appropriate.</w:t>
      </w:r>
    </w:p>
    <w:p w14:paraId="52C2A44B" w14:textId="77777777" w:rsidR="005A5BF4" w:rsidRDefault="005A5BF4">
      <w:pPr>
        <w:spacing w:after="0" w:line="240" w:lineRule="auto"/>
        <w:jc w:val="both"/>
        <w:rPr>
          <w:rFonts w:ascii="Times New Roman" w:eastAsia="Times New Roman" w:hAnsi="Times New Roman" w:cs="Times New Roman"/>
          <w:sz w:val="26"/>
          <w:szCs w:val="26"/>
        </w:rPr>
      </w:pPr>
    </w:p>
    <w:p w14:paraId="1025ADDC"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Court Decision</w:t>
      </w:r>
      <w:r>
        <w:rPr>
          <w:rFonts w:ascii="Times New Roman" w:eastAsia="Times New Roman" w:hAnsi="Times New Roman" w:cs="Times New Roman"/>
          <w:color w:val="000000"/>
          <w:sz w:val="26"/>
          <w:szCs w:val="26"/>
        </w:rPr>
        <w:t xml:space="preserve">: The Nevada Supreme Court officially adopted the doctrine of strict liability. It </w:t>
      </w:r>
      <w:proofErr w:type="gramStart"/>
      <w:r>
        <w:rPr>
          <w:rFonts w:ascii="Times New Roman" w:eastAsia="Times New Roman" w:hAnsi="Times New Roman" w:cs="Times New Roman"/>
          <w:color w:val="000000"/>
          <w:sz w:val="26"/>
          <w:szCs w:val="26"/>
        </w:rPr>
        <w:t>held</w:t>
      </w:r>
      <w:proofErr w:type="gramEnd"/>
      <w:r>
        <w:rPr>
          <w:rFonts w:ascii="Times New Roman" w:eastAsia="Times New Roman" w:hAnsi="Times New Roman" w:cs="Times New Roman"/>
          <w:color w:val="000000"/>
          <w:sz w:val="26"/>
          <w:szCs w:val="26"/>
        </w:rPr>
        <w:t xml:space="preserve"> that the bottled soda was defectively manufactured and that the defect caused the </w:t>
      </w:r>
      <w:proofErr w:type="spellStart"/>
      <w:r>
        <w:rPr>
          <w:rFonts w:ascii="Times New Roman" w:eastAsia="Times New Roman" w:hAnsi="Times New Roman" w:cs="Times New Roman"/>
          <w:color w:val="000000"/>
          <w:sz w:val="26"/>
          <w:szCs w:val="26"/>
        </w:rPr>
        <w:t>accusatory's</w:t>
      </w:r>
      <w:proofErr w:type="spellEnd"/>
      <w:r>
        <w:rPr>
          <w:rFonts w:ascii="Times New Roman" w:eastAsia="Times New Roman" w:hAnsi="Times New Roman" w:cs="Times New Roman"/>
          <w:color w:val="000000"/>
          <w:sz w:val="26"/>
          <w:szCs w:val="26"/>
        </w:rPr>
        <w:t xml:space="preserve"> injuries. The court affirmed the jury's verdict and upheld the $2,500 judgment in favor of the accusation.</w:t>
      </w:r>
    </w:p>
    <w:p w14:paraId="108B97E2" w14:textId="77777777" w:rsidR="005A5BF4" w:rsidRDefault="005A5BF4">
      <w:pPr>
        <w:spacing w:after="0" w:line="240" w:lineRule="auto"/>
        <w:jc w:val="both"/>
        <w:rPr>
          <w:rFonts w:ascii="Times New Roman" w:eastAsia="Times New Roman" w:hAnsi="Times New Roman" w:cs="Times New Roman"/>
          <w:sz w:val="26"/>
          <w:szCs w:val="26"/>
        </w:rPr>
      </w:pPr>
    </w:p>
    <w:p w14:paraId="564E6D1A"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IRAC Analysis: Shoshone Coca-Cola Bottling Co. v. Dolinski (1966)</w:t>
      </w:r>
    </w:p>
    <w:p w14:paraId="19BC5A89" w14:textId="77777777" w:rsidR="005A5BF4" w:rsidRDefault="005A5BF4">
      <w:pPr>
        <w:spacing w:after="0" w:line="240" w:lineRule="auto"/>
        <w:jc w:val="both"/>
        <w:rPr>
          <w:rFonts w:ascii="Times New Roman" w:eastAsia="Times New Roman" w:hAnsi="Times New Roman" w:cs="Times New Roman"/>
          <w:sz w:val="26"/>
          <w:szCs w:val="26"/>
        </w:rPr>
      </w:pPr>
    </w:p>
    <w:p w14:paraId="69E9F64F"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Issue</w:t>
      </w:r>
    </w:p>
    <w:p w14:paraId="4F9B2BE9"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The key issues before the court were whether Nevada should formally adopt the </w:t>
      </w:r>
      <w:proofErr w:type="gramStart"/>
      <w:r>
        <w:rPr>
          <w:rFonts w:ascii="Times New Roman" w:eastAsia="Times New Roman" w:hAnsi="Times New Roman" w:cs="Times New Roman"/>
          <w:color w:val="000000"/>
          <w:sz w:val="26"/>
          <w:szCs w:val="26"/>
        </w:rPr>
        <w:t>doctrine of strict liability</w:t>
      </w:r>
      <w:proofErr w:type="gramEnd"/>
      <w:r>
        <w:rPr>
          <w:rFonts w:ascii="Times New Roman" w:eastAsia="Times New Roman" w:hAnsi="Times New Roman" w:cs="Times New Roman"/>
          <w:color w:val="000000"/>
          <w:sz w:val="26"/>
          <w:szCs w:val="26"/>
        </w:rPr>
        <w:t xml:space="preserve"> in product liability cases, and whether the bottled soda consumed by the accusation was defectively manufactured, thereby causing his injuries.</w:t>
      </w:r>
    </w:p>
    <w:p w14:paraId="0EF0631D" w14:textId="77777777" w:rsidR="005A5BF4" w:rsidRDefault="005A5BF4">
      <w:pPr>
        <w:spacing w:after="0" w:line="240" w:lineRule="auto"/>
        <w:jc w:val="both"/>
        <w:rPr>
          <w:rFonts w:ascii="Times New Roman" w:eastAsia="Times New Roman" w:hAnsi="Times New Roman" w:cs="Times New Roman"/>
          <w:sz w:val="26"/>
          <w:szCs w:val="26"/>
        </w:rPr>
      </w:pPr>
    </w:p>
    <w:p w14:paraId="3716FE5E"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Rule</w:t>
      </w:r>
    </w:p>
    <w:p w14:paraId="082923C9"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Under the doctrine of strict liability, a manufacturer who places a product on the market in a condition that is unreasonably dangerous for its intended use is responsible for resulting injuries, even if all reasonable care has been exercised in the manufacturing process. The accusation bears the burden of proving that the injury was caused by a defect and that the defect existed at the time the product left the manufacturer's control.</w:t>
      </w:r>
    </w:p>
    <w:p w14:paraId="2D4E7C02" w14:textId="77777777" w:rsidR="005A5BF4" w:rsidRDefault="005A5BF4">
      <w:pPr>
        <w:spacing w:after="0" w:line="240" w:lineRule="auto"/>
        <w:jc w:val="both"/>
        <w:rPr>
          <w:rFonts w:ascii="Times New Roman" w:eastAsia="Times New Roman" w:hAnsi="Times New Roman" w:cs="Times New Roman"/>
          <w:sz w:val="26"/>
          <w:szCs w:val="26"/>
        </w:rPr>
      </w:pPr>
    </w:p>
    <w:p w14:paraId="36F83617"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Application</w:t>
      </w:r>
    </w:p>
    <w:p w14:paraId="6B3FD044"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In this case, the accused, Leo Dolinski, became ill after consuming a bottled soda that contained a decomposed mouse, along with hair and fecal matter. Expert testimony established that the mouse had been dead for a significant </w:t>
      </w:r>
      <w:proofErr w:type="gramStart"/>
      <w:r>
        <w:rPr>
          <w:rFonts w:ascii="Times New Roman" w:eastAsia="Times New Roman" w:hAnsi="Times New Roman" w:cs="Times New Roman"/>
          <w:color w:val="000000"/>
          <w:sz w:val="26"/>
          <w:szCs w:val="26"/>
        </w:rPr>
        <w:t>period of time</w:t>
      </w:r>
      <w:proofErr w:type="gramEnd"/>
      <w:r>
        <w:rPr>
          <w:rFonts w:ascii="Times New Roman" w:eastAsia="Times New Roman" w:hAnsi="Times New Roman" w:cs="Times New Roman"/>
          <w:color w:val="000000"/>
          <w:sz w:val="26"/>
          <w:szCs w:val="26"/>
        </w:rPr>
        <w:t xml:space="preserve"> and that contamination was present at the bottom of the bottle before the liquid was added. This evidence strongly indicated that the defect occurred during the manufacturing process. The defendant argued that its washing and inspection procedures would have prevented such contamination; however, the court rejected this argument, preferring the expert evidence that demonstrated the defect existed prior to distribution.</w:t>
      </w:r>
    </w:p>
    <w:p w14:paraId="0A25BE96" w14:textId="77777777" w:rsidR="005A5BF4" w:rsidRDefault="005A5BF4">
      <w:pPr>
        <w:spacing w:after="0" w:line="240" w:lineRule="auto"/>
        <w:jc w:val="both"/>
        <w:rPr>
          <w:rFonts w:ascii="Times New Roman" w:eastAsia="Times New Roman" w:hAnsi="Times New Roman" w:cs="Times New Roman"/>
          <w:sz w:val="26"/>
          <w:szCs w:val="26"/>
        </w:rPr>
      </w:pPr>
    </w:p>
    <w:p w14:paraId="650D39F6"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Conclusion</w:t>
      </w:r>
    </w:p>
    <w:p w14:paraId="4775786B"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The Nevada Supreme Court officially adopted the doctrine of strict liability and held that the bottled soda was defectively manufactured. The court affirmed the $2,500 judgment in favor of the accusation, concluding that the manufacturer was accused </w:t>
      </w:r>
      <w:proofErr w:type="gramStart"/>
      <w:r>
        <w:rPr>
          <w:rFonts w:ascii="Times New Roman" w:eastAsia="Times New Roman" w:hAnsi="Times New Roman" w:cs="Times New Roman"/>
          <w:color w:val="000000"/>
          <w:sz w:val="26"/>
          <w:szCs w:val="26"/>
        </w:rPr>
        <w:t>for</w:t>
      </w:r>
      <w:proofErr w:type="gramEnd"/>
      <w:r>
        <w:rPr>
          <w:rFonts w:ascii="Times New Roman" w:eastAsia="Times New Roman" w:hAnsi="Times New Roman" w:cs="Times New Roman"/>
          <w:color w:val="000000"/>
          <w:sz w:val="26"/>
          <w:szCs w:val="26"/>
        </w:rPr>
        <w:t xml:space="preserve"> placing a defective product into the stream of commerce regardless of the care exercised.</w:t>
      </w:r>
    </w:p>
    <w:p w14:paraId="009989DA" w14:textId="77777777" w:rsidR="005A5BF4" w:rsidRDefault="00000000">
      <w:pPr>
        <w:pStyle w:val="Heading2"/>
        <w:rPr>
          <w:rFonts w:ascii="Times New Roman" w:eastAsia="Times New Roman" w:hAnsi="Times New Roman" w:cs="Times New Roman"/>
        </w:rPr>
      </w:pPr>
      <w:bookmarkStart w:id="11" w:name="_heading=h.pbap7xtzlpq" w:colFirst="0" w:colLast="0"/>
      <w:bookmarkEnd w:id="11"/>
      <w:r>
        <w:rPr>
          <w:rFonts w:ascii="Times New Roman" w:eastAsia="Times New Roman" w:hAnsi="Times New Roman" w:cs="Times New Roman"/>
          <w:color w:val="000000"/>
        </w:rPr>
        <w:t>3.2. Design Defects</w:t>
      </w:r>
    </w:p>
    <w:p w14:paraId="1D4A0FAB" w14:textId="77777777" w:rsidR="005A5BF4" w:rsidRDefault="00000000">
      <w:pPr>
        <w:pStyle w:val="Heading3"/>
        <w:rPr>
          <w:sz w:val="26"/>
          <w:szCs w:val="26"/>
        </w:rPr>
      </w:pPr>
      <w:bookmarkStart w:id="12" w:name="_heading=h.7fun9e2rf1gz" w:colFirst="0" w:colLast="0"/>
      <w:bookmarkEnd w:id="12"/>
      <w:r>
        <w:rPr>
          <w:color w:val="000000"/>
          <w:sz w:val="26"/>
          <w:szCs w:val="26"/>
        </w:rPr>
        <w:t>3.2.1. Definition and Characteristics of Design Defects:</w:t>
      </w:r>
    </w:p>
    <w:p w14:paraId="3D47D1B0"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Definition:</w:t>
      </w:r>
    </w:p>
    <w:p w14:paraId="0744259E"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 design defect arises when a product is manufactured exactly as intended, yet the design itself is unreasonably dangerous, rendering the product unsafe for its intended or foreseeable use. Unlike manufacturing defects, which result from errors in the production process, design defects are inherent in the product’s blueprint and affect every unit produced according to that design.</w:t>
      </w:r>
    </w:p>
    <w:p w14:paraId="5C63E3EE"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Under U.S. product liability law, a manufacturer may be held liable if it knew or should have known that the product, when used as intended or in a reasonably foreseeable manner, posed a significant risk of harm to consumers. Importantly, liability may be imposed even if the product was manufactured with due care and complied with industry standards. The central inquiry is not whether the manufacturer was negligent, but whether the design choice itself was defective.</w:t>
      </w:r>
    </w:p>
    <w:p w14:paraId="7F2C10E0"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Characteristics of Design Defects:</w:t>
      </w:r>
    </w:p>
    <w:p w14:paraId="58906566" w14:textId="77777777" w:rsidR="005A5BF4" w:rsidRDefault="00000000">
      <w:pPr>
        <w:spacing w:before="240" w:after="240" w:line="24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     Affects all products of that model: This defect was integrated into the design, not a single or isolated mistake</w:t>
      </w:r>
    </w:p>
    <w:p w14:paraId="368ED5FE" w14:textId="77777777" w:rsidR="005A5BF4" w:rsidRDefault="00000000">
      <w:pPr>
        <w:spacing w:before="240" w:after="240" w:line="24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     Exists before manufacturing: The danger is present at the design stage.</w:t>
      </w:r>
    </w:p>
    <w:p w14:paraId="20B4463F" w14:textId="77777777" w:rsidR="005A5BF4" w:rsidRDefault="00000000">
      <w:pPr>
        <w:spacing w:before="240" w:after="240" w:line="24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lastRenderedPageBreak/>
        <w:t>3.     Unreasonable risk: The risks of the design outweigh its benefits, especially when a safer alternative design was feasible.</w:t>
      </w:r>
    </w:p>
    <w:p w14:paraId="3EF7919D" w14:textId="77777777" w:rsidR="005A5BF4" w:rsidRDefault="00000000">
      <w:pPr>
        <w:spacing w:before="240" w:after="240" w:line="24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4</w:t>
      </w:r>
      <w:proofErr w:type="gramStart"/>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ab/>
        <w:t>Foreseeable</w:t>
      </w:r>
      <w:proofErr w:type="gramEnd"/>
      <w:r>
        <w:rPr>
          <w:rFonts w:ascii="Times New Roman" w:eastAsia="Times New Roman" w:hAnsi="Times New Roman" w:cs="Times New Roman"/>
          <w:color w:val="000000"/>
          <w:sz w:val="26"/>
          <w:szCs w:val="26"/>
        </w:rPr>
        <w:t>: The risk is foreseeable by the manufacturer at the design stage.</w:t>
      </w:r>
    </w:p>
    <w:p w14:paraId="3A9A0CC0" w14:textId="77777777" w:rsidR="005A5BF4" w:rsidRDefault="00000000">
      <w:pPr>
        <w:pStyle w:val="Heading3"/>
        <w:rPr>
          <w:sz w:val="26"/>
          <w:szCs w:val="26"/>
        </w:rPr>
      </w:pPr>
      <w:bookmarkStart w:id="13" w:name="_heading=h.l9czx6kf4s0r" w:colFirst="0" w:colLast="0"/>
      <w:bookmarkEnd w:id="13"/>
      <w:r>
        <w:rPr>
          <w:color w:val="000000"/>
          <w:sz w:val="26"/>
          <w:szCs w:val="26"/>
        </w:rPr>
        <w:t>3.2.2. Legal standards for Design Defects</w:t>
      </w:r>
    </w:p>
    <w:p w14:paraId="42E7FDFD"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To determine whether a design is unreasonably dangerous, Court typically use several tests to determine if a design defect exists: </w:t>
      </w:r>
    </w:p>
    <w:p w14:paraId="59079D63"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Consumer Expectation Test: This test assesses whether a product performs as safely as an ordinary consumer would expect.</w:t>
      </w:r>
    </w:p>
    <w:p w14:paraId="142DCDF0"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Risk-Utility Test: This test evaluates whether the risks posed by a product's design outweigh its utility or benefits.</w:t>
      </w:r>
    </w:p>
    <w:p w14:paraId="3C42240A"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However, The Courts predominantly apply the “Risk-Utility Analysis”.  Because most modern products are too complex for ordinary consumers to evaluate safely, judges need a technical, policy-based balancing test rather than consumer intuition. This test involves </w:t>
      </w:r>
      <w:proofErr w:type="gramStart"/>
      <w:r>
        <w:rPr>
          <w:rFonts w:ascii="Times New Roman" w:eastAsia="Times New Roman" w:hAnsi="Times New Roman" w:cs="Times New Roman"/>
          <w:color w:val="000000"/>
          <w:sz w:val="26"/>
          <w:szCs w:val="26"/>
        </w:rPr>
        <w:t>a careful</w:t>
      </w:r>
      <w:proofErr w:type="gramEnd"/>
      <w:r>
        <w:rPr>
          <w:rFonts w:ascii="Times New Roman" w:eastAsia="Times New Roman" w:hAnsi="Times New Roman" w:cs="Times New Roman"/>
          <w:color w:val="000000"/>
          <w:sz w:val="26"/>
          <w:szCs w:val="26"/>
        </w:rPr>
        <w:t xml:space="preserve"> </w:t>
      </w:r>
      <w:proofErr w:type="gramStart"/>
      <w:r>
        <w:rPr>
          <w:rFonts w:ascii="Times New Roman" w:eastAsia="Times New Roman" w:hAnsi="Times New Roman" w:cs="Times New Roman"/>
          <w:color w:val="000000"/>
          <w:sz w:val="26"/>
          <w:szCs w:val="26"/>
        </w:rPr>
        <w:t>balancing of</w:t>
      </w:r>
      <w:proofErr w:type="gramEnd"/>
      <w:r>
        <w:rPr>
          <w:rFonts w:ascii="Times New Roman" w:eastAsia="Times New Roman" w:hAnsi="Times New Roman" w:cs="Times New Roman"/>
          <w:color w:val="000000"/>
          <w:sz w:val="26"/>
          <w:szCs w:val="26"/>
        </w:rPr>
        <w:t xml:space="preserve"> the dangers posed by the product against the benefits of its design...</w:t>
      </w:r>
    </w:p>
    <w:p w14:paraId="506D61C8"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The analysis typically focuses on four key factors:</w:t>
      </w:r>
      <w:r>
        <w:rPr>
          <w:rFonts w:ascii="Times New Roman" w:eastAsia="Times New Roman" w:hAnsi="Times New Roman" w:cs="Times New Roman"/>
          <w:sz w:val="26"/>
          <w:szCs w:val="26"/>
          <w:vertAlign w:val="superscript"/>
        </w:rPr>
        <w:footnoteReference w:id="3"/>
      </w:r>
    </w:p>
    <w:p w14:paraId="0F4D20CF" w14:textId="77777777" w:rsidR="005A5BF4" w:rsidRDefault="00000000">
      <w:pPr>
        <w:numPr>
          <w:ilvl w:val="0"/>
          <w:numId w:val="6"/>
        </w:num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Gravity of the danger posed by the design: How severe is the potential harm?</w:t>
      </w:r>
    </w:p>
    <w:p w14:paraId="1CF04EF0" w14:textId="77777777" w:rsidR="005A5BF4" w:rsidRDefault="00000000">
      <w:pPr>
        <w:numPr>
          <w:ilvl w:val="0"/>
          <w:numId w:val="6"/>
        </w:num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Likelihood that injury will occur: What is the probability of harm during normal use?</w:t>
      </w:r>
    </w:p>
    <w:p w14:paraId="4A110755" w14:textId="77777777" w:rsidR="005A5BF4" w:rsidRDefault="00000000">
      <w:pPr>
        <w:numPr>
          <w:ilvl w:val="0"/>
          <w:numId w:val="6"/>
        </w:num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Availability and cost of producing a safer alternative design: Is there a feasible, reasonably priced alternative?</w:t>
      </w:r>
    </w:p>
    <w:p w14:paraId="0A531FEC" w14:textId="77777777" w:rsidR="005A5BF4" w:rsidRDefault="00000000">
      <w:pPr>
        <w:numPr>
          <w:ilvl w:val="0"/>
          <w:numId w:val="6"/>
        </w:numPr>
        <w:spacing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Social utility of the product: How valuable is the product to society, and does its benefit outweigh the risks?</w:t>
      </w:r>
    </w:p>
    <w:p w14:paraId="31FC649F" w14:textId="77777777" w:rsidR="005A5BF4" w:rsidRDefault="00000000">
      <w:pPr>
        <w:pStyle w:val="Heading3"/>
        <w:rPr>
          <w:sz w:val="26"/>
          <w:szCs w:val="26"/>
        </w:rPr>
      </w:pPr>
      <w:bookmarkStart w:id="14" w:name="_heading=h.i0hkmzb2zuqd" w:colFirst="0" w:colLast="0"/>
      <w:bookmarkEnd w:id="14"/>
      <w:r>
        <w:rPr>
          <w:color w:val="000000"/>
          <w:sz w:val="26"/>
          <w:szCs w:val="26"/>
        </w:rPr>
        <w:t>3.2.3. Cases study </w:t>
      </w:r>
    </w:p>
    <w:p w14:paraId="3AACF0F8"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a) Illustrative Scenario: Toys with Removable Small Parts</w:t>
      </w:r>
    </w:p>
    <w:p w14:paraId="17A51F55"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 common example of a design defect involves children’s toys designed with small, removable parts that can be swallowed.</w:t>
      </w:r>
    </w:p>
    <w:p w14:paraId="34AFAD10" w14:textId="77777777" w:rsidR="005A5BF4" w:rsidRDefault="00000000">
      <w:pPr>
        <w:numPr>
          <w:ilvl w:val="0"/>
          <w:numId w:val="7"/>
        </w:num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Gravity of the danger: </w:t>
      </w:r>
      <w:r>
        <w:rPr>
          <w:rFonts w:ascii="Times New Roman" w:eastAsia="Times New Roman" w:hAnsi="Times New Roman" w:cs="Times New Roman"/>
          <w:color w:val="000000"/>
          <w:sz w:val="26"/>
          <w:szCs w:val="26"/>
        </w:rPr>
        <w:t>The danger is extreme—choking, internal blockage, or death.</w:t>
      </w:r>
    </w:p>
    <w:p w14:paraId="528F0698" w14:textId="77777777" w:rsidR="005A5BF4" w:rsidRDefault="00000000">
      <w:pPr>
        <w:numPr>
          <w:ilvl w:val="0"/>
          <w:numId w:val="7"/>
        </w:num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Likelihood of injury:</w:t>
      </w:r>
      <w:r>
        <w:rPr>
          <w:rFonts w:ascii="Times New Roman" w:eastAsia="Times New Roman" w:hAnsi="Times New Roman" w:cs="Times New Roman"/>
          <w:color w:val="000000"/>
          <w:sz w:val="26"/>
          <w:szCs w:val="26"/>
        </w:rPr>
        <w:t xml:space="preserve"> Given that children are the intended users and are known to explore objects by placing them in their mouths, the probability of injury is high when parts are easily detachable.</w:t>
      </w:r>
    </w:p>
    <w:p w14:paraId="53FCCF82" w14:textId="77777777" w:rsidR="005A5BF4" w:rsidRDefault="00000000">
      <w:pPr>
        <w:numPr>
          <w:ilvl w:val="0"/>
          <w:numId w:val="7"/>
        </w:num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 xml:space="preserve">Availability and cost of safer alternatives: </w:t>
      </w:r>
      <w:r>
        <w:rPr>
          <w:rFonts w:ascii="Times New Roman" w:eastAsia="Times New Roman" w:hAnsi="Times New Roman" w:cs="Times New Roman"/>
          <w:color w:val="000000"/>
          <w:sz w:val="26"/>
          <w:szCs w:val="26"/>
        </w:rPr>
        <w:t xml:space="preserve">Courts assess whether a safer alternative design was technologically feasible and economically reasonable; failure to adopt such an alternative strongly supports </w:t>
      </w:r>
      <w:proofErr w:type="gramStart"/>
      <w:r>
        <w:rPr>
          <w:rFonts w:ascii="Times New Roman" w:eastAsia="Times New Roman" w:hAnsi="Times New Roman" w:cs="Times New Roman"/>
          <w:color w:val="000000"/>
          <w:sz w:val="26"/>
          <w:szCs w:val="26"/>
        </w:rPr>
        <w:t>a finding</w:t>
      </w:r>
      <w:proofErr w:type="gramEnd"/>
      <w:r>
        <w:rPr>
          <w:rFonts w:ascii="Times New Roman" w:eastAsia="Times New Roman" w:hAnsi="Times New Roman" w:cs="Times New Roman"/>
          <w:color w:val="000000"/>
          <w:sz w:val="26"/>
          <w:szCs w:val="26"/>
        </w:rPr>
        <w:t xml:space="preserve"> of design defect.</w:t>
      </w:r>
    </w:p>
    <w:p w14:paraId="24B18359" w14:textId="77777777" w:rsidR="005A5BF4" w:rsidRDefault="00000000">
      <w:pPr>
        <w:numPr>
          <w:ilvl w:val="0"/>
          <w:numId w:val="7"/>
        </w:numPr>
        <w:spacing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Social utility of the product: </w:t>
      </w:r>
      <w:r>
        <w:rPr>
          <w:rFonts w:ascii="Times New Roman" w:eastAsia="Times New Roman" w:hAnsi="Times New Roman" w:cs="Times New Roman"/>
          <w:color w:val="000000"/>
          <w:sz w:val="26"/>
          <w:szCs w:val="26"/>
        </w:rPr>
        <w:t>While toys provide entertainment and educational value, this utility is weighed against the risk. Generally, the minor utility of having tiny removable parts does not outweigh the significant risk of fatal injury to a child.</w:t>
      </w:r>
    </w:p>
    <w:p w14:paraId="4908ADFF"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When a design defect is established, every party in the chain of distribution, including the manufacturer, distributor, and retailer—may be held strictly liable for injuries caused by the defective design.</w:t>
      </w:r>
    </w:p>
    <w:p w14:paraId="6D07E01B"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b) The Crashworthiness Doctrine</w:t>
      </w:r>
      <w:r>
        <w:rPr>
          <w:rFonts w:ascii="Times New Roman" w:eastAsia="Times New Roman" w:hAnsi="Times New Roman" w:cs="Times New Roman"/>
          <w:sz w:val="26"/>
          <w:szCs w:val="26"/>
          <w:vertAlign w:val="superscript"/>
        </w:rPr>
        <w:footnoteReference w:id="4"/>
      </w:r>
    </w:p>
    <w:p w14:paraId="622D6F28"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 crashworthiness doctrine, also known as the second-collision doctrine, holds product manufacturers strictly liable for injuries sustained in a collision. This applies when a defect in their product causes injuries that are more severe than what would have occurred from the collision itself, even if the manufacturer did not cause the initial collision.</w:t>
      </w:r>
    </w:p>
    <w:p w14:paraId="040E3B69"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Under Strict Liability: The injured party (plaintiff) only needs to show that the design was "somehow defective" and caused injury; they do not necessarily need to prove negligence.</w:t>
      </w:r>
    </w:p>
    <w:p w14:paraId="3109D182"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Case Illustration: </w:t>
      </w:r>
      <w:r>
        <w:rPr>
          <w:rFonts w:ascii="Times New Roman" w:eastAsia="Times New Roman" w:hAnsi="Times New Roman" w:cs="Times New Roman"/>
          <w:b/>
          <w:bCs/>
          <w:i/>
          <w:iCs/>
          <w:color w:val="000000"/>
          <w:sz w:val="26"/>
          <w:szCs w:val="26"/>
        </w:rPr>
        <w:t>Grimshaw v. Ford Motor Co.</w:t>
      </w:r>
      <w:r>
        <w:rPr>
          <w:rFonts w:ascii="Times New Roman" w:eastAsia="Times New Roman" w:hAnsi="Times New Roman" w:cs="Times New Roman"/>
          <w:b/>
          <w:bCs/>
          <w:color w:val="000000"/>
          <w:sz w:val="26"/>
          <w:szCs w:val="26"/>
        </w:rPr>
        <w:t xml:space="preserve"> (1981)</w:t>
      </w:r>
      <w:r>
        <w:rPr>
          <w:rFonts w:ascii="Times New Roman" w:eastAsia="Times New Roman" w:hAnsi="Times New Roman" w:cs="Times New Roman"/>
          <w:sz w:val="26"/>
          <w:szCs w:val="26"/>
          <w:vertAlign w:val="superscript"/>
        </w:rPr>
        <w:footnoteReference w:id="5"/>
      </w:r>
    </w:p>
    <w:p w14:paraId="60B74210"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Case Summary</w:t>
      </w:r>
    </w:p>
    <w:p w14:paraId="716E57D8"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In 1972, a Ford Pinto was involved in a rear-end collision. The impact caused the car's fuel tank, positioned according to its original design, to rupture and ignite, leading to a fatal fire. Evidence presented at trial showed that Ford was aware of the fuel tank's vulnerability in a rear-end collision prior to production. Internal cost-benefit analyses, famously known as the "Ford Pinto Memo," calculated that settling burn injury and death claims would be cheaper than redesigning the fuel system. The plaintiffs, including a severely burned survivor, sued Ford</w:t>
      </w:r>
    </w:p>
    <w:p w14:paraId="312CF939"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Analysis</w:t>
      </w:r>
    </w:p>
    <w:p w14:paraId="2561CE02"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In </w:t>
      </w:r>
      <w:proofErr w:type="gramStart"/>
      <w:r>
        <w:rPr>
          <w:rFonts w:ascii="Times New Roman" w:eastAsia="Times New Roman" w:hAnsi="Times New Roman" w:cs="Times New Roman"/>
          <w:color w:val="000000"/>
          <w:sz w:val="26"/>
          <w:szCs w:val="26"/>
        </w:rPr>
        <w:t>case  “</w:t>
      </w:r>
      <w:proofErr w:type="gramEnd"/>
      <w:r>
        <w:rPr>
          <w:rFonts w:ascii="Times New Roman" w:eastAsia="Times New Roman" w:hAnsi="Times New Roman" w:cs="Times New Roman"/>
          <w:i/>
          <w:iCs/>
          <w:color w:val="000000"/>
          <w:sz w:val="26"/>
          <w:szCs w:val="26"/>
        </w:rPr>
        <w:t>Grimshaw v. Ford Motor Co. (1981)”</w:t>
      </w:r>
      <w:r>
        <w:rPr>
          <w:rFonts w:ascii="Times New Roman" w:eastAsia="Times New Roman" w:hAnsi="Times New Roman" w:cs="Times New Roman"/>
          <w:color w:val="000000"/>
          <w:sz w:val="26"/>
          <w:szCs w:val="26"/>
        </w:rPr>
        <w:t xml:space="preserve"> also reinforced the Crashworthiness Doctrine, which holds that automobile manufacturers have a duty to design vehicles not only to prevent accidents but also to minimize foreseeable injuries from a "second </w:t>
      </w:r>
      <w:r>
        <w:rPr>
          <w:rFonts w:ascii="Times New Roman" w:eastAsia="Times New Roman" w:hAnsi="Times New Roman" w:cs="Times New Roman"/>
          <w:color w:val="000000"/>
          <w:sz w:val="26"/>
          <w:szCs w:val="26"/>
        </w:rPr>
        <w:lastRenderedPageBreak/>
        <w:t>collision" (e.g., occupants impacting the interior or fuel systems igniting). A failure to design for crashworthiness is itself a design defect.</w:t>
      </w:r>
    </w:p>
    <w:p w14:paraId="3428F573" w14:textId="77777777" w:rsidR="005A5BF4" w:rsidRDefault="00000000">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The legal issue</w:t>
      </w:r>
      <w:r>
        <w:rPr>
          <w:rFonts w:ascii="Times New Roman" w:eastAsia="Times New Roman" w:hAnsi="Times New Roman" w:cs="Times New Roman"/>
          <w:color w:val="000000"/>
          <w:sz w:val="26"/>
          <w:szCs w:val="26"/>
        </w:rPr>
        <w:t xml:space="preserve"> in the case is whether Ford could be held strictly liable for injuries and deaths caused by the allegedly defective design of the vehicle’s fuel system.</w:t>
      </w:r>
    </w:p>
    <w:p w14:paraId="225D04A3" w14:textId="77777777" w:rsidR="005A5BF4" w:rsidRDefault="00000000">
      <w:pPr>
        <w:spacing w:before="240" w:after="240" w:line="240" w:lineRule="auto"/>
        <w:jc w:val="both"/>
        <w:rPr>
          <w:rFonts w:ascii="Times New Roman" w:eastAsia="Times New Roman" w:hAnsi="Times New Roman" w:cs="Times New Roman"/>
          <w:b/>
          <w:bCs/>
          <w:sz w:val="26"/>
          <w:szCs w:val="26"/>
        </w:rPr>
        <w:sectPr w:rsidR="005A5BF4">
          <w:pgSz w:w="11906" w:h="16838"/>
          <w:pgMar w:top="1440" w:right="1440" w:bottom="1440" w:left="1440" w:header="720" w:footer="720" w:gutter="0"/>
          <w:cols w:space="720"/>
        </w:sectPr>
      </w:pPr>
      <w:r>
        <w:rPr>
          <w:rFonts w:ascii="Times New Roman" w:eastAsia="Times New Roman" w:hAnsi="Times New Roman" w:cs="Times New Roman"/>
          <w:color w:val="000000"/>
          <w:sz w:val="26"/>
          <w:szCs w:val="26"/>
        </w:rPr>
        <w:t>Under strict liability, the plaintiffs in “Grimshaw” successfully argued that the Pinto's design was defective because it did not provide reasonable protection against foreseeable post-collision fires; they were not required to prove Ford was “negligent” in its internal decision-making, only that the design itself was unreasonably dangerous and the proximate cause of their injuries. The staggering punitive damages awarded signaled that knowingly trading safety for profit would be met with severe legal consequences.</w:t>
      </w:r>
    </w:p>
    <w:p w14:paraId="65879C1B" w14:textId="77777777" w:rsidR="005A5BF4" w:rsidRDefault="00000000">
      <w:pPr>
        <w:pStyle w:val="Heading3"/>
        <w:rPr>
          <w:b w:val="0"/>
          <w:bCs w:val="0"/>
          <w:sz w:val="26"/>
          <w:szCs w:val="26"/>
        </w:rPr>
      </w:pPr>
      <w:bookmarkStart w:id="15" w:name="_heading=h.o8ad2dm1otel" w:colFirst="0" w:colLast="0"/>
      <w:bookmarkEnd w:id="15"/>
      <w:r>
        <w:rPr>
          <w:sz w:val="26"/>
          <w:szCs w:val="26"/>
        </w:rPr>
        <w:t>DIFFERENCES BETWEEN DEFECTS IN PRODUCT AND DEFECTS IN MANUFACTURING</w:t>
      </w:r>
    </w:p>
    <w:p w14:paraId="1E7CAF2C" w14:textId="77777777" w:rsidR="005A5BF4" w:rsidRDefault="00000000">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3058EC06" w14:textId="77777777" w:rsidR="005A5BF4" w:rsidRDefault="00000000">
      <w:pPr>
        <w:spacing w:after="0" w:line="240" w:lineRule="auto"/>
        <w:ind w:left="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The Nature of the Defect</w:t>
      </w:r>
    </w:p>
    <w:p w14:paraId="5E636F21" w14:textId="77777777" w:rsidR="005A5BF4" w:rsidRDefault="00000000">
      <w:pPr>
        <w:spacing w:after="0" w:line="24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Manufacturing defects are "glitches" that occur during the construction or fabrication of a product. These defects involve poor-quality materials or shoddy workmanship, resulting in a product that deviates from the manufacturer’s intended design and differs from other units on the same assembly line.</w:t>
      </w:r>
    </w:p>
    <w:p w14:paraId="27AB33BC" w14:textId="77777777" w:rsidR="005A5BF4" w:rsidRDefault="005A5BF4">
      <w:pPr>
        <w:spacing w:after="0" w:line="240" w:lineRule="auto"/>
        <w:ind w:left="360"/>
        <w:jc w:val="both"/>
        <w:rPr>
          <w:rFonts w:ascii="Times New Roman" w:eastAsia="Times New Roman" w:hAnsi="Times New Roman" w:cs="Times New Roman"/>
          <w:sz w:val="26"/>
          <w:szCs w:val="26"/>
        </w:rPr>
      </w:pPr>
    </w:p>
    <w:p w14:paraId="6DEC789A" w14:textId="77777777" w:rsidR="005A5BF4" w:rsidRDefault="00000000">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Design defects occur when the inherent plan or blueprint of the product is dangerous or useless, no matter how carefully it was manufactured. In these cases, the defective product is identical to every other unit because it was built exactly as intended, but the design itself is flawed. </w:t>
      </w:r>
    </w:p>
    <w:p w14:paraId="23DBACD3" w14:textId="77777777" w:rsidR="005A5BF4" w:rsidRDefault="00000000">
      <w:pPr>
        <w:spacing w:after="0" w:line="240" w:lineRule="auto"/>
        <w:ind w:left="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Legal Standards of Liability</w:t>
      </w:r>
    </w:p>
    <w:p w14:paraId="3D81DE50" w14:textId="77777777" w:rsidR="005A5BF4" w:rsidRDefault="00000000">
      <w:pPr>
        <w:spacing w:after="0" w:line="24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Manufacturing defects are subject to a strict (absolute) liability standard. The plaintiff is not required to prove fault or negligence; they must only establish that the defect existed when it left the seller's hands and that it caused the injury.</w:t>
      </w:r>
    </w:p>
    <w:p w14:paraId="3A3A7DBA" w14:textId="77777777" w:rsidR="005A5BF4" w:rsidRDefault="005A5BF4">
      <w:pPr>
        <w:spacing w:after="0" w:line="240" w:lineRule="auto"/>
        <w:ind w:left="360"/>
        <w:jc w:val="both"/>
        <w:rPr>
          <w:rFonts w:ascii="Times New Roman" w:eastAsia="Times New Roman" w:hAnsi="Times New Roman" w:cs="Times New Roman"/>
          <w:sz w:val="26"/>
          <w:szCs w:val="26"/>
        </w:rPr>
      </w:pPr>
    </w:p>
    <w:p w14:paraId="70F61A2A" w14:textId="77777777" w:rsidR="005A5BF4" w:rsidRDefault="00000000">
      <w:pPr>
        <w:spacing w:after="0" w:line="24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Design defects involve more complex standards that often approach the theory of negligence. Courts generally apply the risk-utility test (balancing the product's risks against its benefits) or the consumer expectations test (whether the product is as safe as an ordinary consumer would expect).</w:t>
      </w:r>
    </w:p>
    <w:p w14:paraId="2C56B60B" w14:textId="77777777" w:rsidR="005A5BF4" w:rsidRDefault="005A5BF4">
      <w:pPr>
        <w:spacing w:after="0" w:line="240" w:lineRule="auto"/>
        <w:ind w:left="360"/>
        <w:jc w:val="both"/>
        <w:rPr>
          <w:rFonts w:ascii="Times New Roman" w:eastAsia="Times New Roman" w:hAnsi="Times New Roman" w:cs="Times New Roman"/>
          <w:b/>
          <w:bCs/>
          <w:sz w:val="26"/>
          <w:szCs w:val="26"/>
        </w:rPr>
      </w:pPr>
    </w:p>
    <w:p w14:paraId="15929658" w14:textId="77777777" w:rsidR="005A5BF4" w:rsidRDefault="00000000">
      <w:pPr>
        <w:spacing w:after="0" w:line="240" w:lineRule="auto"/>
        <w:ind w:left="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Method of Proof and Comparison</w:t>
      </w:r>
    </w:p>
    <w:p w14:paraId="339E7959" w14:textId="77777777" w:rsidR="005A5BF4" w:rsidRDefault="00000000">
      <w:pPr>
        <w:spacing w:after="0" w:line="24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 prove a manufacturing defect, the focus is on a comparison between the faulty unit and the manufacturer's own intended design or other "standard" units of the same type.</w:t>
      </w:r>
    </w:p>
    <w:p w14:paraId="61A21AD4" w14:textId="77777777" w:rsidR="005A5BF4" w:rsidRDefault="005A5BF4">
      <w:pPr>
        <w:spacing w:after="0" w:line="240" w:lineRule="auto"/>
        <w:ind w:left="360"/>
        <w:jc w:val="both"/>
        <w:rPr>
          <w:rFonts w:ascii="Times New Roman" w:eastAsia="Times New Roman" w:hAnsi="Times New Roman" w:cs="Times New Roman"/>
          <w:sz w:val="26"/>
          <w:szCs w:val="26"/>
        </w:rPr>
      </w:pPr>
    </w:p>
    <w:p w14:paraId="22EC2C81" w14:textId="77777777" w:rsidR="005A5BF4" w:rsidRDefault="00000000">
      <w:pPr>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 prove a design defect, the focus is often on the existence of a feasible safer alternative design. The plaintiff must show that a different design was technically and economically possible, which would have reduced the risk of injury without </w:t>
      </w:r>
      <w:r>
        <w:rPr>
          <w:rFonts w:ascii="Times New Roman" w:eastAsia="Times New Roman" w:hAnsi="Times New Roman" w:cs="Times New Roman"/>
          <w:sz w:val="26"/>
          <w:szCs w:val="26"/>
        </w:rPr>
        <w:lastRenderedPageBreak/>
        <w:t>significantly degrading the product's utility. As you evaluate the design of the product, determine how well it will do what people may use it for. Don’t limit your evaluation to how you intend people to use your product.</w:t>
      </w:r>
      <w:r>
        <w:rPr>
          <w:rFonts w:ascii="Times New Roman" w:eastAsia="Times New Roman" w:hAnsi="Times New Roman" w:cs="Times New Roman"/>
          <w:sz w:val="26"/>
          <w:szCs w:val="26"/>
          <w:vertAlign w:val="superscript"/>
        </w:rPr>
        <w:footnoteReference w:id="6"/>
      </w:r>
    </w:p>
    <w:p w14:paraId="59742382" w14:textId="77777777" w:rsidR="005A5BF4" w:rsidRDefault="005A5BF4">
      <w:pPr>
        <w:spacing w:after="0" w:line="240" w:lineRule="auto"/>
        <w:ind w:left="360"/>
        <w:jc w:val="both"/>
        <w:rPr>
          <w:rFonts w:ascii="Times New Roman" w:eastAsia="Times New Roman" w:hAnsi="Times New Roman" w:cs="Times New Roman"/>
          <w:b/>
          <w:bCs/>
          <w:sz w:val="26"/>
          <w:szCs w:val="26"/>
        </w:rPr>
      </w:pPr>
    </w:p>
    <w:p w14:paraId="5783197A" w14:textId="77777777" w:rsidR="005A5BF4" w:rsidRDefault="00000000">
      <w:pPr>
        <w:spacing w:after="0" w:line="240" w:lineRule="auto"/>
        <w:ind w:left="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Modern Context and Frequency</w:t>
      </w:r>
    </w:p>
    <w:p w14:paraId="5B7542B2" w14:textId="77777777" w:rsidR="005A5BF4" w:rsidRDefault="00000000">
      <w:pPr>
        <w:spacing w:after="0" w:line="24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Manufacturing defects are today considered random and relatively rare events because modern manufacturing processes have become increasingly efficient </w:t>
      </w:r>
      <w:proofErr w:type="gramStart"/>
      <w:r>
        <w:rPr>
          <w:rFonts w:ascii="Times New Roman" w:eastAsia="Times New Roman" w:hAnsi="Times New Roman" w:cs="Times New Roman"/>
          <w:sz w:val="26"/>
          <w:szCs w:val="26"/>
        </w:rPr>
        <w:t>and</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high-standard</w:t>
      </w:r>
      <w:proofErr w:type="gramEnd"/>
      <w:r>
        <w:rPr>
          <w:rFonts w:ascii="Times New Roman" w:eastAsia="Times New Roman" w:hAnsi="Times New Roman" w:cs="Times New Roman"/>
          <w:sz w:val="26"/>
          <w:szCs w:val="26"/>
        </w:rPr>
        <w:t>.</w:t>
      </w:r>
    </w:p>
    <w:p w14:paraId="3C8C9DA7" w14:textId="77777777" w:rsidR="005A5BF4" w:rsidRDefault="00000000">
      <w:pPr>
        <w:spacing w:after="0" w:line="24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Conversely, design defect claims have formed the overwhelming bulk of product liability lawsuits in the United States since the early 1980s</w:t>
      </w:r>
    </w:p>
    <w:p w14:paraId="7988D439" w14:textId="77777777" w:rsidR="005A5BF4" w:rsidRDefault="005A5BF4">
      <w:pPr>
        <w:spacing w:after="0" w:line="240" w:lineRule="auto"/>
        <w:ind w:left="851"/>
        <w:jc w:val="both"/>
        <w:rPr>
          <w:rFonts w:ascii="Times New Roman" w:eastAsia="Times New Roman" w:hAnsi="Times New Roman" w:cs="Times New Roman"/>
          <w:sz w:val="26"/>
          <w:szCs w:val="26"/>
        </w:rPr>
      </w:pPr>
    </w:p>
    <w:p w14:paraId="114296A1" w14:textId="77777777" w:rsidR="005A5BF4" w:rsidRDefault="00000000">
      <w:pPr>
        <w:spacing w:after="0" w:line="240" w:lineRule="auto"/>
        <w:ind w:left="851"/>
        <w:jc w:val="both"/>
        <w:rPr>
          <w:rFonts w:ascii="Times New Roman" w:eastAsia="Times New Roman" w:hAnsi="Times New Roman" w:cs="Times New Roman"/>
          <w:sz w:val="26"/>
          <w:szCs w:val="26"/>
        </w:rPr>
        <w:sectPr w:rsidR="005A5BF4">
          <w:type w:val="continuous"/>
          <w:pgSz w:w="11906" w:h="16838"/>
          <w:pgMar w:top="1440" w:right="1440" w:bottom="1440" w:left="1440" w:header="720" w:footer="720" w:gutter="0"/>
          <w:cols w:space="720"/>
        </w:sectPr>
      </w:pPr>
      <w:r>
        <w:rPr>
          <w:rFonts w:ascii="Times New Roman" w:eastAsia="Times New Roman" w:hAnsi="Times New Roman" w:cs="Times New Roman"/>
          <w:sz w:val="26"/>
          <w:szCs w:val="26"/>
        </w:rPr>
        <w:t xml:space="preserve">Design defect litigation can be most expensive and troubling for businesses because it delves unabashedly into the gray realm of what should have been done and what would have happened if… Almost every court acknowledges that a design defect, as opposed to a manufacturing defect—in which case a product is clearly not what it was intended to be—is difficult to identify. One thing is clear </w:t>
      </w:r>
      <w:proofErr w:type="gramStart"/>
      <w:r>
        <w:rPr>
          <w:rFonts w:ascii="Times New Roman" w:eastAsia="Times New Roman" w:hAnsi="Times New Roman" w:cs="Times New Roman"/>
          <w:sz w:val="26"/>
          <w:szCs w:val="26"/>
        </w:rPr>
        <w:t>from case</w:t>
      </w:r>
      <w:proofErr w:type="gramEnd"/>
      <w:r>
        <w:rPr>
          <w:rFonts w:ascii="Times New Roman" w:eastAsia="Times New Roman" w:hAnsi="Times New Roman" w:cs="Times New Roman"/>
          <w:sz w:val="26"/>
          <w:szCs w:val="26"/>
        </w:rPr>
        <w:t xml:space="preserve"> history: even if your product is as safe as anyone else’s in your industry and does what customers expect it to do, if a feasible design alternative could have prevented an accident, your product is at fault. In any design decision that may affect the safety of your product, it’s important to compare the benefits of that design solution—like cost savings or speed or ease of manufacturing—with the risk of harm to customers your decision may entail.</w:t>
      </w:r>
      <w:r>
        <w:rPr>
          <w:rFonts w:ascii="Times New Roman" w:eastAsia="Times New Roman" w:hAnsi="Times New Roman" w:cs="Times New Roman"/>
          <w:sz w:val="26"/>
          <w:szCs w:val="26"/>
          <w:vertAlign w:val="superscript"/>
        </w:rPr>
        <w:footnoteReference w:id="7"/>
      </w:r>
    </w:p>
    <w:p w14:paraId="42996525" w14:textId="77777777" w:rsidR="005A5BF4" w:rsidRDefault="00000000">
      <w:pPr>
        <w:pStyle w:val="Heading2"/>
        <w:rPr>
          <w:rFonts w:ascii="Times New Roman" w:eastAsia="Times New Roman" w:hAnsi="Times New Roman" w:cs="Times New Roman"/>
        </w:rPr>
      </w:pPr>
      <w:bookmarkStart w:id="16" w:name="_heading=h.bmn8myb5rgd" w:colFirst="0" w:colLast="0"/>
      <w:bookmarkEnd w:id="16"/>
      <w:r>
        <w:rPr>
          <w:rFonts w:ascii="Times New Roman" w:eastAsia="Times New Roman" w:hAnsi="Times New Roman" w:cs="Times New Roman"/>
          <w:color w:val="000000"/>
        </w:rPr>
        <w:lastRenderedPageBreak/>
        <w:t>3.4. Failure to Warn</w:t>
      </w:r>
    </w:p>
    <w:p w14:paraId="11CA214C"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bookmarkStart w:id="17" w:name="_heading=h.8ub81yev3dh" w:colFirst="0" w:colLast="0"/>
      <w:bookmarkEnd w:id="17"/>
      <w:r>
        <w:rPr>
          <w:rFonts w:ascii="Times New Roman" w:eastAsia="Times New Roman" w:hAnsi="Times New Roman" w:cs="Times New Roman"/>
          <w:b/>
          <w:bCs/>
          <w:color w:val="000000"/>
          <w:sz w:val="26"/>
          <w:szCs w:val="26"/>
        </w:rPr>
        <w:t>3.4.1. Definition of failure to warn</w:t>
      </w:r>
    </w:p>
    <w:p w14:paraId="126C26D2" w14:textId="77777777" w:rsidR="005A5BF4" w:rsidRDefault="00000000">
      <w:pPr>
        <w:pStyle w:val="Heading2"/>
        <w:spacing w:before="240" w:after="240"/>
        <w:jc w:val="both"/>
        <w:rPr>
          <w:rFonts w:ascii="Times New Roman" w:eastAsia="Times New Roman" w:hAnsi="Times New Roman" w:cs="Times New Roman"/>
        </w:rPr>
      </w:pPr>
      <w:bookmarkStart w:id="18" w:name="_heading=h.71pb2chhxqkn" w:colFirst="0" w:colLast="0"/>
      <w:bookmarkEnd w:id="18"/>
      <w:r>
        <w:rPr>
          <w:rFonts w:ascii="Times New Roman" w:eastAsia="Times New Roman" w:hAnsi="Times New Roman" w:cs="Times New Roman"/>
          <w:b w:val="0"/>
          <w:bCs w:val="0"/>
          <w:color w:val="000000"/>
        </w:rPr>
        <w:t xml:space="preserve">Failure to warn is a distinct and well-established category of product </w:t>
      </w:r>
      <w:proofErr w:type="gramStart"/>
      <w:r>
        <w:rPr>
          <w:rFonts w:ascii="Times New Roman" w:eastAsia="Times New Roman" w:hAnsi="Times New Roman" w:cs="Times New Roman"/>
          <w:b w:val="0"/>
          <w:bCs w:val="0"/>
          <w:color w:val="000000"/>
        </w:rPr>
        <w:t>defect</w:t>
      </w:r>
      <w:proofErr w:type="gramEnd"/>
      <w:r>
        <w:rPr>
          <w:rFonts w:ascii="Times New Roman" w:eastAsia="Times New Roman" w:hAnsi="Times New Roman" w:cs="Times New Roman"/>
          <w:b w:val="0"/>
          <w:bCs w:val="0"/>
          <w:color w:val="000000"/>
        </w:rPr>
        <w:t xml:space="preserve"> within products liability law. It arises when a manufacturer or supplier fails to provide adequate warnings or instructions regarding foreseeable risks associated with the use of a product. Even where a product is properly designed and manufactured, it may still be deemed defective if users are not sufficiently informed of dangers that are not obvious or commonly understood. The underlying rationale of failure to warn liability is consumer protection: users must be given meaningful information that allows them to avoid harm and to use the product safely (Owen, 2008).</w:t>
      </w:r>
    </w:p>
    <w:p w14:paraId="5A1A0155" w14:textId="77777777" w:rsidR="005A5BF4" w:rsidRDefault="00000000">
      <w:pPr>
        <w:pStyle w:val="Heading2"/>
        <w:spacing w:before="240" w:after="240"/>
        <w:jc w:val="both"/>
        <w:rPr>
          <w:rFonts w:ascii="Times New Roman" w:eastAsia="Times New Roman" w:hAnsi="Times New Roman" w:cs="Times New Roman"/>
        </w:rPr>
      </w:pPr>
      <w:bookmarkStart w:id="19" w:name="_heading=h.164u63qk5jy" w:colFirst="0" w:colLast="0"/>
      <w:bookmarkEnd w:id="19"/>
      <w:r>
        <w:rPr>
          <w:rFonts w:ascii="Times New Roman" w:eastAsia="Times New Roman" w:hAnsi="Times New Roman" w:cs="Times New Roman"/>
          <w:b w:val="0"/>
          <w:bCs w:val="0"/>
          <w:color w:val="000000"/>
        </w:rPr>
        <w:t xml:space="preserve">Warnings serve a critical safety function by communicating </w:t>
      </w:r>
      <w:proofErr w:type="gramStart"/>
      <w:r>
        <w:rPr>
          <w:rFonts w:ascii="Times New Roman" w:eastAsia="Times New Roman" w:hAnsi="Times New Roman" w:cs="Times New Roman"/>
          <w:b w:val="0"/>
          <w:bCs w:val="0"/>
          <w:color w:val="000000"/>
        </w:rPr>
        <w:t>risk</w:t>
      </w:r>
      <w:proofErr w:type="gramEnd"/>
      <w:r>
        <w:rPr>
          <w:rFonts w:ascii="Times New Roman" w:eastAsia="Times New Roman" w:hAnsi="Times New Roman" w:cs="Times New Roman"/>
          <w:b w:val="0"/>
          <w:bCs w:val="0"/>
          <w:color w:val="000000"/>
        </w:rPr>
        <w:t>, instructing proper use, and alerting consumers to potential consequences of misuse. When such warnings are absent, unclear, or insufficiently prominent, the product may be classified as “unreasonably dangerous.” Importantly, failure to warn focuses not on the physical characteristics of the product, but on the information or lack thereof provided to the user.</w:t>
      </w:r>
    </w:p>
    <w:p w14:paraId="32B1F8D0" w14:textId="77777777" w:rsidR="005A5BF4" w:rsidRDefault="00000000">
      <w:pPr>
        <w:pStyle w:val="Heading2"/>
        <w:spacing w:before="240" w:after="240"/>
        <w:jc w:val="both"/>
        <w:rPr>
          <w:rFonts w:ascii="Times New Roman" w:eastAsia="Times New Roman" w:hAnsi="Times New Roman" w:cs="Times New Roman"/>
        </w:rPr>
      </w:pPr>
      <w:bookmarkStart w:id="20" w:name="_heading=h.ug664gyx7gam" w:colFirst="0" w:colLast="0"/>
      <w:bookmarkEnd w:id="20"/>
      <w:r>
        <w:rPr>
          <w:rFonts w:ascii="Times New Roman" w:eastAsia="Times New Roman" w:hAnsi="Times New Roman" w:cs="Times New Roman"/>
          <w:b w:val="0"/>
          <w:bCs w:val="0"/>
          <w:color w:val="000000"/>
        </w:rPr>
        <w:t>Failure to warn is particularly significant in products used by children or inexperienced users, who may not recognize dangers that are obvious to adults. Courts have consistently emphasized that the standard for adequacy of warnings considers the foreseeable user and the context of product use.  For example, a pharmaceutical product may be deemed defective if its labeling fails to disclose serious side effects, leading to poisoning or severe injury.</w:t>
      </w:r>
    </w:p>
    <w:p w14:paraId="70A322B8" w14:textId="77777777" w:rsidR="005A5BF4"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 leading case illustrating failure-to-warn liability is </w:t>
      </w:r>
      <w:r>
        <w:rPr>
          <w:rFonts w:ascii="Times New Roman" w:eastAsia="Times New Roman" w:hAnsi="Times New Roman" w:cs="Times New Roman"/>
          <w:i/>
          <w:iCs/>
          <w:color w:val="000000"/>
          <w:sz w:val="26"/>
          <w:szCs w:val="26"/>
        </w:rPr>
        <w:t xml:space="preserve">Bunch v. </w:t>
      </w:r>
      <w:proofErr w:type="spellStart"/>
      <w:r>
        <w:rPr>
          <w:rFonts w:ascii="Times New Roman" w:eastAsia="Times New Roman" w:hAnsi="Times New Roman" w:cs="Times New Roman"/>
          <w:i/>
          <w:iCs/>
          <w:color w:val="000000"/>
          <w:sz w:val="26"/>
          <w:szCs w:val="26"/>
        </w:rPr>
        <w:t>Hoffinger</w:t>
      </w:r>
      <w:proofErr w:type="spellEnd"/>
      <w:r>
        <w:rPr>
          <w:rFonts w:ascii="Times New Roman" w:eastAsia="Times New Roman" w:hAnsi="Times New Roman" w:cs="Times New Roman"/>
          <w:i/>
          <w:iCs/>
          <w:color w:val="000000"/>
          <w:sz w:val="26"/>
          <w:szCs w:val="26"/>
        </w:rPr>
        <w:t xml:space="preserve"> Industries, Inc.</w:t>
      </w:r>
      <w:r>
        <w:rPr>
          <w:rFonts w:ascii="Times New Roman" w:eastAsia="Times New Roman" w:hAnsi="Times New Roman" w:cs="Times New Roman"/>
          <w:color w:val="000000"/>
          <w:sz w:val="26"/>
          <w:szCs w:val="26"/>
        </w:rPr>
        <w:t xml:space="preserve"> (2004)</w:t>
      </w:r>
      <w:r>
        <w:rPr>
          <w:rFonts w:ascii="Times New Roman" w:eastAsia="Times New Roman" w:hAnsi="Times New Roman" w:cs="Times New Roman"/>
          <w:color w:val="000000"/>
          <w:sz w:val="26"/>
          <w:szCs w:val="26"/>
          <w:vertAlign w:val="superscript"/>
        </w:rPr>
        <w:footnoteReference w:id="8"/>
      </w:r>
      <w:r>
        <w:rPr>
          <w:rFonts w:ascii="Times New Roman" w:eastAsia="Times New Roman" w:hAnsi="Times New Roman" w:cs="Times New Roman"/>
          <w:color w:val="000000"/>
          <w:sz w:val="26"/>
          <w:szCs w:val="26"/>
        </w:rPr>
        <w:t>, which demonstrates how courts assess warning defects under strict products liability.</w:t>
      </w:r>
    </w:p>
    <w:p w14:paraId="3D77E0E8" w14:textId="77777777" w:rsidR="005A5BF4" w:rsidRDefault="005A5BF4">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6"/>
          <w:szCs w:val="26"/>
        </w:rPr>
      </w:pPr>
    </w:p>
    <w:p w14:paraId="3AFC0C0F" w14:textId="77777777" w:rsidR="005A5BF4" w:rsidRDefault="005A5BF4">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6"/>
          <w:szCs w:val="26"/>
        </w:rPr>
      </w:pPr>
    </w:p>
    <w:p w14:paraId="726764E0"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bookmarkStart w:id="21" w:name="_heading=h.26y0a3pnmxc4" w:colFirst="0" w:colLast="0"/>
      <w:bookmarkEnd w:id="21"/>
      <w:r>
        <w:rPr>
          <w:rFonts w:ascii="Times New Roman" w:eastAsia="Times New Roman" w:hAnsi="Times New Roman" w:cs="Times New Roman"/>
          <w:b/>
          <w:bCs/>
          <w:color w:val="000000"/>
          <w:sz w:val="26"/>
          <w:szCs w:val="26"/>
        </w:rPr>
        <w:t>3.4.2. Case Summary:</w:t>
      </w:r>
    </w:p>
    <w:p w14:paraId="0395E5E2"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Plaintiff:</w:t>
      </w:r>
      <w:r>
        <w:rPr>
          <w:rFonts w:ascii="Times New Roman" w:eastAsia="Times New Roman" w:hAnsi="Times New Roman" w:cs="Times New Roman"/>
          <w:color w:val="000000"/>
          <w:sz w:val="26"/>
          <w:szCs w:val="26"/>
        </w:rPr>
        <w:t xml:space="preserve"> Leesa Bunch, an 11-year-old </w:t>
      </w:r>
      <w:proofErr w:type="spellStart"/>
      <w:proofErr w:type="gramStart"/>
      <w:r>
        <w:rPr>
          <w:rFonts w:ascii="Times New Roman" w:eastAsia="Times New Roman" w:hAnsi="Times New Roman" w:cs="Times New Roman"/>
          <w:color w:val="000000"/>
          <w:sz w:val="26"/>
          <w:szCs w:val="26"/>
        </w:rPr>
        <w:t>girl.Leesa</w:t>
      </w:r>
      <w:proofErr w:type="spellEnd"/>
      <w:proofErr w:type="gramEnd"/>
      <w:r>
        <w:rPr>
          <w:rFonts w:ascii="Times New Roman" w:eastAsia="Times New Roman" w:hAnsi="Times New Roman" w:cs="Times New Roman"/>
          <w:color w:val="000000"/>
          <w:sz w:val="26"/>
          <w:szCs w:val="26"/>
        </w:rPr>
        <w:t xml:space="preserve"> Bunch, an 11-year-old girl.</w:t>
      </w:r>
    </w:p>
    <w:p w14:paraId="28A0AFFF"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Defendants:</w:t>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Hoffinger</w:t>
      </w:r>
      <w:proofErr w:type="spellEnd"/>
      <w:r>
        <w:rPr>
          <w:rFonts w:ascii="Times New Roman" w:eastAsia="Times New Roman" w:hAnsi="Times New Roman" w:cs="Times New Roman"/>
          <w:color w:val="000000"/>
          <w:sz w:val="26"/>
          <w:szCs w:val="26"/>
        </w:rPr>
        <w:t xml:space="preserve"> Industries (the manufacturer) and McMaster (the supplier of pool liners).</w:t>
      </w:r>
    </w:p>
    <w:p w14:paraId="378C9983"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Trial Court: </w:t>
      </w:r>
      <w:r>
        <w:rPr>
          <w:rFonts w:ascii="Times New Roman" w:eastAsia="Times New Roman" w:hAnsi="Times New Roman" w:cs="Times New Roman"/>
          <w:color w:val="000000"/>
          <w:sz w:val="26"/>
          <w:szCs w:val="26"/>
        </w:rPr>
        <w:t>Superior Court; Court of Appeal, California</w:t>
      </w:r>
    </w:p>
    <w:p w14:paraId="27EA0232"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Year of Appellate Decision:</w:t>
      </w:r>
      <w:r>
        <w:rPr>
          <w:rFonts w:ascii="Times New Roman" w:eastAsia="Times New Roman" w:hAnsi="Times New Roman" w:cs="Times New Roman"/>
          <w:color w:val="000000"/>
          <w:sz w:val="26"/>
          <w:szCs w:val="26"/>
        </w:rPr>
        <w:t xml:space="preserve"> 2004</w:t>
      </w:r>
    </w:p>
    <w:p w14:paraId="5762F634"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Fact:</w:t>
      </w:r>
    </w:p>
    <w:p w14:paraId="0A8C1205"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1F2024"/>
          <w:sz w:val="26"/>
          <w:szCs w:val="26"/>
          <w:highlight w:val="white"/>
        </w:rPr>
        <w:t xml:space="preserve">Leesa Bunch, an eleven-year-old girl, was playing near an </w:t>
      </w:r>
      <w:proofErr w:type="gramStart"/>
      <w:r>
        <w:rPr>
          <w:rFonts w:ascii="Times New Roman" w:eastAsia="Times New Roman" w:hAnsi="Times New Roman" w:cs="Times New Roman"/>
          <w:color w:val="1F2024"/>
          <w:sz w:val="26"/>
          <w:szCs w:val="26"/>
          <w:highlight w:val="white"/>
        </w:rPr>
        <w:t>aboveground</w:t>
      </w:r>
      <w:proofErr w:type="gramEnd"/>
      <w:r>
        <w:rPr>
          <w:rFonts w:ascii="Times New Roman" w:eastAsia="Times New Roman" w:hAnsi="Times New Roman" w:cs="Times New Roman"/>
          <w:color w:val="1F2024"/>
          <w:sz w:val="26"/>
          <w:szCs w:val="26"/>
          <w:highlight w:val="white"/>
        </w:rPr>
        <w:t xml:space="preserve"> swimming pool owned by Joe Frank and his wife, </w:t>
      </w:r>
      <w:proofErr w:type="gramStart"/>
      <w:r>
        <w:rPr>
          <w:rFonts w:ascii="Times New Roman" w:eastAsia="Times New Roman" w:hAnsi="Times New Roman" w:cs="Times New Roman"/>
          <w:color w:val="1F2024"/>
          <w:sz w:val="26"/>
          <w:szCs w:val="26"/>
          <w:highlight w:val="white"/>
        </w:rPr>
        <w:t>Loretta</w:t>
      </w:r>
      <w:proofErr w:type="gramEnd"/>
      <w:r>
        <w:rPr>
          <w:rFonts w:ascii="Times New Roman" w:eastAsia="Times New Roman" w:hAnsi="Times New Roman" w:cs="Times New Roman"/>
          <w:color w:val="1F2024"/>
          <w:sz w:val="26"/>
          <w:szCs w:val="26"/>
          <w:highlight w:val="white"/>
        </w:rPr>
        <w:t xml:space="preserve"> when she decided to dive into the shallow pool. The consequence of the dive was a neck injury. This caused a quadriplegic </w:t>
      </w:r>
      <w:r>
        <w:rPr>
          <w:rFonts w:ascii="Times New Roman" w:eastAsia="Times New Roman" w:hAnsi="Times New Roman" w:cs="Times New Roman"/>
          <w:color w:val="1F2024"/>
          <w:sz w:val="26"/>
          <w:szCs w:val="26"/>
          <w:highlight w:val="white"/>
        </w:rPr>
        <w:lastRenderedPageBreak/>
        <w:t xml:space="preserve">accident that has made her permanently dependent on a diaphragm pacemaker and a breathing ventilator. </w:t>
      </w:r>
      <w:r>
        <w:rPr>
          <w:rFonts w:ascii="Times New Roman" w:eastAsia="Times New Roman" w:hAnsi="Times New Roman" w:cs="Times New Roman"/>
          <w:color w:val="000000"/>
          <w:sz w:val="26"/>
          <w:szCs w:val="26"/>
        </w:rPr>
        <w:t>The Bunch family alleged that the product lacked adequate warnings regarding the serious risk of neck and spinal injuries resulting from diving into shallow water.</w:t>
      </w:r>
    </w:p>
    <w:p w14:paraId="3A9BF739"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1F2024"/>
          <w:sz w:val="26"/>
          <w:szCs w:val="26"/>
          <w:highlight w:val="white"/>
        </w:rPr>
        <w:t>The plaintiff also cited that the involved companies breached their warranties and failed to respond appropriately to the accident. The plaintiff requested over sixteen million dollars, but the request was reduced to twelve million dollars after the court identified comparative fault from other non-defendants.</w:t>
      </w:r>
    </w:p>
    <w:p w14:paraId="0C682266"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1F2024"/>
          <w:sz w:val="26"/>
          <w:szCs w:val="26"/>
          <w:highlight w:val="white"/>
        </w:rPr>
        <w:t>The Court of Appeal maintained that the jury did not make a mistake in their decision against the defendants.</w:t>
      </w:r>
    </w:p>
    <w:p w14:paraId="11FC4A9F"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1F2024"/>
          <w:sz w:val="26"/>
          <w:szCs w:val="26"/>
          <w:highlight w:val="white"/>
        </w:rPr>
        <w:t xml:space="preserve">Legal issue(s): </w:t>
      </w:r>
      <w:r>
        <w:rPr>
          <w:rFonts w:ascii="Times New Roman" w:eastAsia="Times New Roman" w:hAnsi="Times New Roman" w:cs="Times New Roman"/>
          <w:color w:val="000000"/>
          <w:sz w:val="26"/>
          <w:szCs w:val="26"/>
        </w:rPr>
        <w:t>Whether the manufacturer and supplier were liable for failure to warn when a child was injured after diving into a shallow above-ground pool.</w:t>
      </w:r>
    </w:p>
    <w:p w14:paraId="16C765A5"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Applicable Law: </w:t>
      </w:r>
      <w:r>
        <w:rPr>
          <w:rFonts w:ascii="Times New Roman" w:eastAsia="Times New Roman" w:hAnsi="Times New Roman" w:cs="Times New Roman"/>
          <w:color w:val="000000"/>
          <w:sz w:val="26"/>
          <w:szCs w:val="26"/>
        </w:rPr>
        <w:t xml:space="preserve">Restatement (Second) of Torts § 402A (liability for selling a product in a defective condition unreasonably dangerous to the </w:t>
      </w:r>
      <w:proofErr w:type="gramStart"/>
      <w:r>
        <w:rPr>
          <w:rFonts w:ascii="Times New Roman" w:eastAsia="Times New Roman" w:hAnsi="Times New Roman" w:cs="Times New Roman"/>
          <w:color w:val="000000"/>
          <w:sz w:val="26"/>
          <w:szCs w:val="26"/>
        </w:rPr>
        <w:t>user)(</w:t>
      </w:r>
      <w:proofErr w:type="gramEnd"/>
      <w:r>
        <w:rPr>
          <w:rFonts w:ascii="Times New Roman" w:eastAsia="Times New Roman" w:hAnsi="Times New Roman" w:cs="Times New Roman"/>
          <w:color w:val="000000"/>
          <w:sz w:val="26"/>
          <w:szCs w:val="26"/>
        </w:rPr>
        <w:t>American Law Institute, 1965).</w:t>
      </w:r>
    </w:p>
    <w:p w14:paraId="7A932109"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1F2024"/>
          <w:sz w:val="26"/>
          <w:szCs w:val="26"/>
          <w:highlight w:val="white"/>
        </w:rPr>
        <w:t>Plaintiff’s Arguments:</w:t>
      </w:r>
    </w:p>
    <w:p w14:paraId="79675C03" w14:textId="77777777" w:rsidR="005A5BF4" w:rsidRDefault="00000000">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1F2024"/>
          <w:sz w:val="26"/>
          <w:szCs w:val="26"/>
        </w:rPr>
      </w:pPr>
      <w:r>
        <w:rPr>
          <w:rFonts w:ascii="Times New Roman" w:eastAsia="Times New Roman" w:hAnsi="Times New Roman" w:cs="Times New Roman"/>
          <w:color w:val="1F2024"/>
          <w:sz w:val="26"/>
          <w:szCs w:val="26"/>
          <w:highlight w:val="white"/>
        </w:rPr>
        <w:t xml:space="preserve">According to Bunch, the companies </w:t>
      </w:r>
      <w:proofErr w:type="gramStart"/>
      <w:r>
        <w:rPr>
          <w:rFonts w:ascii="Times New Roman" w:eastAsia="Times New Roman" w:hAnsi="Times New Roman" w:cs="Times New Roman"/>
          <w:color w:val="1F2024"/>
          <w:sz w:val="26"/>
          <w:szCs w:val="26"/>
          <w:highlight w:val="white"/>
        </w:rPr>
        <w:t>made</w:t>
      </w:r>
      <w:proofErr w:type="gramEnd"/>
      <w:r>
        <w:rPr>
          <w:rFonts w:ascii="Times New Roman" w:eastAsia="Times New Roman" w:hAnsi="Times New Roman" w:cs="Times New Roman"/>
          <w:color w:val="1F2024"/>
          <w:sz w:val="26"/>
          <w:szCs w:val="26"/>
          <w:highlight w:val="white"/>
        </w:rPr>
        <w:t xml:space="preserve"> substandard products in terms of design and product </w:t>
      </w:r>
      <w:proofErr w:type="gramStart"/>
      <w:r>
        <w:rPr>
          <w:rFonts w:ascii="Times New Roman" w:eastAsia="Times New Roman" w:hAnsi="Times New Roman" w:cs="Times New Roman"/>
          <w:color w:val="1F2024"/>
          <w:sz w:val="26"/>
          <w:szCs w:val="26"/>
          <w:highlight w:val="white"/>
        </w:rPr>
        <w:t>qualities</w:t>
      </w:r>
      <w:proofErr w:type="gramEnd"/>
      <w:r>
        <w:rPr>
          <w:rFonts w:ascii="Times New Roman" w:eastAsia="Times New Roman" w:hAnsi="Times New Roman" w:cs="Times New Roman"/>
          <w:color w:val="1F2024"/>
          <w:sz w:val="26"/>
          <w:szCs w:val="26"/>
          <w:highlight w:val="white"/>
        </w:rPr>
        <w:t>. Additionally, they failed to provide warnings of expected diving consequences to pool users. </w:t>
      </w:r>
    </w:p>
    <w:p w14:paraId="0D41E823"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1F2024"/>
          <w:sz w:val="26"/>
          <w:szCs w:val="26"/>
          <w:highlight w:val="white"/>
        </w:rPr>
        <w:t>Defendant’s Arguments:</w:t>
      </w:r>
    </w:p>
    <w:p w14:paraId="347342BC" w14:textId="77777777" w:rsidR="005A5BF4" w:rsidRDefault="00000000">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1F2024"/>
          <w:sz w:val="26"/>
          <w:szCs w:val="26"/>
        </w:rPr>
      </w:pPr>
      <w:r>
        <w:rPr>
          <w:rFonts w:ascii="Times New Roman" w:eastAsia="Times New Roman" w:hAnsi="Times New Roman" w:cs="Times New Roman"/>
          <w:color w:val="1F2024"/>
          <w:sz w:val="26"/>
          <w:szCs w:val="26"/>
          <w:highlight w:val="white"/>
        </w:rPr>
        <w:t>The supplier argued that the depth of the pool was sufficient to discourage users from diving. </w:t>
      </w:r>
    </w:p>
    <w:p w14:paraId="44D3ECBB" w14:textId="77777777" w:rsidR="005A5BF4" w:rsidRDefault="00000000">
      <w:pPr>
        <w:numPr>
          <w:ilvl w:val="0"/>
          <w:numId w:val="9"/>
        </w:numPr>
        <w:pBdr>
          <w:top w:val="nil"/>
          <w:left w:val="nil"/>
          <w:bottom w:val="nil"/>
          <w:right w:val="nil"/>
          <w:between w:val="nil"/>
        </w:pBdr>
        <w:spacing w:after="0" w:line="240" w:lineRule="auto"/>
        <w:jc w:val="both"/>
        <w:rPr>
          <w:rFonts w:ascii="Times New Roman" w:eastAsia="Times New Roman" w:hAnsi="Times New Roman" w:cs="Times New Roman"/>
          <w:color w:val="1F2024"/>
          <w:sz w:val="26"/>
          <w:szCs w:val="26"/>
        </w:rPr>
      </w:pPr>
      <w:r>
        <w:rPr>
          <w:rFonts w:ascii="Times New Roman" w:eastAsia="Times New Roman" w:hAnsi="Times New Roman" w:cs="Times New Roman"/>
          <w:color w:val="1F2024"/>
          <w:sz w:val="26"/>
          <w:szCs w:val="26"/>
          <w:highlight w:val="white"/>
        </w:rPr>
        <w:t>The manufacturer maintained that its products had safety signs discouraging people from diving.</w:t>
      </w:r>
    </w:p>
    <w:p w14:paraId="112D91E3"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1F2024"/>
          <w:sz w:val="26"/>
          <w:szCs w:val="26"/>
          <w:highlight w:val="white"/>
        </w:rPr>
        <w:t>Court’s reasoning:</w:t>
      </w:r>
    </w:p>
    <w:p w14:paraId="1C425DAD" w14:textId="77777777" w:rsidR="005A5BF4"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1F2024"/>
          <w:sz w:val="26"/>
          <w:szCs w:val="26"/>
        </w:rPr>
      </w:pPr>
      <w:r>
        <w:rPr>
          <w:rFonts w:ascii="Times New Roman" w:eastAsia="Times New Roman" w:hAnsi="Times New Roman" w:cs="Times New Roman"/>
          <w:color w:val="1F2024"/>
          <w:sz w:val="26"/>
          <w:szCs w:val="26"/>
          <w:highlight w:val="white"/>
        </w:rPr>
        <w:t xml:space="preserve">The court held that an </w:t>
      </w:r>
      <w:proofErr w:type="gramStart"/>
      <w:r>
        <w:rPr>
          <w:rFonts w:ascii="Times New Roman" w:eastAsia="Times New Roman" w:hAnsi="Times New Roman" w:cs="Times New Roman"/>
          <w:color w:val="1F2024"/>
          <w:sz w:val="26"/>
          <w:szCs w:val="26"/>
          <w:highlight w:val="white"/>
        </w:rPr>
        <w:t>11-year old</w:t>
      </w:r>
      <w:proofErr w:type="gramEnd"/>
      <w:r>
        <w:rPr>
          <w:rFonts w:ascii="Times New Roman" w:eastAsia="Times New Roman" w:hAnsi="Times New Roman" w:cs="Times New Roman"/>
          <w:color w:val="1F2024"/>
          <w:sz w:val="26"/>
          <w:szCs w:val="26"/>
          <w:highlight w:val="white"/>
        </w:rPr>
        <w:t xml:space="preserve"> could not evaluate the consequences of diving in an aboveboard swimming pool as stipulated by the defendants.</w:t>
      </w:r>
    </w:p>
    <w:p w14:paraId="39106FC5" w14:textId="77777777" w:rsidR="005A5BF4"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1F2024"/>
          <w:sz w:val="26"/>
          <w:szCs w:val="26"/>
        </w:rPr>
      </w:pPr>
      <w:r>
        <w:rPr>
          <w:rFonts w:ascii="Times New Roman" w:eastAsia="Times New Roman" w:hAnsi="Times New Roman" w:cs="Times New Roman"/>
          <w:color w:val="1F2024"/>
          <w:sz w:val="26"/>
          <w:szCs w:val="26"/>
          <w:highlight w:val="white"/>
        </w:rPr>
        <w:t>The jury maintained that the presence of a strong and visible warning sign could have discouraged the plaintiff from diving into the pool. </w:t>
      </w:r>
    </w:p>
    <w:p w14:paraId="469C9BB4" w14:textId="77777777" w:rsidR="005A5BF4"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1F2024"/>
          <w:sz w:val="26"/>
          <w:szCs w:val="26"/>
        </w:rPr>
      </w:pPr>
      <w:r>
        <w:rPr>
          <w:rFonts w:ascii="Times New Roman" w:eastAsia="Times New Roman" w:hAnsi="Times New Roman" w:cs="Times New Roman"/>
          <w:color w:val="1F2024"/>
          <w:sz w:val="26"/>
          <w:szCs w:val="26"/>
          <w:highlight w:val="white"/>
        </w:rPr>
        <w:t>The Court of Appeal maintained that the jury did not make a mistake in their decision against the defendants.</w:t>
      </w:r>
    </w:p>
    <w:p w14:paraId="010E18A5" w14:textId="77777777" w:rsidR="005A5BF4" w:rsidRDefault="005A5BF4">
      <w:pPr>
        <w:jc w:val="both"/>
        <w:rPr>
          <w:rFonts w:ascii="Times New Roman" w:eastAsia="Times New Roman" w:hAnsi="Times New Roman" w:cs="Times New Roman"/>
          <w:sz w:val="26"/>
          <w:szCs w:val="26"/>
        </w:rPr>
      </w:pPr>
    </w:p>
    <w:p w14:paraId="14D413A9" w14:textId="77777777" w:rsidR="005A5BF4"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Court Decision:</w:t>
      </w:r>
    </w:p>
    <w:p w14:paraId="27030A32" w14:textId="77777777" w:rsidR="005A5BF4" w:rsidRDefault="00000000">
      <w:pPr>
        <w:pStyle w:val="Heading2"/>
        <w:spacing w:before="240" w:after="240"/>
        <w:jc w:val="both"/>
        <w:rPr>
          <w:rFonts w:ascii="Times New Roman" w:eastAsia="Times New Roman" w:hAnsi="Times New Roman" w:cs="Times New Roman"/>
        </w:rPr>
      </w:pPr>
      <w:bookmarkStart w:id="22" w:name="_heading=h.il8bjwpuemm5" w:colFirst="0" w:colLast="0"/>
      <w:bookmarkEnd w:id="22"/>
      <w:r>
        <w:rPr>
          <w:rFonts w:ascii="Times New Roman" w:eastAsia="Times New Roman" w:hAnsi="Times New Roman" w:cs="Times New Roman"/>
          <w:b w:val="0"/>
          <w:bCs w:val="0"/>
          <w:color w:val="000000"/>
        </w:rPr>
        <w:t>At trial, the jury found the defendants liable and awarded damages exceeding USD 12 million. On appeal, the defendants argued that the danger was obvious and did not require a warning. However, the appellate court rejected this argument, holding that the danger was not obvious to a child and that the warnings provided were inadequate. The decision reaffirmed that manufacturers have a duty to provide clear, prominent, and specific warnings about serious risks, especially for foreseeable users such as children.</w:t>
      </w:r>
    </w:p>
    <w:p w14:paraId="3AAAF04D" w14:textId="77777777" w:rsidR="005A5BF4" w:rsidRDefault="00000000">
      <w:pPr>
        <w:pStyle w:val="Heading3"/>
        <w:spacing w:before="280" w:after="80"/>
        <w:jc w:val="both"/>
        <w:rPr>
          <w:sz w:val="26"/>
          <w:szCs w:val="26"/>
        </w:rPr>
      </w:pPr>
      <w:bookmarkStart w:id="23" w:name="_heading=h.vudixzzakhv" w:colFirst="0" w:colLast="0"/>
      <w:bookmarkEnd w:id="23"/>
      <w:r>
        <w:rPr>
          <w:color w:val="000000"/>
          <w:sz w:val="26"/>
          <w:szCs w:val="26"/>
        </w:rPr>
        <w:t>3.4.3. IRAC Analysis</w:t>
      </w:r>
    </w:p>
    <w:p w14:paraId="4AD18AC8" w14:textId="77777777" w:rsidR="005A5BF4"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Issue</w:t>
      </w:r>
      <w:r>
        <w:rPr>
          <w:rFonts w:ascii="Times New Roman" w:eastAsia="Times New Roman" w:hAnsi="Times New Roman" w:cs="Times New Roman"/>
          <w:b/>
          <w:bCs/>
          <w:color w:val="000000"/>
          <w:sz w:val="26"/>
          <w:szCs w:val="26"/>
        </w:rPr>
        <w:br/>
      </w:r>
      <w:r>
        <w:rPr>
          <w:rFonts w:ascii="Times New Roman" w:eastAsia="Times New Roman" w:hAnsi="Times New Roman" w:cs="Times New Roman"/>
          <w:color w:val="000000"/>
          <w:sz w:val="26"/>
          <w:szCs w:val="26"/>
        </w:rPr>
        <w:t xml:space="preserve"> The central legal issue was whether the manufacturer and supplier could be held liable </w:t>
      </w:r>
      <w:r>
        <w:rPr>
          <w:rFonts w:ascii="Times New Roman" w:eastAsia="Times New Roman" w:hAnsi="Times New Roman" w:cs="Times New Roman"/>
          <w:color w:val="000000"/>
          <w:sz w:val="26"/>
          <w:szCs w:val="26"/>
        </w:rPr>
        <w:lastRenderedPageBreak/>
        <w:t>for failure to warn when an 11-year-old child suffered catastrophic injury from diving into a shallow above-ground swimming pool.</w:t>
      </w:r>
    </w:p>
    <w:p w14:paraId="63C603DB" w14:textId="77777777" w:rsidR="005A5BF4"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Rule</w:t>
      </w:r>
      <w:r>
        <w:rPr>
          <w:rFonts w:ascii="Times New Roman" w:eastAsia="Times New Roman" w:hAnsi="Times New Roman" w:cs="Times New Roman"/>
          <w:b/>
          <w:bCs/>
          <w:color w:val="000000"/>
          <w:sz w:val="26"/>
          <w:szCs w:val="26"/>
        </w:rPr>
        <w:br/>
      </w:r>
      <w:r>
        <w:rPr>
          <w:rFonts w:ascii="Times New Roman" w:eastAsia="Times New Roman" w:hAnsi="Times New Roman" w:cs="Times New Roman"/>
          <w:color w:val="000000"/>
          <w:sz w:val="26"/>
          <w:szCs w:val="26"/>
        </w:rPr>
        <w:t>Under the doctrine of strict product liability, a product is defective if it is unreasonably dangerous to the user due to inadequate warnings or instructions, even if it is properly manufactured and designed</w:t>
      </w:r>
      <w:r>
        <w:rPr>
          <w:rFonts w:ascii="Times New Roman" w:eastAsia="Times New Roman" w:hAnsi="Times New Roman" w:cs="Times New Roman"/>
          <w:color w:val="000000"/>
          <w:sz w:val="26"/>
          <w:szCs w:val="26"/>
          <w:vertAlign w:val="superscript"/>
        </w:rPr>
        <w:footnoteReference w:id="9"/>
      </w:r>
      <w:r>
        <w:rPr>
          <w:rFonts w:ascii="Times New Roman" w:eastAsia="Times New Roman" w:hAnsi="Times New Roman" w:cs="Times New Roman"/>
          <w:color w:val="000000"/>
          <w:sz w:val="26"/>
          <w:szCs w:val="26"/>
        </w:rPr>
        <w:t xml:space="preserve">. The standard for adequacy of warnings depends on foreseeability of harm and the intended user’s ability to understand the </w:t>
      </w:r>
      <w:proofErr w:type="gramStart"/>
      <w:r>
        <w:rPr>
          <w:rFonts w:ascii="Times New Roman" w:eastAsia="Times New Roman" w:hAnsi="Times New Roman" w:cs="Times New Roman"/>
          <w:color w:val="000000"/>
          <w:sz w:val="26"/>
          <w:szCs w:val="26"/>
        </w:rPr>
        <w:t>risk.(</w:t>
      </w:r>
      <w:proofErr w:type="gramEnd"/>
      <w:r>
        <w:rPr>
          <w:rFonts w:ascii="Times New Roman" w:eastAsia="Times New Roman" w:hAnsi="Times New Roman" w:cs="Times New Roman"/>
          <w:color w:val="000000"/>
          <w:sz w:val="26"/>
          <w:szCs w:val="26"/>
        </w:rPr>
        <w:t>American Law Institute, 1965).</w:t>
      </w:r>
    </w:p>
    <w:p w14:paraId="3E8EC34C" w14:textId="77777777" w:rsidR="005A5BF4"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Application</w:t>
      </w:r>
      <w:r>
        <w:rPr>
          <w:rFonts w:ascii="Times New Roman" w:eastAsia="Times New Roman" w:hAnsi="Times New Roman" w:cs="Times New Roman"/>
          <w:b/>
          <w:bCs/>
          <w:color w:val="000000"/>
          <w:sz w:val="26"/>
          <w:szCs w:val="26"/>
        </w:rPr>
        <w:br/>
      </w:r>
      <w:r>
        <w:rPr>
          <w:rFonts w:ascii="Times New Roman" w:eastAsia="Times New Roman" w:hAnsi="Times New Roman" w:cs="Times New Roman"/>
          <w:color w:val="000000"/>
          <w:sz w:val="26"/>
          <w:szCs w:val="26"/>
        </w:rPr>
        <w:t xml:space="preserve"> The court determined that the risk of severe neck and spinal injury from diving into a shallow swimming pool was not obvious to a child. Diving by children was a foreseeable use of the product, yet the pool and liner lacked adequate warnings, such as a visible “NO DIVING” sign. This absence rendered the product unreasonably dangerous despite proper design and manufacturing. The court further emphasized that manufacturers cannot rely on assumptions that users, particularly children, will appreciate obvious dangers.</w:t>
      </w:r>
    </w:p>
    <w:p w14:paraId="05E7132E" w14:textId="77777777" w:rsidR="005A5BF4"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Conclusion</w:t>
      </w:r>
      <w:r>
        <w:rPr>
          <w:rFonts w:ascii="Times New Roman" w:eastAsia="Times New Roman" w:hAnsi="Times New Roman" w:cs="Times New Roman"/>
          <w:b/>
          <w:bCs/>
          <w:color w:val="000000"/>
          <w:sz w:val="26"/>
          <w:szCs w:val="26"/>
        </w:rPr>
        <w:br/>
      </w:r>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Hoffinger</w:t>
      </w:r>
      <w:proofErr w:type="spellEnd"/>
      <w:r>
        <w:rPr>
          <w:rFonts w:ascii="Times New Roman" w:eastAsia="Times New Roman" w:hAnsi="Times New Roman" w:cs="Times New Roman"/>
          <w:color w:val="000000"/>
          <w:sz w:val="26"/>
          <w:szCs w:val="26"/>
        </w:rPr>
        <w:t xml:space="preserve"> Industries and McMaster were held liable for failure to warn. The appellate court affirmed the jury’s verdict, including the award of over USD 12 million. This case underscores the principle that the adequacy of warnings is a critical factor in determining product defect under strict liability.</w:t>
      </w:r>
    </w:p>
    <w:p w14:paraId="0CD773A7" w14:textId="77777777" w:rsidR="005A5BF4"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bookmarkStart w:id="24" w:name="_heading=h.yp6vyos91jxb" w:colFirst="0" w:colLast="0"/>
      <w:bookmarkEnd w:id="24"/>
      <w:r>
        <w:rPr>
          <w:rFonts w:ascii="Times New Roman" w:eastAsia="Times New Roman" w:hAnsi="Times New Roman" w:cs="Times New Roman"/>
          <w:b/>
          <w:bCs/>
          <w:color w:val="000000"/>
          <w:sz w:val="26"/>
          <w:szCs w:val="26"/>
        </w:rPr>
        <w:t>3.4 Defect in packaging</w:t>
      </w:r>
    </w:p>
    <w:p w14:paraId="407C7A07" w14:textId="77777777" w:rsidR="005A5BF4" w:rsidRDefault="00000000">
      <w:p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A product defect in packaging refers to any characteristic of a product's container or wrapping that hinders its usability or makes the product not reasonably </w:t>
      </w:r>
      <w:proofErr w:type="gramStart"/>
      <w:r>
        <w:rPr>
          <w:rFonts w:ascii="Times New Roman" w:eastAsia="Times New Roman" w:hAnsi="Times New Roman" w:cs="Times New Roman"/>
          <w:color w:val="000000"/>
          <w:sz w:val="26"/>
          <w:szCs w:val="26"/>
        </w:rPr>
        <w:t>safe,.</w:t>
      </w:r>
      <w:proofErr w:type="gramEnd"/>
    </w:p>
    <w:p w14:paraId="02622667" w14:textId="77777777" w:rsidR="005A5BF4" w:rsidRDefault="00000000">
      <w:p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Under Strict Liability, manufacturers and sellers in the distribution chain are responsible for injuries caused by such defects, regardless of whether they exercised all possible </w:t>
      </w:r>
      <w:proofErr w:type="gramStart"/>
      <w:r>
        <w:rPr>
          <w:rFonts w:ascii="Times New Roman" w:eastAsia="Times New Roman" w:hAnsi="Times New Roman" w:cs="Times New Roman"/>
          <w:color w:val="000000"/>
          <w:sz w:val="26"/>
          <w:szCs w:val="26"/>
        </w:rPr>
        <w:t>care,,.</w:t>
      </w:r>
      <w:proofErr w:type="gramEnd"/>
    </w:p>
    <w:p w14:paraId="0A67F851" w14:textId="77777777" w:rsidR="005A5BF4" w:rsidRDefault="00000000">
      <w:pPr>
        <w:pBdr>
          <w:top w:val="nil"/>
          <w:left w:val="nil"/>
          <w:bottom w:val="nil"/>
          <w:right w:val="nil"/>
          <w:between w:val="nil"/>
        </w:pBdr>
        <w:spacing w:before="240"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Typical cases involve loose beverage lids, broken seals that allow for contamination, or structural weaknesses in boxes that lead to product damage during handling…</w:t>
      </w:r>
    </w:p>
    <w:p w14:paraId="51ADE610" w14:textId="77777777" w:rsidR="005A5BF4" w:rsidRDefault="005A5BF4">
      <w:pPr>
        <w:spacing w:after="0" w:line="240" w:lineRule="auto"/>
        <w:jc w:val="both"/>
        <w:rPr>
          <w:rFonts w:ascii="Times New Roman" w:eastAsia="Times New Roman" w:hAnsi="Times New Roman" w:cs="Times New Roman"/>
          <w:sz w:val="26"/>
          <w:szCs w:val="26"/>
        </w:rPr>
      </w:pPr>
    </w:p>
    <w:p w14:paraId="175FCBD9" w14:textId="77777777" w:rsidR="005A5BF4" w:rsidRDefault="00000000">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Case Summary: Escola v. Coca-Cola Bottling Co. of Fresno (1944)</w:t>
      </w:r>
      <w:r>
        <w:rPr>
          <w:rFonts w:ascii="Times New Roman" w:eastAsia="Times New Roman" w:hAnsi="Times New Roman" w:cs="Times New Roman"/>
          <w:b/>
          <w:bCs/>
          <w:sz w:val="26"/>
          <w:szCs w:val="26"/>
          <w:vertAlign w:val="superscript"/>
        </w:rPr>
        <w:footnoteReference w:id="10"/>
      </w:r>
    </w:p>
    <w:p w14:paraId="511BF86E" w14:textId="77777777" w:rsidR="005A5BF4" w:rsidRDefault="005A5BF4">
      <w:pPr>
        <w:spacing w:after="0" w:line="240" w:lineRule="auto"/>
        <w:jc w:val="both"/>
        <w:rPr>
          <w:rFonts w:ascii="Times New Roman" w:eastAsia="Times New Roman" w:hAnsi="Times New Roman" w:cs="Times New Roman"/>
          <w:sz w:val="26"/>
          <w:szCs w:val="26"/>
        </w:rPr>
      </w:pPr>
    </w:p>
    <w:p w14:paraId="3916816F" w14:textId="77777777" w:rsidR="005A5BF4"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1941, Gladys Escola, a waitress at a restaurant in Merced, California, was injured when a glass bottle of Coca-Cola exploded in her hand while she was restocking a refrigerator. The explosion resulted in a five-inch deep cut that severed blood vessels, nerves, and muscles in her thumb and palm. The bottles had been delivered by the defendant, Coca-Cola Bottling Co. of Fresno, and had sat undisturbed in the </w:t>
      </w:r>
      <w:proofErr w:type="gramStart"/>
      <w:r>
        <w:rPr>
          <w:rFonts w:ascii="Times New Roman" w:eastAsia="Times New Roman" w:hAnsi="Times New Roman" w:cs="Times New Roman"/>
          <w:sz w:val="26"/>
          <w:szCs w:val="26"/>
        </w:rPr>
        <w:t>restaurant for</w:t>
      </w:r>
      <w:proofErr w:type="gramEnd"/>
      <w:r>
        <w:rPr>
          <w:rFonts w:ascii="Times New Roman" w:eastAsia="Times New Roman" w:hAnsi="Times New Roman" w:cs="Times New Roman"/>
          <w:sz w:val="26"/>
          <w:szCs w:val="26"/>
        </w:rPr>
        <w:t xml:space="preserve"> approximately 36 hours before the incident.</w:t>
      </w:r>
    </w:p>
    <w:p w14:paraId="2F704143" w14:textId="77777777" w:rsidR="005A5BF4" w:rsidRDefault="00000000">
      <w:pPr>
        <w:spacing w:before="280" w:after="280" w:line="240" w:lineRule="auto"/>
        <w:jc w:val="both"/>
        <w:rPr>
          <w:rFonts w:ascii="Times New Roman" w:eastAsia="Times New Roman" w:hAnsi="Times New Roman" w:cs="Times New Roman"/>
          <w:b/>
          <w:bCs/>
          <w:sz w:val="26"/>
          <w:szCs w:val="26"/>
        </w:rPr>
      </w:pPr>
      <w:bookmarkStart w:id="25" w:name="_heading=h.5fn0pxgcyn31" w:colFirst="0" w:colLast="0"/>
      <w:bookmarkEnd w:id="25"/>
      <w:r>
        <w:rPr>
          <w:rFonts w:ascii="Times New Roman" w:eastAsia="Times New Roman" w:hAnsi="Times New Roman" w:cs="Times New Roman"/>
          <w:b/>
          <w:bCs/>
          <w:sz w:val="26"/>
          <w:szCs w:val="26"/>
        </w:rPr>
        <w:lastRenderedPageBreak/>
        <w:t>Issue</w:t>
      </w:r>
    </w:p>
    <w:p w14:paraId="00847B30" w14:textId="77777777" w:rsidR="005A5BF4" w:rsidRDefault="00000000">
      <w:pPr>
        <w:spacing w:before="280" w:after="2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Whether a manufacturer (Coca-Cola Bottling Co.) can be held liable for injuries caused by an exploding bottle when the plaintiff is unable to prove a specific act of negligence during the production process. </w:t>
      </w:r>
    </w:p>
    <w:p w14:paraId="75769DBA" w14:textId="77777777" w:rsidR="005A5BF4" w:rsidRDefault="00000000">
      <w:pPr>
        <w:spacing w:before="280" w:after="2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court had to determine if the evidentiary doctrine of res ipsa loquitur ("the thing speaks for itself") was applicable to infer negligence under these circumstances.</w:t>
      </w:r>
    </w:p>
    <w:p w14:paraId="628DD8BD" w14:textId="77777777" w:rsidR="005A5BF4" w:rsidRDefault="00000000">
      <w:pPr>
        <w:spacing w:before="280" w:after="280" w:line="240" w:lineRule="auto"/>
        <w:jc w:val="both"/>
        <w:rPr>
          <w:rFonts w:ascii="Times New Roman" w:eastAsia="Times New Roman" w:hAnsi="Times New Roman" w:cs="Times New Roman"/>
          <w:b/>
          <w:bCs/>
          <w:sz w:val="26"/>
          <w:szCs w:val="26"/>
        </w:rPr>
      </w:pPr>
      <w:bookmarkStart w:id="26" w:name="_heading=h.xqdqoxdkr8it" w:colFirst="0" w:colLast="0"/>
      <w:bookmarkEnd w:id="26"/>
      <w:r>
        <w:rPr>
          <w:rFonts w:ascii="Times New Roman" w:eastAsia="Times New Roman" w:hAnsi="Times New Roman" w:cs="Times New Roman"/>
          <w:b/>
          <w:bCs/>
          <w:sz w:val="26"/>
          <w:szCs w:val="26"/>
        </w:rPr>
        <w:t>Rule</w:t>
      </w:r>
    </w:p>
    <w:p w14:paraId="76C0ACE3" w14:textId="77777777" w:rsidR="005A5BF4" w:rsidRDefault="00000000">
      <w:pPr>
        <w:numPr>
          <w:ilvl w:val="0"/>
          <w:numId w:val="1"/>
        </w:numPr>
        <w:spacing w:before="28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Res Ipsa Loquitur (Majority): This doctrine applies when (1) the defendant had exclusive control of the object causing injury, and (2) the accident is of a type that ordinarily does not occur in the absence of negligence. It may still apply after the defendant relinquishes control if the plaintiff proves the object was not mishandled or changed by extraneous forces after delivery.</w:t>
      </w:r>
    </w:p>
    <w:p w14:paraId="58B585B0" w14:textId="77777777" w:rsidR="005A5BF4" w:rsidRDefault="00000000">
      <w:pPr>
        <w:numPr>
          <w:ilvl w:val="0"/>
          <w:numId w:val="1"/>
        </w:numPr>
        <w:spacing w:after="2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Strict Liability (Traynor's Concurrence): Justice Roger Traynor proposed a new rule: a manufacturer should incur absolute (strict) liability when an article it places on the market, knowing it will be used without inspection, proves to have a defect that causes injury to a human being.</w:t>
      </w:r>
    </w:p>
    <w:p w14:paraId="46D68947" w14:textId="77777777" w:rsidR="005A5BF4" w:rsidRDefault="00000000">
      <w:pPr>
        <w:spacing w:before="280" w:after="280" w:line="240" w:lineRule="auto"/>
        <w:jc w:val="both"/>
        <w:rPr>
          <w:rFonts w:ascii="Times New Roman" w:eastAsia="Times New Roman" w:hAnsi="Times New Roman" w:cs="Times New Roman"/>
          <w:b/>
          <w:bCs/>
          <w:sz w:val="26"/>
          <w:szCs w:val="26"/>
        </w:rPr>
      </w:pPr>
      <w:bookmarkStart w:id="27" w:name="_heading=h.hzcaoufagy9d" w:colFirst="0" w:colLast="0"/>
      <w:bookmarkEnd w:id="27"/>
      <w:r>
        <w:rPr>
          <w:rFonts w:ascii="Times New Roman" w:eastAsia="Times New Roman" w:hAnsi="Times New Roman" w:cs="Times New Roman"/>
          <w:b/>
          <w:bCs/>
          <w:sz w:val="26"/>
          <w:szCs w:val="26"/>
        </w:rPr>
        <w:t>Analysis</w:t>
      </w:r>
    </w:p>
    <w:p w14:paraId="2F5D488D" w14:textId="77777777" w:rsidR="005A5BF4" w:rsidRDefault="00000000">
      <w:pPr>
        <w:numPr>
          <w:ilvl w:val="0"/>
          <w:numId w:val="4"/>
        </w:numPr>
        <w:spacing w:before="28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Majority Analysis: Chief Justice Gibson reasoned that while the defendant did not control the bottle </w:t>
      </w:r>
      <w:proofErr w:type="gramStart"/>
      <w:r>
        <w:rPr>
          <w:rFonts w:ascii="Times New Roman" w:eastAsia="Times New Roman" w:hAnsi="Times New Roman" w:cs="Times New Roman"/>
          <w:sz w:val="26"/>
          <w:szCs w:val="26"/>
        </w:rPr>
        <w:t>at the moment</w:t>
      </w:r>
      <w:proofErr w:type="gramEnd"/>
      <w:r>
        <w:rPr>
          <w:rFonts w:ascii="Times New Roman" w:eastAsia="Times New Roman" w:hAnsi="Times New Roman" w:cs="Times New Roman"/>
          <w:sz w:val="26"/>
          <w:szCs w:val="26"/>
        </w:rPr>
        <w:t xml:space="preserve"> of the explosion, they had control at the time the alleged negligent act (filling and pressure-testing) took place. Since sound bottles of carbonated liquids do not ordinarily explode when handled carefully, and evidence suggested the bottle was not damaged after delivery, the jury was entitled to infer that the defendant was negligent in either the pressure-charging or the inspection process.</w:t>
      </w:r>
    </w:p>
    <w:p w14:paraId="28B5284F" w14:textId="77777777" w:rsidR="005A5BF4" w:rsidRDefault="00000000">
      <w:pPr>
        <w:numPr>
          <w:ilvl w:val="0"/>
          <w:numId w:val="4"/>
        </w:numPr>
        <w:spacing w:after="28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Traynor’s Concurrence Analysis: Traynor argued that relying on negligence was "needlessly circuitous". He asserted that public policy demands responsibility be fixed on the manufacturer because they are in the best position to anticipate hazards and guard against them. Furthermore, the cost of injury is an "overwhelming misfortune" for an individual, whereas the manufacturer can distribute this cost among the public as a cost of doing business. In a modern economy of mass production, consumers are no longer equipped to inspect products and must rely on the manufacturer's reputation.</w:t>
      </w:r>
    </w:p>
    <w:p w14:paraId="48D8256E" w14:textId="77777777" w:rsidR="005A5BF4" w:rsidRDefault="00000000">
      <w:pPr>
        <w:spacing w:before="280" w:after="280" w:line="240" w:lineRule="auto"/>
        <w:jc w:val="both"/>
        <w:rPr>
          <w:rFonts w:ascii="Times New Roman" w:eastAsia="Times New Roman" w:hAnsi="Times New Roman" w:cs="Times New Roman"/>
          <w:b/>
          <w:bCs/>
          <w:sz w:val="26"/>
          <w:szCs w:val="26"/>
        </w:rPr>
      </w:pPr>
      <w:bookmarkStart w:id="28" w:name="_heading=h.vgstk3kem6ti" w:colFirst="0" w:colLast="0"/>
      <w:bookmarkEnd w:id="28"/>
      <w:r>
        <w:rPr>
          <w:rFonts w:ascii="Times New Roman" w:eastAsia="Times New Roman" w:hAnsi="Times New Roman" w:cs="Times New Roman"/>
          <w:b/>
          <w:bCs/>
          <w:sz w:val="26"/>
          <w:szCs w:val="26"/>
        </w:rPr>
        <w:t>Conclusion</w:t>
      </w:r>
    </w:p>
    <w:p w14:paraId="2720D8C9" w14:textId="77777777" w:rsidR="005A5BF4" w:rsidRDefault="00000000">
      <w:pPr>
        <w:spacing w:before="280" w:after="280" w:line="240" w:lineRule="auto"/>
        <w:jc w:val="both"/>
        <w:rPr>
          <w:rFonts w:ascii="Times New Roman" w:eastAsia="Times New Roman" w:hAnsi="Times New Roman" w:cs="Times New Roman"/>
          <w:sz w:val="26"/>
          <w:szCs w:val="26"/>
        </w:rPr>
        <w:sectPr w:rsidR="005A5BF4">
          <w:pgSz w:w="11906" w:h="16838"/>
          <w:pgMar w:top="1440" w:right="1440" w:bottom="1440" w:left="1440" w:header="720" w:footer="720" w:gutter="0"/>
          <w:cols w:space="720"/>
        </w:sectPr>
      </w:pPr>
      <w:r>
        <w:rPr>
          <w:rFonts w:ascii="Times New Roman" w:eastAsia="Times New Roman" w:hAnsi="Times New Roman" w:cs="Times New Roman"/>
          <w:sz w:val="26"/>
          <w:szCs w:val="26"/>
        </w:rPr>
        <w:t xml:space="preserve">The Supreme Court of California affirmed the judgment for the plaintiff, upholding the jury's verdict based on the doctrine of </w:t>
      </w:r>
      <w:r>
        <w:rPr>
          <w:rFonts w:ascii="Times New Roman" w:eastAsia="Times New Roman" w:hAnsi="Times New Roman" w:cs="Times New Roman"/>
          <w:i/>
          <w:iCs/>
          <w:sz w:val="26"/>
          <w:szCs w:val="26"/>
        </w:rPr>
        <w:t>res ipsa loquitur</w:t>
      </w:r>
      <w:r>
        <w:rPr>
          <w:rFonts w:ascii="Times New Roman" w:eastAsia="Times New Roman" w:hAnsi="Times New Roman" w:cs="Times New Roman"/>
          <w:sz w:val="26"/>
          <w:szCs w:val="26"/>
        </w:rPr>
        <w:t xml:space="preserve">. Although the majority stuck to negligence theory, this case became a legal landmark because Traynor's concurring opinion provided the intellectual framework for the eventual birth of strict products liability in the United States, officially adopted years later in </w:t>
      </w:r>
      <w:r>
        <w:rPr>
          <w:rFonts w:ascii="Times New Roman" w:eastAsia="Times New Roman" w:hAnsi="Times New Roman" w:cs="Times New Roman"/>
          <w:i/>
          <w:iCs/>
          <w:sz w:val="26"/>
          <w:szCs w:val="26"/>
        </w:rPr>
        <w:t>Greenman v. Yuba Power Products</w:t>
      </w:r>
      <w:r>
        <w:rPr>
          <w:rFonts w:ascii="Times New Roman" w:eastAsia="Times New Roman" w:hAnsi="Times New Roman" w:cs="Times New Roman"/>
          <w:sz w:val="26"/>
          <w:szCs w:val="26"/>
        </w:rPr>
        <w:t>.</w:t>
      </w:r>
    </w:p>
    <w:p w14:paraId="3229591C" w14:textId="77777777" w:rsidR="005A5BF4" w:rsidRDefault="00000000">
      <w:pPr>
        <w:pStyle w:val="Heading1"/>
        <w:rPr>
          <w:rFonts w:ascii="Times New Roman" w:eastAsia="Times New Roman" w:hAnsi="Times New Roman" w:cs="Times New Roman"/>
          <w:b w:val="0"/>
          <w:bCs w:val="0"/>
          <w:color w:val="000000"/>
          <w:sz w:val="26"/>
          <w:szCs w:val="26"/>
        </w:rPr>
      </w:pPr>
      <w:bookmarkStart w:id="29" w:name="_heading=h.t80899y0iutu" w:colFirst="0" w:colLast="0"/>
      <w:bookmarkEnd w:id="29"/>
      <w:r>
        <w:rPr>
          <w:rFonts w:ascii="Times New Roman" w:eastAsia="Times New Roman" w:hAnsi="Times New Roman" w:cs="Times New Roman"/>
          <w:color w:val="000000"/>
          <w:sz w:val="26"/>
          <w:szCs w:val="26"/>
        </w:rPr>
        <w:lastRenderedPageBreak/>
        <w:t>4. The Vietnamese product liability regime under consumer protection laws. </w:t>
      </w:r>
    </w:p>
    <w:p w14:paraId="774C4296" w14:textId="77777777" w:rsidR="005A5BF4" w:rsidRDefault="00000000">
      <w:pPr>
        <w:spacing w:before="240" w:after="240" w:line="240" w:lineRule="auto"/>
        <w:ind w:left="1134" w:hanging="567"/>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Under Clause 4 Article 3 of the Law on Protection of Consumer Rights 2023, </w:t>
      </w:r>
    </w:p>
    <w:p w14:paraId="43A37645" w14:textId="77777777" w:rsidR="005A5BF4" w:rsidRDefault="00000000">
      <w:pPr>
        <w:spacing w:before="240" w:after="240" w:line="240" w:lineRule="auto"/>
        <w:ind w:left="1134" w:hanging="567"/>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w:t>
      </w:r>
      <w:r>
        <w:rPr>
          <w:rFonts w:ascii="Times New Roman" w:eastAsia="Times New Roman" w:hAnsi="Times New Roman" w:cs="Times New Roman"/>
          <w:i/>
          <w:iCs/>
          <w:color w:val="000000"/>
          <w:sz w:val="26"/>
          <w:szCs w:val="26"/>
          <w:highlight w:val="white"/>
        </w:rPr>
        <w:t>“defective product or good” </w:t>
      </w:r>
      <w:r>
        <w:rPr>
          <w:rFonts w:ascii="Times New Roman" w:eastAsia="Times New Roman" w:hAnsi="Times New Roman" w:cs="Times New Roman"/>
          <w:color w:val="000000"/>
          <w:sz w:val="26"/>
          <w:szCs w:val="26"/>
          <w:highlight w:val="white"/>
        </w:rPr>
        <w:t>means a product or good which fails to ensure safety of consumers and which is likely cause damage to their lives, health or property but for which the defect was yet to be found at the time such product or good was supplied to consumers despite the fact that such product or good was manufactured in accordance with the standard or technical regulation in force. Defective products or goods include:</w:t>
      </w:r>
    </w:p>
    <w:p w14:paraId="70FCFF9E" w14:textId="77777777" w:rsidR="005A5BF4" w:rsidRDefault="00000000">
      <w:pPr>
        <w:spacing w:before="240" w:after="240" w:line="240" w:lineRule="auto"/>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Mass-produced products or goods containing a defect originated from a technical </w:t>
      </w:r>
      <w:proofErr w:type="gramStart"/>
      <w:r>
        <w:rPr>
          <w:rFonts w:ascii="Times New Roman" w:eastAsia="Times New Roman" w:hAnsi="Times New Roman" w:cs="Times New Roman"/>
          <w:sz w:val="26"/>
          <w:szCs w:val="26"/>
        </w:rPr>
        <w:t>design;</w:t>
      </w:r>
      <w:proofErr w:type="gramEnd"/>
    </w:p>
    <w:p w14:paraId="34E74656" w14:textId="77777777" w:rsidR="005A5BF4" w:rsidRDefault="00000000">
      <w:pPr>
        <w:spacing w:before="240" w:after="240" w:line="240" w:lineRule="auto"/>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 Singly produced products or goods containing a defect </w:t>
      </w:r>
      <w:proofErr w:type="gramStart"/>
      <w:r>
        <w:rPr>
          <w:rFonts w:ascii="Times New Roman" w:eastAsia="Times New Roman" w:hAnsi="Times New Roman" w:cs="Times New Roman"/>
          <w:sz w:val="26"/>
          <w:szCs w:val="26"/>
        </w:rPr>
        <w:t>originated</w:t>
      </w:r>
      <w:proofErr w:type="gramEnd"/>
      <w:r>
        <w:rPr>
          <w:rFonts w:ascii="Times New Roman" w:eastAsia="Times New Roman" w:hAnsi="Times New Roman" w:cs="Times New Roman"/>
          <w:sz w:val="26"/>
          <w:szCs w:val="26"/>
        </w:rPr>
        <w:t xml:space="preserve"> from the process of their manufacturing, processing, transport, storage and </w:t>
      </w:r>
      <w:proofErr w:type="gramStart"/>
      <w:r>
        <w:rPr>
          <w:rFonts w:ascii="Times New Roman" w:eastAsia="Times New Roman" w:hAnsi="Times New Roman" w:cs="Times New Roman"/>
          <w:sz w:val="26"/>
          <w:szCs w:val="26"/>
        </w:rPr>
        <w:t>use;</w:t>
      </w:r>
      <w:proofErr w:type="gramEnd"/>
    </w:p>
    <w:p w14:paraId="2782277D" w14:textId="77777777" w:rsidR="005A5BF4" w:rsidRDefault="00000000">
      <w:pPr>
        <w:spacing w:before="240" w:after="240" w:line="240" w:lineRule="auto"/>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Products and goods which have the potential to threaten safety during their use but fail to have no adequate instructions or warnings for consumers.</w:t>
      </w:r>
      <w:r>
        <w:rPr>
          <w:rFonts w:ascii="Times New Roman" w:eastAsia="Times New Roman" w:hAnsi="Times New Roman" w:cs="Times New Roman"/>
          <w:sz w:val="26"/>
          <w:szCs w:val="26"/>
          <w:vertAlign w:val="superscript"/>
        </w:rPr>
        <w:footnoteReference w:id="11"/>
      </w:r>
    </w:p>
    <w:p w14:paraId="47319C82" w14:textId="77777777" w:rsidR="005A5BF4" w:rsidRDefault="00000000">
      <w:pPr>
        <w:spacing w:before="240" w:after="240" w:line="240" w:lineRule="auto"/>
        <w:ind w:left="1134" w:hanging="567"/>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sz w:val="26"/>
          <w:szCs w:val="26"/>
        </w:rPr>
        <w:t xml:space="preserve">Under Article 32 </w:t>
      </w:r>
      <w:r>
        <w:rPr>
          <w:rFonts w:ascii="Times New Roman" w:eastAsia="Times New Roman" w:hAnsi="Times New Roman" w:cs="Times New Roman"/>
          <w:color w:val="000000"/>
          <w:sz w:val="26"/>
          <w:szCs w:val="26"/>
          <w:highlight w:val="white"/>
        </w:rPr>
        <w:t xml:space="preserve">of the Law on Protection of Consumer Rights 2023 </w:t>
      </w:r>
    </w:p>
    <w:p w14:paraId="554E069C" w14:textId="77777777" w:rsidR="005A5BF4" w:rsidRDefault="00000000">
      <w:pPr>
        <w:spacing w:before="240" w:after="240" w:line="240" w:lineRule="auto"/>
        <w:ind w:left="1134" w:hanging="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highlight w:val="white"/>
        </w:rPr>
        <w:t xml:space="preserve">Article 32: </w:t>
      </w:r>
      <w:r>
        <w:rPr>
          <w:rFonts w:ascii="Times New Roman" w:eastAsia="Times New Roman" w:hAnsi="Times New Roman" w:cs="Times New Roman"/>
          <w:sz w:val="26"/>
          <w:szCs w:val="26"/>
        </w:rPr>
        <w:t>Liability for defective products and goods</w:t>
      </w:r>
    </w:p>
    <w:p w14:paraId="2D607147" w14:textId="77777777" w:rsidR="005A5BF4" w:rsidRDefault="00000000">
      <w:pPr>
        <w:spacing w:before="240" w:after="240" w:line="240" w:lineRule="auto"/>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When a trader discovers that their products or goods are defective, they have the responsibility to:</w:t>
      </w:r>
    </w:p>
    <w:p w14:paraId="67E68C21" w14:textId="77777777" w:rsidR="005A5BF4" w:rsidRDefault="005A5BF4">
      <w:pPr>
        <w:spacing w:before="240" w:after="240" w:line="240" w:lineRule="auto"/>
        <w:jc w:val="both"/>
        <w:rPr>
          <w:rFonts w:ascii="Times New Roman" w:eastAsia="Times New Roman" w:hAnsi="Times New Roman" w:cs="Times New Roman"/>
          <w:sz w:val="26"/>
          <w:szCs w:val="26"/>
        </w:rPr>
      </w:pPr>
    </w:p>
    <w:p w14:paraId="129AB7F1" w14:textId="77777777" w:rsidR="005A5BF4" w:rsidRDefault="00000000">
      <w:pPr>
        <w:spacing w:before="240" w:after="240" w:line="240" w:lineRule="auto"/>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 Take necessary measures to protect consumer rights during the recall and handling of defective products or </w:t>
      </w:r>
      <w:proofErr w:type="gramStart"/>
      <w:r>
        <w:rPr>
          <w:rFonts w:ascii="Times New Roman" w:eastAsia="Times New Roman" w:hAnsi="Times New Roman" w:cs="Times New Roman"/>
          <w:sz w:val="26"/>
          <w:szCs w:val="26"/>
        </w:rPr>
        <w:t>goods;</w:t>
      </w:r>
      <w:proofErr w:type="gramEnd"/>
    </w:p>
    <w:p w14:paraId="548F45E2" w14:textId="77777777" w:rsidR="005A5BF4" w:rsidRDefault="00000000">
      <w:pPr>
        <w:spacing w:before="240" w:after="240" w:line="240" w:lineRule="auto"/>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Submit reports to the consumer right protection authority and relevant regulatory body, both before and after the recall; carry out the recall according to the submitted reports and bear the costs incurred during the recall.</w:t>
      </w:r>
    </w:p>
    <w:p w14:paraId="1778C4D3" w14:textId="77777777" w:rsidR="005A5BF4" w:rsidRDefault="00000000">
      <w:pPr>
        <w:spacing w:before="240" w:after="240" w:line="240" w:lineRule="auto"/>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The consumer right protection authority of the province and specialized authority of the province where the recall of products or goods is carried out shall conduct inspection and supervision to make sure that the recall is carried out according to the reports, protecting consumers’ legitimate rights and interests and conforming to regulations of law.</w:t>
      </w:r>
    </w:p>
    <w:p w14:paraId="0F237E57" w14:textId="77777777" w:rsidR="005A5BF4" w:rsidRDefault="005A5BF4">
      <w:pPr>
        <w:spacing w:before="240" w:after="240" w:line="240" w:lineRule="auto"/>
        <w:ind w:left="1134"/>
        <w:jc w:val="both"/>
        <w:rPr>
          <w:rFonts w:ascii="Times New Roman" w:eastAsia="Times New Roman" w:hAnsi="Times New Roman" w:cs="Times New Roman"/>
          <w:sz w:val="26"/>
          <w:szCs w:val="26"/>
        </w:rPr>
      </w:pPr>
    </w:p>
    <w:p w14:paraId="5FB27F1C" w14:textId="77777777" w:rsidR="005A5BF4" w:rsidRDefault="00000000">
      <w:pPr>
        <w:spacing w:before="240" w:after="240" w:line="240" w:lineRule="auto"/>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If the recall is carried out within at least 02 provinces or central-affiliated cities, the central consumer right protection authority and relevant central regulatory body shall inspect and supervise it.</w:t>
      </w:r>
    </w:p>
    <w:p w14:paraId="5DC33527" w14:textId="77777777" w:rsidR="005A5BF4" w:rsidRDefault="00000000">
      <w:pPr>
        <w:pStyle w:val="Heading2"/>
        <w:rPr>
          <w:rFonts w:ascii="Times New Roman" w:eastAsia="Times New Roman" w:hAnsi="Times New Roman" w:cs="Times New Roman"/>
        </w:rPr>
      </w:pPr>
      <w:bookmarkStart w:id="30" w:name="_heading=h.i5ti1jud1r0m" w:colFirst="0" w:colLast="0"/>
      <w:bookmarkEnd w:id="30"/>
      <w:r>
        <w:rPr>
          <w:rFonts w:ascii="Times New Roman" w:eastAsia="Times New Roman" w:hAnsi="Times New Roman" w:cs="Times New Roman"/>
          <w:color w:val="000000"/>
        </w:rPr>
        <w:t>4.1. Fundamental Similarities in Principles</w:t>
      </w:r>
    </w:p>
    <w:p w14:paraId="24DB0D29"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Application of Strict Liability: Both legal systems recognize that compensation for damages arising from defective goods constitutes a special category of legal liability.</w:t>
      </w:r>
    </w:p>
    <w:p w14:paraId="02949845"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Consumer Protection Philosophy: Following a philosophy </w:t>
      </w:r>
      <w:proofErr w:type="gramStart"/>
      <w:r>
        <w:rPr>
          <w:rFonts w:ascii="Times New Roman" w:eastAsia="Times New Roman" w:hAnsi="Times New Roman" w:cs="Times New Roman"/>
          <w:color w:val="000000"/>
          <w:sz w:val="26"/>
          <w:szCs w:val="26"/>
        </w:rPr>
        <w:t>similar to</w:t>
      </w:r>
      <w:proofErr w:type="gramEnd"/>
      <w:r>
        <w:rPr>
          <w:rFonts w:ascii="Times New Roman" w:eastAsia="Times New Roman" w:hAnsi="Times New Roman" w:cs="Times New Roman"/>
          <w:color w:val="000000"/>
          <w:sz w:val="26"/>
          <w:szCs w:val="26"/>
        </w:rPr>
        <w:t xml:space="preserve"> that of the United States, Vietnam’s Law on Consumer Protection 2023 (Chapter II) imposes specific duties to safeguard the end-user.</w:t>
      </w:r>
    </w:p>
    <w:p w14:paraId="19A22F4A"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Liable Parties: Both systems seek to hold various entities throughout the supply chain accountable for product safety.</w:t>
      </w:r>
    </w:p>
    <w:p w14:paraId="7DFCE167" w14:textId="77777777" w:rsidR="005A5BF4" w:rsidRDefault="00000000">
      <w:pPr>
        <w:pStyle w:val="Heading2"/>
        <w:rPr>
          <w:rFonts w:ascii="Times New Roman" w:eastAsia="Times New Roman" w:hAnsi="Times New Roman" w:cs="Times New Roman"/>
        </w:rPr>
      </w:pPr>
      <w:bookmarkStart w:id="31" w:name="_heading=h.jtksp21p2uza" w:colFirst="0" w:colLast="0"/>
      <w:bookmarkEnd w:id="31"/>
      <w:r>
        <w:rPr>
          <w:rFonts w:ascii="Times New Roman" w:eastAsia="Times New Roman" w:hAnsi="Times New Roman" w:cs="Times New Roman"/>
          <w:color w:val="000000"/>
        </w:rPr>
        <w:t>4.2. United States and Vietnam compared</w:t>
      </w:r>
    </w:p>
    <w:tbl>
      <w:tblPr>
        <w:tblStyle w:val="a1"/>
        <w:tblW w:w="9226" w:type="dxa"/>
        <w:tblInd w:w="-100" w:type="dxa"/>
        <w:tblLayout w:type="fixed"/>
        <w:tblLook w:val="0400" w:firstRow="0" w:lastRow="0" w:firstColumn="0" w:lastColumn="0" w:noHBand="0" w:noVBand="1"/>
      </w:tblPr>
      <w:tblGrid>
        <w:gridCol w:w="1820"/>
        <w:gridCol w:w="2998"/>
        <w:gridCol w:w="4408"/>
      </w:tblGrid>
      <w:tr w:rsidR="005A5BF4" w14:paraId="7B0D10DF" w14:textId="77777777">
        <w:trPr>
          <w:trHeight w:val="555"/>
        </w:trPr>
        <w:tc>
          <w:tcPr>
            <w:tcW w:w="1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60341C"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Feature</w:t>
            </w:r>
          </w:p>
        </w:tc>
        <w:tc>
          <w:tcPr>
            <w:tcW w:w="29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BC1494"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United States (U.S. Law)</w:t>
            </w:r>
          </w:p>
        </w:tc>
        <w:tc>
          <w:tcPr>
            <w:tcW w:w="44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6E35A7"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Vietnam (Consumer Protection Regime)</w:t>
            </w:r>
          </w:p>
        </w:tc>
      </w:tr>
      <w:tr w:rsidR="005A5BF4" w14:paraId="404D33EA" w14:textId="77777777">
        <w:trPr>
          <w:trHeight w:val="1365"/>
        </w:trPr>
        <w:tc>
          <w:tcPr>
            <w:tcW w:w="1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4D269C"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Primary Legal Theory</w:t>
            </w:r>
          </w:p>
        </w:tc>
        <w:tc>
          <w:tcPr>
            <w:tcW w:w="29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CF0238" w14:textId="77777777" w:rsidR="005A5BF4" w:rsidRDefault="00000000">
            <w:pPr>
              <w:spacing w:before="240" w:after="0" w:line="24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Strict Liability (no need to prove negligence), Negligence (e.g., Operational Negligence), and Breach of Warranty.</w:t>
            </w:r>
          </w:p>
        </w:tc>
        <w:tc>
          <w:tcPr>
            <w:tcW w:w="44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94E620"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Strict Liability relating to products (Article 608 Civil Code 2015) and specialized Consumer Protection legislation.</w:t>
            </w:r>
          </w:p>
        </w:tc>
      </w:tr>
      <w:tr w:rsidR="005A5BF4" w14:paraId="29381FF0" w14:textId="77777777">
        <w:trPr>
          <w:trHeight w:val="1365"/>
        </w:trPr>
        <w:tc>
          <w:tcPr>
            <w:tcW w:w="1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CD6D20"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Governing Laws</w:t>
            </w:r>
          </w:p>
        </w:tc>
        <w:tc>
          <w:tcPr>
            <w:tcW w:w="29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E04BA7" w14:textId="77777777" w:rsidR="005A5BF4" w:rsidRDefault="00000000">
            <w:pPr>
              <w:spacing w:before="240" w:after="0" w:line="24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Restatement (Second/Third) of Torts; state-specific statutes; Uniform Commercial Code (UCC).</w:t>
            </w:r>
          </w:p>
        </w:tc>
        <w:tc>
          <w:tcPr>
            <w:tcW w:w="44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C31636"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Civil Code (Articles 587, 597, 601, 608) and Law on Protection of Consumer Rights 2023. </w:t>
            </w:r>
          </w:p>
        </w:tc>
      </w:tr>
      <w:tr w:rsidR="005A5BF4" w14:paraId="44A12BDD" w14:textId="77777777">
        <w:trPr>
          <w:trHeight w:val="6075"/>
        </w:trPr>
        <w:tc>
          <w:tcPr>
            <w:tcW w:w="1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2DF9A6"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Types of Defects Recognized</w:t>
            </w:r>
          </w:p>
        </w:tc>
        <w:tc>
          <w:tcPr>
            <w:tcW w:w="29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CF4FBD"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Manufacturing defects, Design defects, and Failure to warn</w:t>
            </w:r>
          </w:p>
        </w:tc>
        <w:tc>
          <w:tcPr>
            <w:tcW w:w="44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32D7DB"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Manufacturing, Design, Packaging, and Failure to warn (Section 4 Article 3)</w:t>
            </w:r>
            <w:r>
              <w:rPr>
                <w:rFonts w:ascii="Times New Roman" w:eastAsia="Times New Roman" w:hAnsi="Times New Roman" w:cs="Times New Roman"/>
                <w:sz w:val="26"/>
                <w:szCs w:val="26"/>
              </w:rPr>
              <w:t xml:space="preserve"> </w:t>
            </w:r>
          </w:p>
          <w:p w14:paraId="308FD05D" w14:textId="77777777" w:rsidR="005A5BF4" w:rsidRDefault="00000000">
            <w:pPr>
              <w:spacing w:before="240"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Section 1 Article 33 of the Law on Protection of Consumer Rights</w:t>
            </w:r>
          </w:p>
          <w:p w14:paraId="18395787" w14:textId="77777777" w:rsidR="005A5BF4" w:rsidRDefault="00000000">
            <w:pPr>
              <w:spacing w:before="240"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t xml:space="preserve"> </w:t>
            </w:r>
            <w:r>
              <w:rPr>
                <w:rFonts w:ascii="Times New Roman" w:eastAsia="Times New Roman" w:hAnsi="Times New Roman" w:cs="Times New Roman"/>
                <w:color w:val="000000"/>
                <w:sz w:val="26"/>
                <w:szCs w:val="26"/>
              </w:rPr>
              <w:t>1. Defective products and goods consist of:</w:t>
            </w:r>
          </w:p>
          <w:p w14:paraId="6ADFA46A" w14:textId="77777777" w:rsidR="005A5BF4" w:rsidRDefault="00000000">
            <w:pPr>
              <w:spacing w:before="240"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 Defective products and goods of Group A causing damage to the life and health of </w:t>
            </w:r>
            <w:proofErr w:type="gramStart"/>
            <w:r>
              <w:rPr>
                <w:rFonts w:ascii="Times New Roman" w:eastAsia="Times New Roman" w:hAnsi="Times New Roman" w:cs="Times New Roman"/>
                <w:color w:val="000000"/>
                <w:sz w:val="26"/>
                <w:szCs w:val="26"/>
              </w:rPr>
              <w:t>consumers;</w:t>
            </w:r>
            <w:proofErr w:type="gramEnd"/>
          </w:p>
          <w:p w14:paraId="20B37690" w14:textId="77777777" w:rsidR="005A5BF4" w:rsidRDefault="00000000">
            <w:pPr>
              <w:spacing w:before="240"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 Defective products and goods of Group B causing damage to property of </w:t>
            </w:r>
            <w:proofErr w:type="gramStart"/>
            <w:r>
              <w:rPr>
                <w:rFonts w:ascii="Times New Roman" w:eastAsia="Times New Roman" w:hAnsi="Times New Roman" w:cs="Times New Roman"/>
                <w:color w:val="000000"/>
                <w:sz w:val="26"/>
                <w:szCs w:val="26"/>
              </w:rPr>
              <w:t>consumers;</w:t>
            </w:r>
            <w:proofErr w:type="gramEnd"/>
          </w:p>
          <w:p w14:paraId="1FD83620"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 </w:t>
            </w:r>
            <w:proofErr w:type="spellStart"/>
            <w:r>
              <w:rPr>
                <w:rFonts w:ascii="Times New Roman" w:eastAsia="Times New Roman" w:hAnsi="Times New Roman" w:cs="Times New Roman"/>
                <w:color w:val="000000"/>
                <w:sz w:val="26"/>
                <w:szCs w:val="26"/>
              </w:rPr>
              <w:t>Sản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phẩm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hàng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hóa</w:t>
            </w:r>
            <w:proofErr w:type="spellEnd"/>
            <w:r>
              <w:rPr>
                <w:rFonts w:ascii="Times New Roman" w:eastAsia="Times New Roman" w:hAnsi="Times New Roman" w:cs="Times New Roman"/>
                <w:color w:val="000000"/>
                <w:sz w:val="26"/>
                <w:szCs w:val="26"/>
              </w:rPr>
              <w:t xml:space="preserve"> có </w:t>
            </w:r>
            <w:proofErr w:type="spellStart"/>
            <w:r>
              <w:rPr>
                <w:rFonts w:ascii="Times New Roman" w:eastAsia="Times New Roman" w:hAnsi="Times New Roman" w:cs="Times New Roman"/>
                <w:color w:val="000000"/>
                <w:sz w:val="26"/>
                <w:szCs w:val="26"/>
              </w:rPr>
              <w:t>khuyết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tật</w:t>
            </w:r>
            <w:proofErr w:type="spellEnd"/>
            <w:r>
              <w:rPr>
                <w:rFonts w:ascii="Times New Roman" w:eastAsia="Times New Roman" w:hAnsi="Times New Roman" w:cs="Times New Roman"/>
                <w:color w:val="000000"/>
                <w:sz w:val="26"/>
                <w:szCs w:val="26"/>
              </w:rPr>
              <w:t xml:space="preserve"> có </w:t>
            </w:r>
            <w:proofErr w:type="spellStart"/>
            <w:r>
              <w:rPr>
                <w:rFonts w:ascii="Times New Roman" w:eastAsia="Times New Roman" w:hAnsi="Times New Roman" w:cs="Times New Roman"/>
                <w:color w:val="000000"/>
                <w:sz w:val="26"/>
                <w:szCs w:val="26"/>
              </w:rPr>
              <w:t>khả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gây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thiệt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tính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khỏe</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tài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tiêu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thì</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áp</w:t>
            </w:r>
            <w:proofErr w:type="spellEnd"/>
            <w:r>
              <w:rPr>
                <w:rFonts w:ascii="Times New Roman" w:eastAsia="Times New Roman" w:hAnsi="Times New Roman" w:cs="Times New Roman"/>
                <w:color w:val="000000"/>
                <w:sz w:val="26"/>
                <w:szCs w:val="26"/>
              </w:rPr>
              <w:t xml:space="preserve"> dụng các </w:t>
            </w:r>
            <w:proofErr w:type="spellStart"/>
            <w:r>
              <w:rPr>
                <w:rFonts w:ascii="Times New Roman" w:eastAsia="Times New Roman" w:hAnsi="Times New Roman" w:cs="Times New Roman"/>
                <w:color w:val="000000"/>
                <w:sz w:val="26"/>
                <w:szCs w:val="26"/>
              </w:rPr>
              <w:t>quy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phẩm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hàng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hóa</w:t>
            </w:r>
            <w:proofErr w:type="spellEnd"/>
            <w:r>
              <w:rPr>
                <w:rFonts w:ascii="Times New Roman" w:eastAsia="Times New Roman" w:hAnsi="Times New Roman" w:cs="Times New Roman"/>
                <w:color w:val="000000"/>
                <w:sz w:val="26"/>
                <w:szCs w:val="26"/>
              </w:rPr>
              <w:t xml:space="preserve"> có </w:t>
            </w:r>
            <w:proofErr w:type="spellStart"/>
            <w:r>
              <w:rPr>
                <w:rFonts w:ascii="Times New Roman" w:eastAsia="Times New Roman" w:hAnsi="Times New Roman" w:cs="Times New Roman"/>
                <w:color w:val="000000"/>
                <w:sz w:val="26"/>
                <w:szCs w:val="26"/>
              </w:rPr>
              <w:t>khuyết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A.”</w:t>
            </w:r>
            <w:r>
              <w:rPr>
                <w:rFonts w:ascii="Times New Roman" w:eastAsia="Times New Roman" w:hAnsi="Times New Roman" w:cs="Times New Roman"/>
                <w:sz w:val="26"/>
                <w:szCs w:val="26"/>
                <w:vertAlign w:val="superscript"/>
              </w:rPr>
              <w:footnoteReference w:id="12"/>
            </w:r>
          </w:p>
        </w:tc>
      </w:tr>
      <w:tr w:rsidR="005A5BF4" w14:paraId="349E025C" w14:textId="77777777">
        <w:trPr>
          <w:trHeight w:val="1095"/>
        </w:trPr>
        <w:tc>
          <w:tcPr>
            <w:tcW w:w="1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1C86A3"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Liable Parties (Defendants)</w:t>
            </w:r>
          </w:p>
        </w:tc>
        <w:tc>
          <w:tcPr>
            <w:tcW w:w="29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6614C0"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Anyone in the "stream of commerce" (Manufacturers, Wholesalers, Retailers).</w:t>
            </w:r>
          </w:p>
        </w:tc>
        <w:tc>
          <w:tcPr>
            <w:tcW w:w="44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36D534"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Manufacturers, Distributors, Sellers, and those providing components or spare parts </w:t>
            </w:r>
            <w:proofErr w:type="gramStart"/>
            <w:r>
              <w:rPr>
                <w:rFonts w:ascii="Times New Roman" w:eastAsia="Times New Roman" w:hAnsi="Times New Roman" w:cs="Times New Roman"/>
                <w:color w:val="000000"/>
                <w:sz w:val="26"/>
                <w:szCs w:val="26"/>
              </w:rPr>
              <w:t>( Clause</w:t>
            </w:r>
            <w:proofErr w:type="gramEnd"/>
            <w:r>
              <w:rPr>
                <w:rFonts w:ascii="Times New Roman" w:eastAsia="Times New Roman" w:hAnsi="Times New Roman" w:cs="Times New Roman"/>
                <w:color w:val="000000"/>
                <w:sz w:val="26"/>
                <w:szCs w:val="26"/>
              </w:rPr>
              <w:t xml:space="preserve"> 2 Article 34)</w:t>
            </w:r>
          </w:p>
        </w:tc>
      </w:tr>
      <w:tr w:rsidR="005A5BF4" w14:paraId="1C3F5DC3" w14:textId="77777777">
        <w:trPr>
          <w:trHeight w:val="825"/>
        </w:trPr>
        <w:tc>
          <w:tcPr>
            <w:tcW w:w="1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CD4E6D"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Obligations of Businesses</w:t>
            </w:r>
          </w:p>
        </w:tc>
        <w:tc>
          <w:tcPr>
            <w:tcW w:w="29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467E9E"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Duty of care; duty to warn; duty to test or inspect.</w:t>
            </w:r>
          </w:p>
        </w:tc>
        <w:tc>
          <w:tcPr>
            <w:tcW w:w="440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745721" w14:textId="77777777" w:rsidR="005A5BF4" w:rsidRDefault="00000000">
            <w:pPr>
              <w:spacing w:before="240"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Provide information/warranty (Articles 14-31), Obligation to recall (Article 33), and Obligation to pay compensation.</w:t>
            </w:r>
          </w:p>
        </w:tc>
      </w:tr>
    </w:tbl>
    <w:p w14:paraId="45FCD456" w14:textId="77777777" w:rsidR="005A5BF4" w:rsidRDefault="005A5BF4">
      <w:pPr>
        <w:pBdr>
          <w:top w:val="nil"/>
          <w:left w:val="nil"/>
          <w:bottom w:val="nil"/>
          <w:right w:val="nil"/>
          <w:between w:val="nil"/>
        </w:pBdr>
        <w:spacing w:line="240" w:lineRule="auto"/>
        <w:jc w:val="both"/>
        <w:rPr>
          <w:rFonts w:ascii="Times New Roman" w:eastAsia="Times New Roman" w:hAnsi="Times New Roman" w:cs="Times New Roman"/>
          <w:b/>
          <w:bCs/>
          <w:color w:val="000000"/>
          <w:sz w:val="26"/>
          <w:szCs w:val="26"/>
        </w:rPr>
        <w:sectPr w:rsidR="005A5BF4">
          <w:pgSz w:w="11906" w:h="16838"/>
          <w:pgMar w:top="1440" w:right="1440" w:bottom="1440" w:left="1440" w:header="720" w:footer="720" w:gutter="0"/>
          <w:cols w:space="720"/>
        </w:sectPr>
      </w:pPr>
    </w:p>
    <w:p w14:paraId="0F6AC08F" w14:textId="77777777" w:rsidR="005A5BF4" w:rsidRDefault="00000000">
      <w:pPr>
        <w:pBdr>
          <w:top w:val="nil"/>
          <w:left w:val="nil"/>
          <w:bottom w:val="nil"/>
          <w:right w:val="nil"/>
          <w:between w:val="nil"/>
        </w:pBdr>
        <w:spacing w:line="240" w:lineRule="auto"/>
        <w:ind w:left="360"/>
        <w:jc w:val="both"/>
        <w:rPr>
          <w:rFonts w:ascii="Times New Roman" w:eastAsia="Times New Roman" w:hAnsi="Times New Roman" w:cs="Times New Roman"/>
          <w:b/>
          <w:bCs/>
          <w:color w:val="000000"/>
          <w:sz w:val="26"/>
          <w:szCs w:val="26"/>
        </w:rPr>
      </w:pPr>
      <w:bookmarkStart w:id="32" w:name="_heading=h.5zclkonujl3c" w:colFirst="0" w:colLast="0"/>
      <w:bookmarkEnd w:id="32"/>
      <w:r>
        <w:rPr>
          <w:rFonts w:ascii="Times New Roman" w:eastAsia="Times New Roman" w:hAnsi="Times New Roman" w:cs="Times New Roman"/>
          <w:b/>
          <w:bCs/>
          <w:color w:val="000000"/>
          <w:sz w:val="26"/>
          <w:szCs w:val="26"/>
        </w:rPr>
        <w:lastRenderedPageBreak/>
        <w:t>5. Practical implications</w:t>
      </w:r>
    </w:p>
    <w:p w14:paraId="0D69F536" w14:textId="77777777" w:rsidR="005A5BF4"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application of strict products liability has profound practical implications for consumers, manufacturers, and the legal system. </w:t>
      </w:r>
    </w:p>
    <w:p w14:paraId="34F0C221" w14:textId="77777777" w:rsidR="005A5BF4" w:rsidRDefault="00000000">
      <w:pPr>
        <w:pStyle w:val="Heading3"/>
        <w:rPr>
          <w:b w:val="0"/>
          <w:bCs w:val="0"/>
          <w:sz w:val="26"/>
          <w:szCs w:val="26"/>
        </w:rPr>
      </w:pPr>
      <w:bookmarkStart w:id="33" w:name="_heading=h.xv1v5afzhmv" w:colFirst="0" w:colLast="0"/>
      <w:bookmarkEnd w:id="33"/>
      <w:r>
        <w:rPr>
          <w:sz w:val="26"/>
          <w:szCs w:val="26"/>
        </w:rPr>
        <w:t>5.1. Consumer Protection and Simplified Burden of Proof</w:t>
      </w:r>
    </w:p>
    <w:p w14:paraId="13543798" w14:textId="77777777" w:rsidR="005A5BF4"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most significant practical effect is that injured parties are relieved of the burden of proving specific acts of negligence by the manufacturer. Instead of investigating complex manufacturing processes, which are often inaccessible to the public, a plaintiff only needs to establish that the product was defective, used as intended, and that the defect caused the injury. This shift makes it easier for vulnerable individuals—such as the waitress in the </w:t>
      </w:r>
      <w:r>
        <w:rPr>
          <w:rFonts w:ascii="Times New Roman" w:eastAsia="Times New Roman" w:hAnsi="Times New Roman" w:cs="Times New Roman"/>
          <w:i/>
          <w:iCs/>
          <w:color w:val="000000"/>
          <w:sz w:val="26"/>
          <w:szCs w:val="26"/>
        </w:rPr>
        <w:t>Escola</w:t>
      </w:r>
      <w:r>
        <w:rPr>
          <w:rFonts w:ascii="Times New Roman" w:eastAsia="Times New Roman" w:hAnsi="Times New Roman" w:cs="Times New Roman"/>
          <w:color w:val="000000"/>
          <w:sz w:val="26"/>
          <w:szCs w:val="26"/>
        </w:rPr>
        <w:t xml:space="preserve"> case or the gift recipient in the </w:t>
      </w:r>
      <w:r>
        <w:rPr>
          <w:rFonts w:ascii="Times New Roman" w:eastAsia="Times New Roman" w:hAnsi="Times New Roman" w:cs="Times New Roman"/>
          <w:i/>
          <w:iCs/>
          <w:color w:val="000000"/>
          <w:sz w:val="26"/>
          <w:szCs w:val="26"/>
        </w:rPr>
        <w:t>Greenman</w:t>
      </w:r>
      <w:r>
        <w:rPr>
          <w:rFonts w:ascii="Times New Roman" w:eastAsia="Times New Roman" w:hAnsi="Times New Roman" w:cs="Times New Roman"/>
          <w:color w:val="000000"/>
          <w:sz w:val="26"/>
          <w:szCs w:val="26"/>
        </w:rPr>
        <w:t xml:space="preserve"> case—to seek compensation without being blocked by technical barriers like "privity of contract."</w:t>
      </w:r>
    </w:p>
    <w:p w14:paraId="20E58043" w14:textId="77777777" w:rsidR="005A5BF4" w:rsidRDefault="00000000">
      <w:pPr>
        <w:pStyle w:val="Heading3"/>
        <w:rPr>
          <w:b w:val="0"/>
          <w:bCs w:val="0"/>
          <w:sz w:val="26"/>
          <w:szCs w:val="26"/>
        </w:rPr>
      </w:pPr>
      <w:bookmarkStart w:id="34" w:name="_heading=h.cuyxw3n58kbb" w:colFirst="0" w:colLast="0"/>
      <w:bookmarkEnd w:id="34"/>
      <w:r>
        <w:rPr>
          <w:sz w:val="26"/>
          <w:szCs w:val="26"/>
        </w:rPr>
        <w:t>5.2. Promoting Product Safety and Risk Prevention</w:t>
      </w:r>
    </w:p>
    <w:p w14:paraId="1F764D1A" w14:textId="77777777" w:rsidR="005A5BF4"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Strict liability serves as a powerful deterrent, forcing businesses to prioritize safety from the earliest design stages. Because manufacturers are in the best position to anticipate and guard against hazards, fixing responsibility </w:t>
      </w:r>
      <w:proofErr w:type="gramStart"/>
      <w:r>
        <w:rPr>
          <w:rFonts w:ascii="Times New Roman" w:eastAsia="Times New Roman" w:hAnsi="Times New Roman" w:cs="Times New Roman"/>
          <w:color w:val="000000"/>
          <w:sz w:val="26"/>
          <w:szCs w:val="26"/>
        </w:rPr>
        <w:t>on</w:t>
      </w:r>
      <w:proofErr w:type="gramEnd"/>
      <w:r>
        <w:rPr>
          <w:rFonts w:ascii="Times New Roman" w:eastAsia="Times New Roman" w:hAnsi="Times New Roman" w:cs="Times New Roman"/>
          <w:color w:val="000000"/>
          <w:sz w:val="26"/>
          <w:szCs w:val="26"/>
        </w:rPr>
        <w:t xml:space="preserve"> them encourages "increasingly high standards of inspection." By internalizing the costs of injuries, manufacturers are incentivized to ensure their products are safe for normal and proper use before they reach the market.</w:t>
      </w:r>
    </w:p>
    <w:p w14:paraId="1878B238" w14:textId="77777777" w:rsidR="005A5BF4" w:rsidRDefault="00000000">
      <w:pPr>
        <w:pStyle w:val="Heading3"/>
        <w:rPr>
          <w:b w:val="0"/>
          <w:bCs w:val="0"/>
          <w:sz w:val="26"/>
          <w:szCs w:val="26"/>
        </w:rPr>
      </w:pPr>
      <w:bookmarkStart w:id="35" w:name="_heading=h.56tbn2qjw0nh" w:colFirst="0" w:colLast="0"/>
      <w:bookmarkEnd w:id="35"/>
      <w:r>
        <w:rPr>
          <w:sz w:val="26"/>
          <w:szCs w:val="26"/>
        </w:rPr>
        <w:t>5.3. Impact on Pricing and the "Cost of Doing Business"</w:t>
      </w:r>
    </w:p>
    <w:p w14:paraId="6959C4AA" w14:textId="77777777" w:rsidR="005A5BF4"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Under this doctrine, the cost of compensation is treated as a mandatory insurance premium built into the product's price. This allows manufacturers to distribute the "overwhelming misfortune" of an individual's injury among the </w:t>
      </w:r>
      <w:proofErr w:type="gramStart"/>
      <w:r>
        <w:rPr>
          <w:rFonts w:ascii="Times New Roman" w:eastAsia="Times New Roman" w:hAnsi="Times New Roman" w:cs="Times New Roman"/>
          <w:color w:val="000000"/>
          <w:sz w:val="26"/>
          <w:szCs w:val="26"/>
        </w:rPr>
        <w:t>general public</w:t>
      </w:r>
      <w:proofErr w:type="gramEnd"/>
      <w:r>
        <w:rPr>
          <w:rFonts w:ascii="Times New Roman" w:eastAsia="Times New Roman" w:hAnsi="Times New Roman" w:cs="Times New Roman"/>
          <w:color w:val="000000"/>
          <w:sz w:val="26"/>
          <w:szCs w:val="26"/>
        </w:rPr>
        <w:t xml:space="preserve"> as a cost of doing business. Consequently, consumers may face higher prices for products that carry higher inherent risks to cover these potential liability costs.</w:t>
      </w:r>
    </w:p>
    <w:p w14:paraId="33DAA20C" w14:textId="77777777" w:rsidR="005A5BF4" w:rsidRDefault="00000000">
      <w:pPr>
        <w:pStyle w:val="Heading3"/>
        <w:rPr>
          <w:b w:val="0"/>
          <w:bCs w:val="0"/>
          <w:sz w:val="26"/>
          <w:szCs w:val="26"/>
        </w:rPr>
      </w:pPr>
      <w:bookmarkStart w:id="36" w:name="_heading=h.pszpcvcl8oqr" w:colFirst="0" w:colLast="0"/>
      <w:bookmarkEnd w:id="36"/>
      <w:r>
        <w:rPr>
          <w:sz w:val="26"/>
          <w:szCs w:val="26"/>
        </w:rPr>
        <w:t>5.4. Consequences for Markets and Businesses</w:t>
      </w:r>
    </w:p>
    <w:p w14:paraId="65877C9A" w14:textId="77777777" w:rsidR="005A5BF4"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While protecting consumers, strict liability can also create significant economic pressures on enterprises. During the 1980s, an "explosion" of product liability filings contributed to a liability insurance crisis, causing some manufacturers to withdraw products from the market or discontinue research into new ones. In some sectors, such as general aviation, skyrocketing liability payouts led to a drastic decline in domestic production.</w:t>
      </w:r>
    </w:p>
    <w:p w14:paraId="19C3FC69" w14:textId="77777777" w:rsidR="005A5BF4" w:rsidRDefault="00000000">
      <w:pPr>
        <w:pStyle w:val="Heading3"/>
        <w:rPr>
          <w:b w:val="0"/>
          <w:bCs w:val="0"/>
          <w:sz w:val="26"/>
          <w:szCs w:val="26"/>
        </w:rPr>
      </w:pPr>
      <w:bookmarkStart w:id="37" w:name="_heading=h.1oc5nwkwr9ht" w:colFirst="0" w:colLast="0"/>
      <w:bookmarkEnd w:id="37"/>
      <w:r>
        <w:rPr>
          <w:sz w:val="26"/>
          <w:szCs w:val="26"/>
        </w:rPr>
        <w:t>5.5. Practical Legal Complexities</w:t>
      </w:r>
    </w:p>
    <w:p w14:paraId="0EB7012B" w14:textId="77777777" w:rsidR="005A5BF4"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 the courtroom, the application of "strict" liability is often more complex than the theory suggests. For design defects, many courts have moved away from a purely strict standard toward a "risk-utility" test, which balances the product's risks against its benefits—an approach that closely resembles traditional negligence. Additionally, some jurisdictions now require plaintiffs to prove that a feasible and safer alternative design existed before a product can be declared defectively designed.</w:t>
      </w:r>
    </w:p>
    <w:p w14:paraId="1DB48ADE" w14:textId="77777777" w:rsidR="005A5BF4" w:rsidRDefault="005A5BF4">
      <w:pPr>
        <w:spacing w:after="0" w:line="240" w:lineRule="auto"/>
        <w:jc w:val="both"/>
        <w:rPr>
          <w:rFonts w:ascii="Times New Roman" w:eastAsia="Times New Roman" w:hAnsi="Times New Roman" w:cs="Times New Roman"/>
          <w:b/>
          <w:bCs/>
          <w:color w:val="000000"/>
          <w:sz w:val="26"/>
          <w:szCs w:val="26"/>
        </w:rPr>
      </w:pPr>
    </w:p>
    <w:p w14:paraId="32401BA0" w14:textId="77777777" w:rsidR="005A5BF4" w:rsidRDefault="005A5BF4">
      <w:pPr>
        <w:spacing w:after="0" w:line="240" w:lineRule="auto"/>
        <w:jc w:val="both"/>
        <w:rPr>
          <w:rFonts w:ascii="Times New Roman" w:eastAsia="Times New Roman" w:hAnsi="Times New Roman" w:cs="Times New Roman"/>
          <w:b/>
          <w:bCs/>
          <w:color w:val="000000"/>
          <w:sz w:val="26"/>
          <w:szCs w:val="26"/>
        </w:rPr>
        <w:sectPr w:rsidR="005A5BF4">
          <w:pgSz w:w="11906" w:h="16838"/>
          <w:pgMar w:top="1440" w:right="1440" w:bottom="1440" w:left="1440" w:header="720" w:footer="720" w:gutter="0"/>
          <w:cols w:space="720"/>
        </w:sectPr>
      </w:pPr>
    </w:p>
    <w:p w14:paraId="60708CB5" w14:textId="77777777" w:rsidR="005A5BF4" w:rsidRDefault="00000000">
      <w:pPr>
        <w:pStyle w:val="Heading1"/>
        <w:rPr>
          <w:rFonts w:ascii="Times New Roman" w:eastAsia="Times New Roman" w:hAnsi="Times New Roman" w:cs="Times New Roman"/>
          <w:sz w:val="26"/>
          <w:szCs w:val="26"/>
        </w:rPr>
      </w:pPr>
      <w:bookmarkStart w:id="38" w:name="_heading=h.nv6b9mabn97e" w:colFirst="0" w:colLast="0"/>
      <w:bookmarkEnd w:id="38"/>
      <w:r>
        <w:rPr>
          <w:rFonts w:ascii="Times New Roman" w:eastAsia="Times New Roman" w:hAnsi="Times New Roman" w:cs="Times New Roman"/>
          <w:color w:val="000000"/>
          <w:sz w:val="26"/>
          <w:szCs w:val="26"/>
        </w:rPr>
        <w:lastRenderedPageBreak/>
        <w:t>CONCLUSION</w:t>
      </w:r>
    </w:p>
    <w:p w14:paraId="58D2F5D0" w14:textId="77777777" w:rsidR="005A5BF4"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In conclusion, product liability represents a critical area of law that ensures consumer protection and promotes accountability among manufacturers and suppliers. Throughout this paper, the concept of strict liability has been explored as a fundamental legal framework that holds defendants liable for defective products regardless of fault. The discussion highlighted the scope of strict liability, including the identification of defendants, rights and claims of plaintiffs, and the types of </w:t>
      </w:r>
      <w:proofErr w:type="gramStart"/>
      <w:r>
        <w:rPr>
          <w:rFonts w:ascii="Times New Roman" w:eastAsia="Times New Roman" w:hAnsi="Times New Roman" w:cs="Times New Roman"/>
          <w:color w:val="000000"/>
          <w:sz w:val="26"/>
          <w:szCs w:val="26"/>
        </w:rPr>
        <w:t>damages</w:t>
      </w:r>
      <w:proofErr w:type="gramEnd"/>
      <w:r>
        <w:rPr>
          <w:rFonts w:ascii="Times New Roman" w:eastAsia="Times New Roman" w:hAnsi="Times New Roman" w:cs="Times New Roman"/>
          <w:color w:val="000000"/>
          <w:sz w:val="26"/>
          <w:szCs w:val="26"/>
        </w:rPr>
        <w:t xml:space="preserve"> recoverable in product liability cases.</w:t>
      </w:r>
    </w:p>
    <w:p w14:paraId="302D0248" w14:textId="77777777" w:rsidR="005A5BF4"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 comparative analysis of negligence and strict liability demonstrates that while both doctrines aim to prevent harm, strict liability provides a more direct mechanism for compensating injured consumers, emphasizing the responsibility of manufacturers over proof of fault. Furthermore, the examination of different types of product defects manufacturing, design, packaging, and failure to warn underscores the diverse ways in which products can become unreasonably dangerous. Case studies and real-world scenarios illustrated how courts evaluate these defects, balancing technical expertise, foreseeability, and consumer expectations.</w:t>
      </w:r>
    </w:p>
    <w:p w14:paraId="49BD5634" w14:textId="77777777" w:rsidR="005A5BF4"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comparison with Vietnamese product liability law under the Consumer Protection Law revealed both similarities and distinctions. While Vietnam recognizes the producer’s responsibility for defective products, certain procedural and evidentiary aspects differ from U.S. law, highlighting the influence of legal traditions and regulatory frameworks on the enforcement of product liability. This cross-jurisdictional perspective emphasizes the importance of understanding both local and international standards, particularly for global manufacturers and multinational commerce.</w:t>
      </w:r>
    </w:p>
    <w:p w14:paraId="7FA0DEC1" w14:textId="77777777" w:rsidR="005A5BF4"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From a practical standpoint, the analysis indicates that businesses must adopt comprehensive risk management strategies, including rigorous quality control, clear product instructions, and effective warning labels. Consumers, meanwhile, benefit from enhanced safety and legal recourse when harmed by defective products. Ultimately, product liability law functions not only as a mechanism for compensation but also as a preventive tool, incentivizing safer product design, responsible manufacturing, and transparent communication of risks.</w:t>
      </w:r>
    </w:p>
    <w:p w14:paraId="598E9875" w14:textId="77777777" w:rsidR="005A5BF4" w:rsidRDefault="00000000">
      <w:pPr>
        <w:pBdr>
          <w:top w:val="nil"/>
          <w:left w:val="nil"/>
          <w:bottom w:val="nil"/>
          <w:right w:val="nil"/>
          <w:between w:val="nil"/>
        </w:pBdr>
        <w:spacing w:before="240" w:after="24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 sum, the study of product liability underscores a fundamental principle: the protection of consumers requires a robust legal framework that balances the interests of plaintiffs, defendants, and society at large. By understanding the nuances of strict liability, defect types, and comparative law, legal practitioners, policymakers, and manufacturers can better anticipate challenges, mitigate risks, and foster a safer marketplace for all.</w:t>
      </w:r>
    </w:p>
    <w:p w14:paraId="4E7BB491" w14:textId="77777777" w:rsidR="005A5BF4" w:rsidRDefault="005A5BF4">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sectPr w:rsidR="005A5BF4">
          <w:pgSz w:w="11906" w:h="16838"/>
          <w:pgMar w:top="1440" w:right="1440" w:bottom="1440" w:left="1440" w:header="720" w:footer="720" w:gutter="0"/>
          <w:cols w:space="720"/>
        </w:sectPr>
      </w:pPr>
    </w:p>
    <w:p w14:paraId="7ACB0660" w14:textId="77777777" w:rsidR="005A5BF4" w:rsidRDefault="00000000">
      <w:pPr>
        <w:pStyle w:val="Heading1"/>
        <w:rPr>
          <w:rFonts w:ascii="Times New Roman" w:eastAsia="Times New Roman" w:hAnsi="Times New Roman" w:cs="Times New Roman"/>
          <w:sz w:val="26"/>
          <w:szCs w:val="26"/>
        </w:rPr>
      </w:pPr>
      <w:bookmarkStart w:id="39" w:name="_heading=h.hiqfapkp6biv" w:colFirst="0" w:colLast="0"/>
      <w:bookmarkEnd w:id="39"/>
      <w:r>
        <w:rPr>
          <w:rFonts w:ascii="Times New Roman" w:eastAsia="Times New Roman" w:hAnsi="Times New Roman" w:cs="Times New Roman"/>
          <w:color w:val="000000"/>
          <w:sz w:val="26"/>
          <w:szCs w:val="26"/>
        </w:rPr>
        <w:lastRenderedPageBreak/>
        <w:t>BIBLIOGRAPHY</w:t>
      </w:r>
    </w:p>
    <w:p w14:paraId="59C079B3" w14:textId="77777777" w:rsidR="005A5BF4" w:rsidRDefault="00000000">
      <w:pPr>
        <w:numPr>
          <w:ilvl w:val="0"/>
          <w:numId w:val="3"/>
        </w:numPr>
        <w:spacing w:after="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For American jurisdiction</w:t>
      </w:r>
    </w:p>
    <w:p w14:paraId="4809A65D" w14:textId="77777777" w:rsidR="005A5BF4" w:rsidRDefault="00000000">
      <w:pPr>
        <w:spacing w:after="0" w:line="240" w:lineRule="auto"/>
        <w:ind w:left="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Restatement (Second/Third) of Torts</w:t>
      </w:r>
    </w:p>
    <w:p w14:paraId="35400B90" w14:textId="77777777" w:rsidR="005A5BF4" w:rsidRDefault="00000000">
      <w:pPr>
        <w:spacing w:after="0" w:line="240" w:lineRule="auto"/>
        <w:ind w:left="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Uniform Commercial Code (UCC)</w:t>
      </w:r>
    </w:p>
    <w:p w14:paraId="75085B9E" w14:textId="77777777" w:rsidR="005A5BF4" w:rsidRDefault="00000000">
      <w:pPr>
        <w:spacing w:after="0" w:line="24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Larsen v. General Motors Corp. (1968). </w:t>
      </w:r>
      <w:r>
        <w:rPr>
          <w:rFonts w:ascii="Times New Roman" w:eastAsia="Times New Roman" w:hAnsi="Times New Roman" w:cs="Times New Roman"/>
          <w:i/>
          <w:iCs/>
          <w:color w:val="000000"/>
          <w:sz w:val="26"/>
          <w:szCs w:val="26"/>
        </w:rPr>
        <w:t>391</w:t>
      </w:r>
      <w:r>
        <w:rPr>
          <w:rFonts w:ascii="Times New Roman" w:eastAsia="Times New Roman" w:hAnsi="Times New Roman" w:cs="Times New Roman"/>
          <w:color w:val="000000"/>
          <w:sz w:val="26"/>
          <w:szCs w:val="26"/>
        </w:rPr>
        <w:t xml:space="preserve"> F.2d 495.</w:t>
      </w:r>
    </w:p>
    <w:p w14:paraId="5CAFA11A" w14:textId="77777777" w:rsidR="005A5BF4" w:rsidRDefault="00000000">
      <w:pPr>
        <w:spacing w:after="0" w:line="24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Grimshaw v. Ford Motor Co. (1981). </w:t>
      </w:r>
      <w:r>
        <w:rPr>
          <w:rFonts w:ascii="Times New Roman" w:eastAsia="Times New Roman" w:hAnsi="Times New Roman" w:cs="Times New Roman"/>
          <w:i/>
          <w:iCs/>
          <w:color w:val="000000"/>
          <w:sz w:val="26"/>
          <w:szCs w:val="26"/>
        </w:rPr>
        <w:t>119</w:t>
      </w:r>
      <w:r>
        <w:rPr>
          <w:rFonts w:ascii="Times New Roman" w:eastAsia="Times New Roman" w:hAnsi="Times New Roman" w:cs="Times New Roman"/>
          <w:color w:val="000000"/>
          <w:sz w:val="26"/>
          <w:szCs w:val="26"/>
        </w:rPr>
        <w:t xml:space="preserve"> Cal. App. 3d 757; </w:t>
      </w:r>
      <w:r>
        <w:rPr>
          <w:rFonts w:ascii="Times New Roman" w:eastAsia="Times New Roman" w:hAnsi="Times New Roman" w:cs="Times New Roman"/>
          <w:i/>
          <w:iCs/>
          <w:color w:val="000000"/>
          <w:sz w:val="26"/>
          <w:szCs w:val="26"/>
        </w:rPr>
        <w:t>174</w:t>
      </w:r>
      <w:r>
        <w:rPr>
          <w:rFonts w:ascii="Times New Roman" w:eastAsia="Times New Roman" w:hAnsi="Times New Roman" w:cs="Times New Roman"/>
          <w:color w:val="000000"/>
          <w:sz w:val="26"/>
          <w:szCs w:val="26"/>
        </w:rPr>
        <w:t xml:space="preserve"> Cal. </w:t>
      </w:r>
      <w:proofErr w:type="spellStart"/>
      <w:r>
        <w:rPr>
          <w:rFonts w:ascii="Times New Roman" w:eastAsia="Times New Roman" w:hAnsi="Times New Roman" w:cs="Times New Roman"/>
          <w:color w:val="000000"/>
          <w:sz w:val="26"/>
          <w:szCs w:val="26"/>
        </w:rPr>
        <w:t>Rptr</w:t>
      </w:r>
      <w:proofErr w:type="spellEnd"/>
      <w:r>
        <w:rPr>
          <w:rFonts w:ascii="Times New Roman" w:eastAsia="Times New Roman" w:hAnsi="Times New Roman" w:cs="Times New Roman"/>
          <w:color w:val="000000"/>
          <w:sz w:val="26"/>
          <w:szCs w:val="26"/>
        </w:rPr>
        <w:t>. 348.</w:t>
      </w:r>
      <w:hyperlink r:id="rId13">
        <w:r w:rsidR="005A5BF4">
          <w:rPr>
            <w:rFonts w:ascii="Times New Roman" w:eastAsia="Times New Roman" w:hAnsi="Times New Roman" w:cs="Times New Roman"/>
            <w:color w:val="1155CC"/>
            <w:sz w:val="26"/>
            <w:szCs w:val="26"/>
            <w:u w:val="single"/>
          </w:rPr>
          <w:t>https://law.justia.com/cases/california/court-of-appeal/3d/119/757.html</w:t>
        </w:r>
      </w:hyperlink>
      <w:r>
        <w:rPr>
          <w:rFonts w:ascii="Times New Roman" w:eastAsia="Times New Roman" w:hAnsi="Times New Roman" w:cs="Times New Roman"/>
          <w:color w:val="000000"/>
          <w:sz w:val="26"/>
          <w:szCs w:val="26"/>
        </w:rPr>
        <w:t> </w:t>
      </w:r>
    </w:p>
    <w:p w14:paraId="58C44114" w14:textId="77777777" w:rsidR="005A5BF4" w:rsidRDefault="00000000">
      <w:pPr>
        <w:spacing w:after="240" w:line="240" w:lineRule="auto"/>
        <w:ind w:left="720"/>
        <w:jc w:val="both"/>
      </w:pPr>
      <w:r>
        <w:rPr>
          <w:rFonts w:ascii="Times New Roman" w:eastAsia="Times New Roman" w:hAnsi="Times New Roman" w:cs="Times New Roman"/>
          <w:color w:val="000000"/>
          <w:sz w:val="26"/>
          <w:szCs w:val="26"/>
        </w:rPr>
        <w:t xml:space="preserve">Clark, C. (2025, August 10). </w:t>
      </w:r>
      <w:r>
        <w:rPr>
          <w:rFonts w:ascii="Times New Roman" w:eastAsia="Times New Roman" w:hAnsi="Times New Roman" w:cs="Times New Roman"/>
          <w:i/>
          <w:iCs/>
          <w:color w:val="000000"/>
          <w:sz w:val="26"/>
          <w:szCs w:val="26"/>
        </w:rPr>
        <w:t>What is a design defect? 3 main types explained</w:t>
      </w:r>
      <w:r>
        <w:rPr>
          <w:rFonts w:ascii="Times New Roman" w:eastAsia="Times New Roman" w:hAnsi="Times New Roman" w:cs="Times New Roman"/>
          <w:color w:val="000000"/>
          <w:sz w:val="26"/>
          <w:szCs w:val="26"/>
        </w:rPr>
        <w:t>. Schmidt &amp; Clark, LLP.</w:t>
      </w:r>
      <w:hyperlink r:id="rId14">
        <w:r w:rsidR="005A5BF4">
          <w:rPr>
            <w:rFonts w:ascii="Times New Roman" w:eastAsia="Times New Roman" w:hAnsi="Times New Roman" w:cs="Times New Roman"/>
            <w:color w:val="000000"/>
            <w:sz w:val="26"/>
            <w:szCs w:val="26"/>
          </w:rPr>
          <w:t xml:space="preserve"> </w:t>
        </w:r>
      </w:hyperlink>
      <w:hyperlink r:id="rId15">
        <w:r w:rsidR="005A5BF4">
          <w:rPr>
            <w:rFonts w:ascii="Times New Roman" w:eastAsia="Times New Roman" w:hAnsi="Times New Roman" w:cs="Times New Roman"/>
            <w:color w:val="1155CC"/>
            <w:sz w:val="26"/>
            <w:szCs w:val="26"/>
            <w:u w:val="single"/>
          </w:rPr>
          <w:t>https://www.schmidtandclark.com/design-defect</w:t>
        </w:r>
      </w:hyperlink>
    </w:p>
    <w:p w14:paraId="7C0185E9" w14:textId="77777777" w:rsidR="005A5BF4" w:rsidRDefault="00000000">
      <w:pPr>
        <w:spacing w:after="0" w:line="24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Shoshone Coca-Cola Bottling Co. v. Dolinski (1966)</w:t>
      </w:r>
    </w:p>
    <w:p w14:paraId="617B4031" w14:textId="77777777" w:rsidR="005A5BF4" w:rsidRDefault="00000000">
      <w:pPr>
        <w:spacing w:after="0" w:line="24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Bunch v. </w:t>
      </w:r>
      <w:proofErr w:type="spellStart"/>
      <w:r>
        <w:rPr>
          <w:rFonts w:ascii="Times New Roman" w:eastAsia="Times New Roman" w:hAnsi="Times New Roman" w:cs="Times New Roman"/>
          <w:color w:val="000000"/>
          <w:sz w:val="26"/>
          <w:szCs w:val="26"/>
        </w:rPr>
        <w:t>Hoffinger</w:t>
      </w:r>
      <w:proofErr w:type="spellEnd"/>
      <w:r>
        <w:rPr>
          <w:rFonts w:ascii="Times New Roman" w:eastAsia="Times New Roman" w:hAnsi="Times New Roman" w:cs="Times New Roman"/>
          <w:color w:val="000000"/>
          <w:sz w:val="26"/>
          <w:szCs w:val="26"/>
        </w:rPr>
        <w:t xml:space="preserve"> Industries, Inc. (2004)</w:t>
      </w:r>
    </w:p>
    <w:p w14:paraId="505A7E14" w14:textId="77777777" w:rsidR="005A5BF4" w:rsidRDefault="005A5BF4">
      <w:pPr>
        <w:spacing w:after="0" w:line="240" w:lineRule="auto"/>
        <w:jc w:val="both"/>
        <w:rPr>
          <w:rFonts w:ascii="Times New Roman" w:eastAsia="Times New Roman" w:hAnsi="Times New Roman" w:cs="Times New Roman"/>
          <w:sz w:val="26"/>
          <w:szCs w:val="26"/>
        </w:rPr>
      </w:pPr>
    </w:p>
    <w:p w14:paraId="3AA39CC8" w14:textId="77777777" w:rsidR="005A5BF4" w:rsidRDefault="00000000">
      <w:pPr>
        <w:spacing w:after="0" w:line="240" w:lineRule="auto"/>
        <w:ind w:left="3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 For Vietnamese jurisdiction </w:t>
      </w:r>
    </w:p>
    <w:p w14:paraId="31C2847E" w14:textId="77777777" w:rsidR="005A5BF4" w:rsidRDefault="00000000">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Law on Protection of Consumer Rights 2023 (No. 19/2023/QH15)</w:t>
      </w:r>
    </w:p>
    <w:p w14:paraId="0E619577" w14:textId="77777777" w:rsidR="005A5BF4" w:rsidRDefault="00000000">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Civil Code 2015 (No. 91/2015/QH13)</w:t>
      </w:r>
    </w:p>
    <w:p w14:paraId="50AFB8D7" w14:textId="77777777" w:rsidR="005A5BF4" w:rsidRDefault="00000000">
      <w:pPr>
        <w:spacing w:after="0" w:line="240" w:lineRule="auto"/>
        <w:ind w:firstLine="42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 Other references</w:t>
      </w:r>
    </w:p>
    <w:p w14:paraId="0052FC4E" w14:textId="77777777" w:rsidR="005A5BF4" w:rsidRDefault="005A5BF4">
      <w:pPr>
        <w:spacing w:after="0" w:line="240" w:lineRule="auto"/>
        <w:jc w:val="both"/>
        <w:rPr>
          <w:rFonts w:ascii="Times New Roman" w:eastAsia="Times New Roman" w:hAnsi="Times New Roman" w:cs="Times New Roman"/>
          <w:color w:val="000000"/>
          <w:sz w:val="26"/>
          <w:szCs w:val="26"/>
        </w:rPr>
      </w:pPr>
    </w:p>
    <w:p w14:paraId="0AA5FAE8" w14:textId="77777777" w:rsidR="005A5BF4" w:rsidRDefault="005A5BF4">
      <w:pPr>
        <w:spacing w:after="0" w:line="240" w:lineRule="auto"/>
        <w:ind w:left="2160"/>
        <w:jc w:val="both"/>
        <w:rPr>
          <w:rFonts w:ascii="Times New Roman" w:eastAsia="Times New Roman" w:hAnsi="Times New Roman" w:cs="Times New Roman"/>
          <w:color w:val="000000"/>
          <w:sz w:val="26"/>
          <w:szCs w:val="26"/>
        </w:rPr>
      </w:pPr>
    </w:p>
    <w:sectPr w:rsidR="005A5BF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C2F02" w14:textId="77777777" w:rsidR="00903BF8" w:rsidRDefault="00903BF8">
      <w:pPr>
        <w:spacing w:after="0" w:line="240" w:lineRule="auto"/>
      </w:pPr>
      <w:r>
        <w:separator/>
      </w:r>
    </w:p>
  </w:endnote>
  <w:endnote w:type="continuationSeparator" w:id="0">
    <w:p w14:paraId="401A8F00" w14:textId="77777777" w:rsidR="00903BF8" w:rsidRDefault="0090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36DAFCE-8AF8-41FF-A070-10EAFE11645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6B5455D5-79EA-4451-9C9B-5380ADCE0DCB}"/>
    <w:embedBold r:id="rId3" w:fontKey="{409CAF1B-FF18-470E-8958-1689E4233165}"/>
  </w:font>
  <w:font w:name="Cambria">
    <w:panose1 w:val="02040503050406030204"/>
    <w:charset w:val="00"/>
    <w:family w:val="roman"/>
    <w:pitch w:val="variable"/>
    <w:sig w:usb0="E00006FF" w:usb1="420024FF" w:usb2="02000000" w:usb3="00000000" w:csb0="0000019F" w:csb1="00000000"/>
    <w:embedRegular r:id="rId4" w:fontKey="{B7BC5E6A-9036-4A0F-A8C3-ED86801EE0B4}"/>
    <w:embedBold r:id="rId5" w:fontKey="{4B0CDCAD-64B0-4C72-ABBF-E12CC3DB374E}"/>
  </w:font>
  <w:font w:name="Tahoma">
    <w:panose1 w:val="020B0604030504040204"/>
    <w:charset w:val="00"/>
    <w:family w:val="swiss"/>
    <w:pitch w:val="variable"/>
    <w:sig w:usb0="E1002EFF" w:usb1="C000605B" w:usb2="00000029" w:usb3="00000000" w:csb0="000101FF" w:csb1="00000000"/>
    <w:embedRegular r:id="rId6" w:fontKey="{156C155F-1A83-41B0-99FC-996F98E19AAA}"/>
  </w:font>
  <w:font w:name="Georgia">
    <w:panose1 w:val="02040502050405020303"/>
    <w:charset w:val="00"/>
    <w:family w:val="roman"/>
    <w:pitch w:val="variable"/>
    <w:sig w:usb0="00000287" w:usb1="00000000" w:usb2="00000000" w:usb3="00000000" w:csb0="0000009F" w:csb1="00000000"/>
    <w:embedItalic r:id="rId7" w:fontKey="{47907E83-FDC0-408F-B168-D6C5A2FEEC7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87378"/>
      <w:docPartObj>
        <w:docPartGallery w:val="Page Numbers (Bottom of Page)"/>
        <w:docPartUnique/>
      </w:docPartObj>
    </w:sdtPr>
    <w:sdtEndPr>
      <w:rPr>
        <w:noProof/>
      </w:rPr>
    </w:sdtEndPr>
    <w:sdtContent>
      <w:p w14:paraId="2C514F5B" w14:textId="36C3704F" w:rsidR="00B21C4B" w:rsidRDefault="00B21C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914784" w14:textId="77777777" w:rsidR="005A5BF4" w:rsidRDefault="005A5BF4">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0CFC" w14:textId="02EF6082" w:rsidR="00D818AB" w:rsidRDefault="00D818AB">
    <w:pPr>
      <w:pStyle w:val="Footer"/>
      <w:jc w:val="right"/>
    </w:pPr>
  </w:p>
  <w:p w14:paraId="00982D0D" w14:textId="77777777" w:rsidR="00D818AB" w:rsidRDefault="00D818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85661"/>
      <w:docPartObj>
        <w:docPartGallery w:val="Page Numbers (Bottom of Page)"/>
        <w:docPartUnique/>
      </w:docPartObj>
    </w:sdtPr>
    <w:sdtEndPr>
      <w:rPr>
        <w:noProof/>
      </w:rPr>
    </w:sdtEndPr>
    <w:sdtContent>
      <w:p w14:paraId="4DF5D2A9" w14:textId="364E7076" w:rsidR="00D818AB" w:rsidRDefault="00D818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34ABDA" w14:textId="77777777" w:rsidR="005A5BF4" w:rsidRDefault="005A5BF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2D77B" w14:textId="77777777" w:rsidR="00903BF8" w:rsidRDefault="00903BF8">
      <w:pPr>
        <w:spacing w:after="0" w:line="240" w:lineRule="auto"/>
      </w:pPr>
      <w:r>
        <w:separator/>
      </w:r>
    </w:p>
  </w:footnote>
  <w:footnote w:type="continuationSeparator" w:id="0">
    <w:p w14:paraId="5A77909F" w14:textId="77777777" w:rsidR="00903BF8" w:rsidRDefault="00903BF8">
      <w:pPr>
        <w:spacing w:after="0" w:line="240" w:lineRule="auto"/>
      </w:pPr>
      <w:r>
        <w:continuationSeparator/>
      </w:r>
    </w:p>
  </w:footnote>
  <w:footnote w:id="1">
    <w:p w14:paraId="69846B67" w14:textId="77777777" w:rsidR="005A5BF4"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Style w:val="FootnoteReference"/>
        </w:rPr>
        <w:footnoteRef/>
      </w:r>
      <w:r>
        <w:rPr>
          <w:color w:val="000000"/>
          <w:sz w:val="20"/>
          <w:szCs w:val="20"/>
        </w:rPr>
        <w:t xml:space="preserve"> </w:t>
      </w:r>
      <w:r>
        <w:rPr>
          <w:rFonts w:ascii="Times New Roman" w:eastAsia="Times New Roman" w:hAnsi="Times New Roman" w:cs="Times New Roman"/>
          <w:color w:val="000000"/>
        </w:rPr>
        <w:t>Restatement (Second) of Torts §402A (1965).</w:t>
      </w:r>
    </w:p>
    <w:p w14:paraId="181949AE" w14:textId="77777777" w:rsidR="005A5BF4" w:rsidRDefault="005A5BF4">
      <w:pPr>
        <w:pBdr>
          <w:top w:val="nil"/>
          <w:left w:val="nil"/>
          <w:bottom w:val="nil"/>
          <w:right w:val="nil"/>
          <w:between w:val="nil"/>
        </w:pBdr>
        <w:spacing w:after="0" w:line="240" w:lineRule="auto"/>
        <w:rPr>
          <w:color w:val="000000"/>
          <w:sz w:val="20"/>
          <w:szCs w:val="20"/>
        </w:rPr>
      </w:pPr>
    </w:p>
  </w:footnote>
  <w:footnote w:id="2">
    <w:p w14:paraId="1D2C43F9" w14:textId="77777777" w:rsidR="005A5BF4" w:rsidRDefault="00000000">
      <w:pPr>
        <w:rPr>
          <w:rFonts w:ascii="Times New Roman" w:eastAsia="Times New Roman" w:hAnsi="Times New Roman" w:cs="Times New Roman"/>
        </w:rPr>
      </w:pPr>
      <w:r>
        <w:rPr>
          <w:rStyle w:val="FootnoteReference"/>
        </w:rPr>
        <w:footnoteRef/>
      </w:r>
      <w:r>
        <w:t xml:space="preserve"> </w:t>
      </w:r>
      <w:r>
        <w:rPr>
          <w:rFonts w:ascii="Times New Roman" w:eastAsia="Times New Roman" w:hAnsi="Times New Roman" w:cs="Times New Roman"/>
        </w:rPr>
        <w:t>Shoshone Coca-Cola Bottling Co. v. Dolinski Supreme Court of Nevada 420 P.2d 855 (1966)</w:t>
      </w:r>
    </w:p>
    <w:p w14:paraId="46385DEE" w14:textId="77777777" w:rsidR="005A5BF4" w:rsidRDefault="005A5BF4">
      <w:pPr>
        <w:pBdr>
          <w:top w:val="nil"/>
          <w:left w:val="nil"/>
          <w:bottom w:val="nil"/>
          <w:right w:val="nil"/>
          <w:between w:val="nil"/>
        </w:pBdr>
        <w:spacing w:after="0" w:line="240" w:lineRule="auto"/>
        <w:rPr>
          <w:color w:val="000000"/>
          <w:sz w:val="20"/>
          <w:szCs w:val="20"/>
        </w:rPr>
      </w:pPr>
    </w:p>
  </w:footnote>
  <w:footnote w:id="3">
    <w:p w14:paraId="7B784F52" w14:textId="77777777" w:rsidR="005A5BF4"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Style w:val="FootnoteReference"/>
        </w:rPr>
        <w:footnoteRef/>
      </w:r>
      <w:r>
        <w:rPr>
          <w:rFonts w:ascii="Times New Roman" w:eastAsia="Times New Roman" w:hAnsi="Times New Roman" w:cs="Times New Roman"/>
          <w:color w:val="000000"/>
        </w:rPr>
        <w:t xml:space="preserve"> Restatement (Third) of Torts: Products Liability § 2(b). (1998).</w:t>
      </w:r>
    </w:p>
    <w:p w14:paraId="5187F127" w14:textId="77777777" w:rsidR="005A5BF4" w:rsidRDefault="005A5BF4">
      <w:pPr>
        <w:pBdr>
          <w:top w:val="nil"/>
          <w:left w:val="nil"/>
          <w:bottom w:val="nil"/>
          <w:right w:val="nil"/>
          <w:between w:val="nil"/>
        </w:pBdr>
        <w:spacing w:after="0" w:line="240" w:lineRule="auto"/>
        <w:rPr>
          <w:color w:val="000000"/>
          <w:sz w:val="20"/>
          <w:szCs w:val="20"/>
        </w:rPr>
      </w:pPr>
    </w:p>
  </w:footnote>
  <w:footnote w:id="4">
    <w:p w14:paraId="673B4274" w14:textId="77777777" w:rsidR="005A5BF4"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Style w:val="FootnoteReference"/>
        </w:rPr>
        <w:footnoteRef/>
      </w:r>
      <w:r>
        <w:rPr>
          <w:rFonts w:ascii="Times New Roman" w:eastAsia="Times New Roman" w:hAnsi="Times New Roman" w:cs="Times New Roman"/>
          <w:color w:val="000000"/>
        </w:rPr>
        <w:t xml:space="preserve"> </w:t>
      </w:r>
      <w:r>
        <w:rPr>
          <w:rFonts w:ascii="Arial" w:eastAsia="Arial" w:hAnsi="Arial" w:cs="Arial"/>
          <w:color w:val="000000"/>
        </w:rPr>
        <w:t> </w:t>
      </w:r>
      <w:r>
        <w:rPr>
          <w:rFonts w:ascii="Times New Roman" w:eastAsia="Times New Roman" w:hAnsi="Times New Roman" w:cs="Times New Roman"/>
          <w:color w:val="000000"/>
        </w:rPr>
        <w:t>The Crashworthiness Doctrine originated from U.S. case law, most notably the landmark decision in Larsen v. General Motors Corp. (1968)</w:t>
      </w:r>
    </w:p>
    <w:p w14:paraId="67713B73" w14:textId="77777777" w:rsidR="005A5BF4" w:rsidRDefault="005A5BF4">
      <w:pPr>
        <w:pBdr>
          <w:top w:val="nil"/>
          <w:left w:val="nil"/>
          <w:bottom w:val="nil"/>
          <w:right w:val="nil"/>
          <w:between w:val="nil"/>
        </w:pBdr>
        <w:spacing w:after="0" w:line="240" w:lineRule="auto"/>
        <w:rPr>
          <w:color w:val="000000"/>
        </w:rPr>
      </w:pPr>
    </w:p>
  </w:footnote>
  <w:footnote w:id="5">
    <w:p w14:paraId="7E028669" w14:textId="77777777" w:rsidR="005A5BF4"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Style w:val="FootnoteReference"/>
        </w:rPr>
        <w:footnoteRef/>
      </w:r>
      <w:r>
        <w:rPr>
          <w:rFonts w:ascii="Times New Roman" w:eastAsia="Times New Roman" w:hAnsi="Times New Roman" w:cs="Times New Roman"/>
          <w:color w:val="000000"/>
        </w:rPr>
        <w:t xml:space="preserve"> </w:t>
      </w:r>
      <w:r>
        <w:rPr>
          <w:rFonts w:ascii="Arial" w:eastAsia="Arial" w:hAnsi="Arial" w:cs="Arial"/>
          <w:color w:val="000000"/>
        </w:rPr>
        <w:t> </w:t>
      </w:r>
      <w:r>
        <w:rPr>
          <w:rFonts w:ascii="Times New Roman" w:eastAsia="Times New Roman" w:hAnsi="Times New Roman" w:cs="Times New Roman"/>
          <w:color w:val="000000"/>
        </w:rPr>
        <w:t xml:space="preserve">Grimshaw v. Ford Motor Co. (1981). </w:t>
      </w:r>
      <w:r>
        <w:rPr>
          <w:rFonts w:ascii="Times New Roman" w:eastAsia="Times New Roman" w:hAnsi="Times New Roman" w:cs="Times New Roman"/>
          <w:i/>
          <w:iCs/>
          <w:color w:val="000000"/>
        </w:rPr>
        <w:t>119</w:t>
      </w:r>
      <w:r>
        <w:rPr>
          <w:rFonts w:ascii="Times New Roman" w:eastAsia="Times New Roman" w:hAnsi="Times New Roman" w:cs="Times New Roman"/>
          <w:color w:val="000000"/>
        </w:rPr>
        <w:t xml:space="preserve"> Cal. App. 3d 757; </w:t>
      </w:r>
      <w:r>
        <w:rPr>
          <w:rFonts w:ascii="Times New Roman" w:eastAsia="Times New Roman" w:hAnsi="Times New Roman" w:cs="Times New Roman"/>
          <w:i/>
          <w:iCs/>
          <w:color w:val="000000"/>
        </w:rPr>
        <w:t>174</w:t>
      </w:r>
      <w:r>
        <w:rPr>
          <w:rFonts w:ascii="Times New Roman" w:eastAsia="Times New Roman" w:hAnsi="Times New Roman" w:cs="Times New Roman"/>
          <w:color w:val="000000"/>
        </w:rPr>
        <w:t xml:space="preserve"> Cal. </w:t>
      </w:r>
      <w:proofErr w:type="spellStart"/>
      <w:r>
        <w:rPr>
          <w:rFonts w:ascii="Times New Roman" w:eastAsia="Times New Roman" w:hAnsi="Times New Roman" w:cs="Times New Roman"/>
          <w:color w:val="000000"/>
        </w:rPr>
        <w:t>Rptr</w:t>
      </w:r>
      <w:proofErr w:type="spellEnd"/>
      <w:r>
        <w:rPr>
          <w:rFonts w:ascii="Times New Roman" w:eastAsia="Times New Roman" w:hAnsi="Times New Roman" w:cs="Times New Roman"/>
          <w:color w:val="000000"/>
        </w:rPr>
        <w:t>. 348</w:t>
      </w:r>
    </w:p>
    <w:p w14:paraId="41EB6FF7" w14:textId="77777777" w:rsidR="005A5BF4" w:rsidRDefault="005A5BF4">
      <w:pPr>
        <w:pBdr>
          <w:top w:val="nil"/>
          <w:left w:val="nil"/>
          <w:bottom w:val="nil"/>
          <w:right w:val="nil"/>
          <w:between w:val="nil"/>
        </w:pBdr>
        <w:spacing w:after="0" w:line="240" w:lineRule="auto"/>
        <w:rPr>
          <w:color w:val="000000"/>
        </w:rPr>
      </w:pPr>
    </w:p>
  </w:footnote>
  <w:footnote w:id="6">
    <w:p w14:paraId="00334075" w14:textId="77777777" w:rsidR="005A5BF4" w:rsidRDefault="00000000">
      <w:pPr>
        <w:spacing w:after="0" w:line="240" w:lineRule="auto"/>
        <w:ind w:left="360"/>
        <w:jc w:val="both"/>
        <w:rPr>
          <w:rFonts w:ascii="Times New Roman" w:eastAsia="Times New Roman" w:hAnsi="Times New Roman" w:cs="Times New Roman"/>
        </w:rPr>
      </w:pPr>
      <w:r>
        <w:rPr>
          <w:rStyle w:val="FootnoteReference"/>
        </w:rPr>
        <w:footnoteRef/>
      </w:r>
      <w:r>
        <w:t xml:space="preserve"> </w:t>
      </w:r>
      <w:r>
        <w:rPr>
          <w:rFonts w:ascii="Times New Roman" w:eastAsia="Times New Roman" w:hAnsi="Times New Roman" w:cs="Times New Roman"/>
        </w:rPr>
        <w:t xml:space="preserve">Product Liability: You’re More Exposed Than You Think by Marisa Manley </w:t>
      </w:r>
      <w:proofErr w:type="gramStart"/>
      <w:r>
        <w:rPr>
          <w:rFonts w:ascii="Times New Roman" w:eastAsia="Times New Roman" w:hAnsi="Times New Roman" w:cs="Times New Roman"/>
        </w:rPr>
        <w:t>From</w:t>
      </w:r>
      <w:proofErr w:type="gramEnd"/>
      <w:r>
        <w:rPr>
          <w:rFonts w:ascii="Times New Roman" w:eastAsia="Times New Roman" w:hAnsi="Times New Roman" w:cs="Times New Roman"/>
        </w:rPr>
        <w:t xml:space="preserve"> the Magazine (September 1987)</w:t>
      </w:r>
    </w:p>
    <w:p w14:paraId="493C874B" w14:textId="77777777" w:rsidR="005A5BF4" w:rsidRDefault="005A5BF4">
      <w:pPr>
        <w:spacing w:after="0" w:line="240" w:lineRule="auto"/>
        <w:ind w:left="360"/>
        <w:jc w:val="both"/>
        <w:rPr>
          <w:rFonts w:ascii="Times New Roman" w:eastAsia="Times New Roman" w:hAnsi="Times New Roman" w:cs="Times New Roman"/>
        </w:rPr>
      </w:pPr>
    </w:p>
    <w:p w14:paraId="321F2A54" w14:textId="77777777" w:rsidR="005A5BF4" w:rsidRDefault="005A5BF4">
      <w:pPr>
        <w:spacing w:after="0" w:line="240" w:lineRule="auto"/>
        <w:ind w:left="360"/>
        <w:jc w:val="both"/>
        <w:rPr>
          <w:rFonts w:ascii="Times New Roman" w:eastAsia="Times New Roman" w:hAnsi="Times New Roman" w:cs="Times New Roman"/>
        </w:rPr>
      </w:pPr>
    </w:p>
    <w:p w14:paraId="70A7B7D2" w14:textId="77777777" w:rsidR="005A5BF4" w:rsidRDefault="005A5BF4">
      <w:pPr>
        <w:pBdr>
          <w:top w:val="nil"/>
          <w:left w:val="nil"/>
          <w:bottom w:val="nil"/>
          <w:right w:val="nil"/>
          <w:between w:val="nil"/>
        </w:pBdr>
        <w:spacing w:after="0" w:line="240" w:lineRule="auto"/>
        <w:rPr>
          <w:color w:val="000000"/>
          <w:sz w:val="20"/>
          <w:szCs w:val="20"/>
        </w:rPr>
      </w:pPr>
    </w:p>
  </w:footnote>
  <w:footnote w:id="7">
    <w:p w14:paraId="6D43F54A" w14:textId="77777777" w:rsidR="005A5BF4" w:rsidRDefault="00000000">
      <w:pPr>
        <w:spacing w:after="0" w:line="240" w:lineRule="auto"/>
        <w:ind w:left="360"/>
        <w:jc w:val="both"/>
        <w:rPr>
          <w:rFonts w:ascii="Times New Roman" w:eastAsia="Times New Roman" w:hAnsi="Times New Roman" w:cs="Times New Roman"/>
        </w:rPr>
      </w:pPr>
      <w:r>
        <w:rPr>
          <w:rStyle w:val="FootnoteReference"/>
        </w:rPr>
        <w:footnoteRef/>
      </w:r>
      <w:r>
        <w:rPr>
          <w:rFonts w:ascii="Times New Roman" w:eastAsia="Times New Roman" w:hAnsi="Times New Roman" w:cs="Times New Roman"/>
        </w:rPr>
        <w:t xml:space="preserve"> Product Liability: You’re More Exposed Than You Think by Marisa Manley </w:t>
      </w:r>
      <w:proofErr w:type="gramStart"/>
      <w:r>
        <w:rPr>
          <w:rFonts w:ascii="Times New Roman" w:eastAsia="Times New Roman" w:hAnsi="Times New Roman" w:cs="Times New Roman"/>
        </w:rPr>
        <w:t>From</w:t>
      </w:r>
      <w:proofErr w:type="gramEnd"/>
      <w:r>
        <w:rPr>
          <w:rFonts w:ascii="Times New Roman" w:eastAsia="Times New Roman" w:hAnsi="Times New Roman" w:cs="Times New Roman"/>
        </w:rPr>
        <w:t xml:space="preserve"> the Magazine (September 1987)</w:t>
      </w:r>
    </w:p>
    <w:p w14:paraId="6325F76A" w14:textId="77777777" w:rsidR="005A5BF4" w:rsidRDefault="005A5BF4">
      <w:pPr>
        <w:pBdr>
          <w:top w:val="nil"/>
          <w:left w:val="nil"/>
          <w:bottom w:val="nil"/>
          <w:right w:val="nil"/>
          <w:between w:val="nil"/>
        </w:pBdr>
        <w:spacing w:after="0" w:line="240" w:lineRule="auto"/>
        <w:rPr>
          <w:rFonts w:ascii="Times New Roman" w:eastAsia="Times New Roman" w:hAnsi="Times New Roman" w:cs="Times New Roman"/>
          <w:color w:val="000000"/>
        </w:rPr>
      </w:pPr>
    </w:p>
  </w:footnote>
  <w:footnote w:id="8">
    <w:p w14:paraId="42918E20" w14:textId="77777777" w:rsidR="005A5BF4"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Style w:val="FootnoteReference"/>
        </w:rPr>
        <w:footnoteRef/>
      </w:r>
      <w:r>
        <w:rPr>
          <w:rFonts w:ascii="Times New Roman" w:eastAsia="Times New Roman" w:hAnsi="Times New Roman" w:cs="Times New Roman"/>
          <w:color w:val="000000"/>
        </w:rPr>
        <w:t xml:space="preserve"> Leesa Bunch v. </w:t>
      </w:r>
      <w:proofErr w:type="spellStart"/>
      <w:r>
        <w:rPr>
          <w:rFonts w:ascii="Times New Roman" w:eastAsia="Times New Roman" w:hAnsi="Times New Roman" w:cs="Times New Roman"/>
          <w:color w:val="000000"/>
        </w:rPr>
        <w:t>Hoffinger</w:t>
      </w:r>
      <w:proofErr w:type="spellEnd"/>
      <w:r>
        <w:rPr>
          <w:rFonts w:ascii="Times New Roman" w:eastAsia="Times New Roman" w:hAnsi="Times New Roman" w:cs="Times New Roman"/>
          <w:color w:val="000000"/>
        </w:rPr>
        <w:t xml:space="preserve"> Industries, In., et al.</w:t>
      </w:r>
    </w:p>
  </w:footnote>
  <w:footnote w:id="9">
    <w:p w14:paraId="65063BB0" w14:textId="77777777" w:rsidR="005A5BF4"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Style w:val="FootnoteReference"/>
        </w:rPr>
        <w:footnoteRef/>
      </w:r>
      <w:r>
        <w:rPr>
          <w:rFonts w:ascii="Times New Roman" w:eastAsia="Times New Roman" w:hAnsi="Times New Roman" w:cs="Times New Roman"/>
          <w:color w:val="000000"/>
        </w:rPr>
        <w:t xml:space="preserve"> Restatement (Second) of Torts §402A (1965).</w:t>
      </w:r>
    </w:p>
  </w:footnote>
  <w:footnote w:id="10">
    <w:p w14:paraId="3B2CB584" w14:textId="77777777" w:rsidR="005A5BF4" w:rsidRDefault="00000000">
      <w:pPr>
        <w:pBdr>
          <w:top w:val="nil"/>
          <w:left w:val="nil"/>
          <w:bottom w:val="nil"/>
          <w:right w:val="nil"/>
          <w:between w:val="nil"/>
        </w:pBdr>
        <w:spacing w:after="0" w:line="240" w:lineRule="auto"/>
        <w:rPr>
          <w:color w:val="000000"/>
          <w:sz w:val="20"/>
          <w:szCs w:val="20"/>
        </w:rPr>
      </w:pPr>
      <w:r>
        <w:rPr>
          <w:rStyle w:val="FootnoteReference"/>
        </w:rPr>
        <w:footnoteRef/>
      </w:r>
      <w:r>
        <w:rPr>
          <w:rFonts w:ascii="Times New Roman" w:eastAsia="Times New Roman" w:hAnsi="Times New Roman" w:cs="Times New Roman"/>
          <w:color w:val="000000"/>
        </w:rPr>
        <w:t xml:space="preserve"> </w:t>
      </w:r>
      <w:hyperlink r:id="rId1">
        <w:r w:rsidR="005A5BF4">
          <w:rPr>
            <w:rFonts w:ascii="Times New Roman" w:eastAsia="Times New Roman" w:hAnsi="Times New Roman" w:cs="Times New Roman"/>
            <w:color w:val="0681FA"/>
            <w:u w:val="single"/>
          </w:rPr>
          <w:t>Escola v. Coca Cola Bottling Co., 150 P.2d 436, 24 Cal. 2d 453</w:t>
        </w:r>
      </w:hyperlink>
    </w:p>
  </w:footnote>
  <w:footnote w:id="11">
    <w:p w14:paraId="3D3C55FB" w14:textId="77777777" w:rsidR="005A5BF4"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Style w:val="FootnoteReference"/>
        </w:rPr>
        <w:footnoteRef/>
      </w:r>
      <w:r>
        <w:rPr>
          <w:rFonts w:ascii="Times New Roman" w:eastAsia="Times New Roman" w:hAnsi="Times New Roman" w:cs="Times New Roman"/>
          <w:color w:val="000000"/>
        </w:rPr>
        <w:t xml:space="preserve"> Under Vietnamese Law on Protection of Consumer Rights 2023</w:t>
      </w:r>
    </w:p>
    <w:p w14:paraId="4EBB4D88" w14:textId="77777777" w:rsidR="005A5BF4" w:rsidRDefault="005A5BF4">
      <w:pPr>
        <w:pBdr>
          <w:top w:val="nil"/>
          <w:left w:val="nil"/>
          <w:bottom w:val="nil"/>
          <w:right w:val="nil"/>
          <w:between w:val="nil"/>
        </w:pBdr>
        <w:spacing w:after="0" w:line="240" w:lineRule="auto"/>
        <w:rPr>
          <w:color w:val="000000"/>
          <w:sz w:val="20"/>
          <w:szCs w:val="20"/>
        </w:rPr>
      </w:pPr>
    </w:p>
  </w:footnote>
  <w:footnote w:id="12">
    <w:p w14:paraId="029A41F6" w14:textId="77777777" w:rsidR="005A5BF4"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Style w:val="FootnoteReference"/>
        </w:rPr>
        <w:footnoteRef/>
      </w:r>
      <w:r>
        <w:rPr>
          <w:rFonts w:ascii="Times New Roman" w:eastAsia="Times New Roman" w:hAnsi="Times New Roman" w:cs="Times New Roman"/>
          <w:color w:val="000000"/>
        </w:rPr>
        <w:t xml:space="preserve"> Under Vietnamese Law on Protection of Consumer Rights 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E216" w14:textId="77777777" w:rsidR="005A5BF4" w:rsidRDefault="005A5BF4">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62"/>
    <w:multiLevelType w:val="multilevel"/>
    <w:tmpl w:val="46AE0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C748CB"/>
    <w:multiLevelType w:val="multilevel"/>
    <w:tmpl w:val="A0903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F60A9C"/>
    <w:multiLevelType w:val="multilevel"/>
    <w:tmpl w:val="7E760C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19F12D1"/>
    <w:multiLevelType w:val="multilevel"/>
    <w:tmpl w:val="05C81D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D4D6895"/>
    <w:multiLevelType w:val="multilevel"/>
    <w:tmpl w:val="DE6202AA"/>
    <w:lvl w:ilvl="0">
      <w:start w:val="1"/>
      <w:numFmt w:val="decimal"/>
      <w:lvlText w:val="%1."/>
      <w:lvlJc w:val="left"/>
      <w:pPr>
        <w:ind w:left="1065" w:hanging="705"/>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0DC7BE3"/>
    <w:multiLevelType w:val="multilevel"/>
    <w:tmpl w:val="03505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64E367F"/>
    <w:multiLevelType w:val="multilevel"/>
    <w:tmpl w:val="CE5C17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BD00F5C"/>
    <w:multiLevelType w:val="multilevel"/>
    <w:tmpl w:val="C74EA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F5F3A0E"/>
    <w:multiLevelType w:val="multilevel"/>
    <w:tmpl w:val="9A60E0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18579129">
    <w:abstractNumId w:val="8"/>
  </w:num>
  <w:num w:numId="2" w16cid:durableId="1590307684">
    <w:abstractNumId w:val="5"/>
  </w:num>
  <w:num w:numId="3" w16cid:durableId="2118021921">
    <w:abstractNumId w:val="7"/>
  </w:num>
  <w:num w:numId="4" w16cid:durableId="234434888">
    <w:abstractNumId w:val="1"/>
  </w:num>
  <w:num w:numId="5" w16cid:durableId="127552634">
    <w:abstractNumId w:val="4"/>
  </w:num>
  <w:num w:numId="6" w16cid:durableId="492917430">
    <w:abstractNumId w:val="2"/>
  </w:num>
  <w:num w:numId="7" w16cid:durableId="1263075576">
    <w:abstractNumId w:val="6"/>
  </w:num>
  <w:num w:numId="8" w16cid:durableId="831994234">
    <w:abstractNumId w:val="0"/>
  </w:num>
  <w:num w:numId="9" w16cid:durableId="476608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BF4"/>
    <w:rsid w:val="003360C0"/>
    <w:rsid w:val="005A5BF4"/>
    <w:rsid w:val="006F4A25"/>
    <w:rsid w:val="00903BF8"/>
    <w:rsid w:val="00A6589B"/>
    <w:rsid w:val="00B21C4B"/>
    <w:rsid w:val="00D81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BE504"/>
  <w15:docId w15:val="{E5797A60-34CB-4A03-8314-0DF4EDDC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ng-star-inserted">
    <w:name w:val="ng-star-inserted"/>
    <w:basedOn w:val="DefaultParagraphFont"/>
    <w:rsid w:val="00F846CE"/>
  </w:style>
  <w:style w:type="character" w:customStyle="1" w:styleId="Heading3Char">
    <w:name w:val="Heading 3 Char"/>
    <w:basedOn w:val="DefaultParagraphFont"/>
    <w:link w:val="Heading3"/>
    <w:uiPriority w:val="9"/>
    <w:rsid w:val="00F846CE"/>
    <w:rPr>
      <w:rFonts w:ascii="Times New Roman" w:eastAsia="Times New Roman" w:hAnsi="Times New Roman" w:cs="Times New Roman"/>
      <w:b/>
      <w:bCs/>
      <w:sz w:val="27"/>
      <w:szCs w:val="27"/>
      <w:lang w:eastAsia="de-DE"/>
    </w:rPr>
  </w:style>
  <w:style w:type="paragraph" w:styleId="NormalWeb">
    <w:name w:val="Normal (Web)"/>
    <w:basedOn w:val="Normal"/>
    <w:uiPriority w:val="99"/>
    <w:unhideWhenUsed/>
    <w:rsid w:val="00F846C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Strong">
    <w:name w:val="Strong"/>
    <w:basedOn w:val="DefaultParagraphFont"/>
    <w:uiPriority w:val="22"/>
    <w:qFormat/>
    <w:rsid w:val="00F846CE"/>
    <w:rPr>
      <w:b/>
      <w:bCs/>
    </w:rPr>
  </w:style>
  <w:style w:type="character" w:styleId="Emphasis">
    <w:name w:val="Emphasis"/>
    <w:basedOn w:val="DefaultParagraphFont"/>
    <w:uiPriority w:val="20"/>
    <w:qFormat/>
    <w:rsid w:val="00F846CE"/>
    <w:rPr>
      <w:i/>
      <w:iCs/>
    </w:rPr>
  </w:style>
  <w:style w:type="character" w:customStyle="1" w:styleId="Heading1Char">
    <w:name w:val="Heading 1 Char"/>
    <w:basedOn w:val="DefaultParagraphFont"/>
    <w:link w:val="Heading1"/>
    <w:uiPriority w:val="9"/>
    <w:rsid w:val="00D06A0D"/>
    <w:rPr>
      <w:rFonts w:asciiTheme="majorHAnsi" w:eastAsiaTheme="majorEastAsia" w:hAnsiTheme="majorHAnsi" w:cstheme="majorBidi"/>
      <w:b/>
      <w:bCs/>
      <w:color w:val="365F91" w:themeColor="accent1" w:themeShade="BF"/>
      <w:sz w:val="28"/>
      <w:szCs w:val="28"/>
    </w:rPr>
  </w:style>
  <w:style w:type="character" w:customStyle="1" w:styleId="apple-tab-span">
    <w:name w:val="apple-tab-span"/>
    <w:basedOn w:val="DefaultParagraphFont"/>
    <w:rsid w:val="00281EE8"/>
  </w:style>
  <w:style w:type="character" w:styleId="Hyperlink">
    <w:name w:val="Hyperlink"/>
    <w:basedOn w:val="DefaultParagraphFont"/>
    <w:uiPriority w:val="99"/>
    <w:unhideWhenUsed/>
    <w:rsid w:val="00281EE8"/>
    <w:rPr>
      <w:color w:val="0000FF"/>
      <w:u w:val="single"/>
    </w:rPr>
  </w:style>
  <w:style w:type="character" w:customStyle="1" w:styleId="Heading2Char">
    <w:name w:val="Heading 2 Char"/>
    <w:basedOn w:val="DefaultParagraphFont"/>
    <w:link w:val="Heading2"/>
    <w:uiPriority w:val="9"/>
    <w:semiHidden/>
    <w:rsid w:val="00281EE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281EE8"/>
    <w:pPr>
      <w:ind w:left="720"/>
      <w:contextualSpacing/>
    </w:pPr>
  </w:style>
  <w:style w:type="table" w:styleId="TableGrid">
    <w:name w:val="Table Grid"/>
    <w:basedOn w:val="TableNormal"/>
    <w:uiPriority w:val="59"/>
    <w:rsid w:val="002C4E7D"/>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3F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FFF"/>
  </w:style>
  <w:style w:type="paragraph" w:styleId="Footer">
    <w:name w:val="footer"/>
    <w:basedOn w:val="Normal"/>
    <w:link w:val="FooterChar"/>
    <w:uiPriority w:val="99"/>
    <w:unhideWhenUsed/>
    <w:rsid w:val="009D3F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FFF"/>
  </w:style>
  <w:style w:type="paragraph" w:styleId="BalloonText">
    <w:name w:val="Balloon Text"/>
    <w:basedOn w:val="Normal"/>
    <w:link w:val="BalloonTextChar"/>
    <w:uiPriority w:val="99"/>
    <w:semiHidden/>
    <w:unhideWhenUsed/>
    <w:rsid w:val="006568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896"/>
    <w:rPr>
      <w:rFonts w:ascii="Tahoma" w:hAnsi="Tahoma" w:cs="Tahoma"/>
      <w:sz w:val="16"/>
      <w:szCs w:val="16"/>
    </w:rPr>
  </w:style>
  <w:style w:type="paragraph" w:styleId="FootnoteText">
    <w:name w:val="footnote text"/>
    <w:basedOn w:val="Normal"/>
    <w:link w:val="FootnoteTextChar"/>
    <w:uiPriority w:val="99"/>
    <w:semiHidden/>
    <w:unhideWhenUsed/>
    <w:rsid w:val="006568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6896"/>
    <w:rPr>
      <w:sz w:val="20"/>
      <w:szCs w:val="20"/>
    </w:rPr>
  </w:style>
  <w:style w:type="character" w:styleId="FootnoteReference">
    <w:name w:val="footnote reference"/>
    <w:basedOn w:val="DefaultParagraphFont"/>
    <w:uiPriority w:val="99"/>
    <w:semiHidden/>
    <w:unhideWhenUsed/>
    <w:rsid w:val="00656896"/>
    <w:rPr>
      <w:vertAlign w:val="superscript"/>
    </w:rPr>
  </w:style>
  <w:style w:type="paragraph" w:styleId="EndnoteText">
    <w:name w:val="endnote text"/>
    <w:basedOn w:val="Normal"/>
    <w:link w:val="EndnoteTextChar"/>
    <w:uiPriority w:val="99"/>
    <w:semiHidden/>
    <w:unhideWhenUsed/>
    <w:rsid w:val="007A4C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A4C8D"/>
    <w:rPr>
      <w:sz w:val="20"/>
      <w:szCs w:val="20"/>
    </w:rPr>
  </w:style>
  <w:style w:type="character" w:styleId="EndnoteReference">
    <w:name w:val="endnote reference"/>
    <w:basedOn w:val="DefaultParagraphFont"/>
    <w:uiPriority w:val="99"/>
    <w:semiHidden/>
    <w:unhideWhenUsed/>
    <w:rsid w:val="007A4C8D"/>
    <w:rPr>
      <w:vertAlign w:val="superscript"/>
    </w:rPr>
  </w:style>
  <w:style w:type="paragraph" w:customStyle="1" w:styleId="u-mb-none">
    <w:name w:val="u-mb-none"/>
    <w:basedOn w:val="Normal"/>
    <w:rsid w:val="00663A55"/>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TOCHeading">
    <w:name w:val="TOC Heading"/>
    <w:basedOn w:val="Heading1"/>
    <w:next w:val="Normal"/>
    <w:uiPriority w:val="39"/>
    <w:unhideWhenUsed/>
    <w:qFormat/>
    <w:rsid w:val="00D511A4"/>
    <w:pPr>
      <w:spacing w:before="240" w:line="259" w:lineRule="auto"/>
      <w:outlineLvl w:val="9"/>
    </w:pPr>
    <w:rPr>
      <w:b w:val="0"/>
      <w:bCs w:val="0"/>
      <w:sz w:val="32"/>
      <w:szCs w:val="32"/>
      <w:lang w:val="en-US"/>
    </w:rPr>
  </w:style>
  <w:style w:type="paragraph" w:styleId="TOC1">
    <w:name w:val="toc 1"/>
    <w:basedOn w:val="Normal"/>
    <w:next w:val="Normal"/>
    <w:autoRedefine/>
    <w:uiPriority w:val="39"/>
    <w:unhideWhenUsed/>
    <w:rsid w:val="00D511A4"/>
    <w:pPr>
      <w:spacing w:after="100"/>
    </w:pPr>
  </w:style>
  <w:style w:type="paragraph" w:styleId="TOC2">
    <w:name w:val="toc 2"/>
    <w:basedOn w:val="Normal"/>
    <w:next w:val="Normal"/>
    <w:autoRedefine/>
    <w:uiPriority w:val="39"/>
    <w:unhideWhenUsed/>
    <w:rsid w:val="00D511A4"/>
    <w:pPr>
      <w:spacing w:after="100"/>
      <w:ind w:left="220"/>
    </w:pPr>
  </w:style>
  <w:style w:type="paragraph" w:styleId="TOC3">
    <w:name w:val="toc 3"/>
    <w:basedOn w:val="Normal"/>
    <w:next w:val="Normal"/>
    <w:autoRedefine/>
    <w:uiPriority w:val="39"/>
    <w:unhideWhenUsed/>
    <w:rsid w:val="00007E0F"/>
    <w:pPr>
      <w:tabs>
        <w:tab w:val="right" w:leader="dot" w:pos="9016"/>
      </w:tabs>
      <w:spacing w:after="100"/>
      <w:ind w:left="440"/>
    </w:pPr>
    <w:rPr>
      <w:noProof/>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rPr>
      <w:sz w:val="24"/>
      <w:szCs w:val="24"/>
    </w:r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aw.justia.com/cases/california/court-of-appeal/3d/119/757.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schmidtandclark.com/design-defect?utm_source=chatgpt.com"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chmidtandclark.com/design-defect?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tudybuddypro.com/topic/escola-v-coca-cola-bottling-co-of-fresno-5/?utm_source=casebrie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PqFVhvrvDwwaZ5f7MwVDWPh00g==">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6926</Words>
  <Characters>39483</Characters>
  <Application>Microsoft Office Word</Application>
  <DocSecurity>0</DocSecurity>
  <Lines>329</Lines>
  <Paragraphs>92</Paragraphs>
  <ScaleCrop>false</ScaleCrop>
  <Company/>
  <LinksUpToDate>false</LinksUpToDate>
  <CharactersWithSpaces>46317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Do Hai Minh</cp:lastModifiedBy>
  <cp:revision>3</cp:revision>
  <dcterms:created xsi:type="dcterms:W3CDTF">2025-12-29T15:44:00Z</dcterms:created>
  <dcterms:modified xsi:type="dcterms:W3CDTF">2025-12-30T07:22:00Z</dcterms:modified>
</cp:coreProperties>
</file>