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F419BF">
          <w:rPr>
            <w:noProof/>
            <w:webHidden/>
          </w:rPr>
          <w:t>4</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F419BF">
          <w:rPr>
            <w:noProof/>
            <w:webHidden/>
          </w:rPr>
          <w:t>6</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F419BF">
          <w:rPr>
            <w:noProof/>
            <w:webHidden/>
          </w:rPr>
          <w:t>7</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F419BF">
          <w:rPr>
            <w:noProof/>
            <w:webHidden/>
          </w:rPr>
          <w:t>8</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F419BF">
          <w:rPr>
            <w:noProof/>
            <w:webHidden/>
          </w:rPr>
          <w:t>14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F419BF">
          <w:rPr>
            <w:noProof/>
            <w:webHidden/>
          </w:rPr>
          <w:t>17</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F419BF">
          <w:rPr>
            <w:noProof/>
            <w:webHidden/>
          </w:rPr>
          <w:t>22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F419BF">
          <w:rPr>
            <w:noProof/>
            <w:webHidden/>
          </w:rPr>
          <w:t>23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F419BF">
          <w:rPr>
            <w:noProof/>
            <w:webHidden/>
          </w:rPr>
          <w:t>28</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F419BF">
          <w:rPr>
            <w:noProof/>
            <w:webHidden/>
          </w:rPr>
          <w:t>29</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F419BF">
          <w:rPr>
            <w:noProof/>
            <w:webHidden/>
          </w:rPr>
          <w:t>30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F419BF">
          <w:rPr>
            <w:noProof/>
            <w:webHidden/>
          </w:rPr>
          <w:t>31</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F419BF">
          <w:rPr>
            <w:noProof/>
            <w:webHidden/>
          </w:rPr>
          <w:t>36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F419BF">
          <w:rPr>
            <w:noProof/>
            <w:webHidden/>
          </w:rPr>
          <w:t>38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F419BF">
          <w:rPr>
            <w:noProof/>
            <w:webHidden/>
          </w:rPr>
          <w:t>45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F419BF">
          <w:rPr>
            <w:noProof/>
            <w:webHidden/>
          </w:rPr>
          <w:t>48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F419BF">
          <w:rPr>
            <w:noProof/>
            <w:webHidden/>
          </w:rPr>
          <w:t>55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F419BF">
          <w:rPr>
            <w:noProof/>
            <w:webHidden/>
          </w:rPr>
          <w:t>58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F419BF">
          <w:rPr>
            <w:noProof/>
            <w:webHidden/>
          </w:rPr>
          <w:t>64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F419BF">
          <w:rPr>
            <w:noProof/>
            <w:webHidden/>
          </w:rPr>
          <w:t>65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F419BF">
          <w:rPr>
            <w:noProof/>
            <w:webHidden/>
          </w:rPr>
          <w:t>70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F419BF">
          <w:rPr>
            <w:noProof/>
            <w:webHidden/>
          </w:rPr>
          <w:t>72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F419BF">
          <w:rPr>
            <w:noProof/>
            <w:webHidden/>
          </w:rPr>
          <w:t>79</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F419BF">
          <w:rPr>
            <w:noProof/>
            <w:webHidden/>
          </w:rPr>
          <w:t>83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F419BF">
          <w:rPr>
            <w:noProof/>
            <w:webHidden/>
          </w:rPr>
          <w:t>85</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F419BF">
          <w:rPr>
            <w:noProof/>
            <w:webHidden/>
          </w:rPr>
          <w:t>88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F419BF">
          <w:rPr>
            <w:noProof/>
            <w:webHidden/>
          </w:rPr>
          <w:t>93</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F419BF">
          <w:rPr>
            <w:noProof/>
            <w:webHidden/>
          </w:rPr>
          <w:t>95</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419B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F419BF">
          <w:rPr>
            <w:noProof/>
            <w:webHidden/>
          </w:rPr>
          <w:t>19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F419BF">
          <w:rPr>
            <w:noProof/>
            <w:webHidden/>
          </w:rPr>
          <w:t>27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F419BF">
          <w:rPr>
            <w:noProof/>
            <w:webHidden/>
          </w:rPr>
          <w:t>39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F419BF">
          <w:rPr>
            <w:noProof/>
            <w:webHidden/>
          </w:rPr>
          <w:t>55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F419BF">
          <w:rPr>
            <w:noProof/>
            <w:webHidden/>
          </w:rPr>
          <w:t>63</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F419BF">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419BF">
          <w:rPr>
            <w:noProof/>
            <w:webHidden/>
          </w:rPr>
          <w:t>13</w:t>
        </w:r>
        <w:r>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F419BF">
          <w:rPr>
            <w:noProof/>
            <w:webHidden/>
          </w:rPr>
          <w:t>18</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F419BF">
          <w:rPr>
            <w:noProof/>
            <w:webHidden/>
          </w:rPr>
          <w:t>25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F419BF">
          <w:rPr>
            <w:noProof/>
            <w:webHidden/>
          </w:rPr>
          <w:t>42</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F419BF">
          <w:rPr>
            <w:noProof/>
            <w:webHidden/>
          </w:rPr>
          <w:t>64</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F419BF">
          <w:rPr>
            <w:noProof/>
            <w:webHidden/>
          </w:rPr>
          <w:t>67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F419BF">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thuộc Sysmon Event ID 1), nạp thư viện động (ImageLoaded thuộc Sysmon Event ID 7), thao tác tệp tin (open, unlink, FileCreate thuộc Sysmon Event ID 11), sửa đổi cấu hình registry (RegSetValue thuộc Sysmon Event ID 13), cùng các thao tác mở và kết nối </w:t>
      </w:r>
      <w:r>
        <w:lastRenderedPageBreak/>
        <w:t>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419BF">
        <w:t>Hình 1.</w:t>
      </w:r>
      <w:r w:rsidR="00F419BF">
        <w:rPr>
          <w:noProof/>
        </w:rPr>
        <w:t>1</w:t>
      </w:r>
      <w:r>
        <w:fldChar w:fldCharType="end"/>
      </w:r>
      <w:r>
        <w:t xml:space="preserve"> và chi tiết hóa trong </w:t>
      </w:r>
      <w:r>
        <w:fldChar w:fldCharType="begin"/>
      </w:r>
      <w:r>
        <w:instrText xml:space="preserve">REF BK_TBL_1_001 \h </w:instrText>
      </w:r>
      <w:r>
        <w:fldChar w:fldCharType="separate"/>
      </w:r>
      <w:r w:rsidR="00F419BF">
        <w:t>Bảng 1.</w:t>
      </w:r>
      <w:r w:rsidR="00F419B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419BF">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pPr>
        <w:spacing w:after="120" w:line="360" w:lineRule="auto"/>
        <w:ind w:firstLine="720"/>
      </w:pPr>
      <w:r>
        <w:rPr>
          <w:sz w:val="28"/>
        </w:rP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sz w:val="28"/>
        </w:rPr>
        <w:t xml:space="preserve">[4]</w:t>
      </w:r>
      <w:r>
        <w:fldChar w:fldCharType="end"/>
      </w:r>
      <w:r>
        <w:rPr>
          <w:sz w:val="28"/>
        </w:rP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nghiên cứu tổng hợp ba cấu trúc phân tích đặc thù sau (đây là cấu trúc phân loại do đề tài tự tổng hợp, không phải taxonomy chính thức của MITRE ATT&amp;CK): </w:t>
      </w:r>
      <w:r>
        <w:rPr>
          <w:i/>
          <w:sz w:val="28"/>
        </w:rPr>
        <w:t xml:space="preserve">Một là,</w:t>
      </w:r>
      <w:r>
        <w:rPr>
          <w:sz w:val="28"/>
        </w:rP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sz w:val="28"/>
        </w:rPr>
        <w:t xml:space="preserve">Hai là,</w:t>
      </w:r>
      <w:r>
        <w:rPr>
          <w:sz w:val="28"/>
        </w:rP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sz w:val="28"/>
        </w:rPr>
        <w:t xml:space="preserve">Ba là,</w:t>
      </w:r>
      <w:r>
        <w:rPr>
          <w:sz w:val="28"/>
        </w:rP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419BF">
        <w:t>Hình 1.</w:t>
      </w:r>
      <w:r w:rsidR="00F419BF">
        <w:rPr>
          <w:noProof/>
        </w:rPr>
        <w:t>2</w:t>
      </w:r>
      <w:r>
        <w:fldChar w:fldCharType="end"/>
      </w:r>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3"/>
    </w:p>
    <w:p w:rsidR="00024E08" w:rsidRDefault="00AB6848">
      <w:pPr>
        <w:spacing w:after="120" w:line="360" w:lineRule="auto"/>
      </w:pPr>
      <w:r>
        <w:rPr>
          <w:rFonts w:eastAsia="Times New Roman"/>
        </w:rP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pPr>
        <w:spacing w:after="120" w:line="360" w:lineRule="auto"/>
        <w:ind w:firstLine="720"/>
      </w:pPr>
      <w:r>
        <w:rPr>
          <w:sz w:val="28"/>
        </w:rP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w:t>
      </w:r>
      <w:r>
        <w:rPr>
          <w:i/>
          <w:sz w:val="28"/>
        </w:rPr>
        <w:t xml:space="preserve">Một là,</w:t>
      </w:r>
      <w:r>
        <w:rPr>
          <w:sz w:val="28"/>
        </w:rPr>
        <w:t xml:space="preserve"> bộ dữ liệu DARPA Transparent Computing Engagement #3 (TC E3, diễn ra vào tháng 4/2018) </w:t>
      </w:r>
      <w:r>
        <w:fldChar w:fldCharType="begin"/>
      </w:r>
      <w:r>
        <w:instrText xml:space="preserve">CITATION SRC000028 \l 1033 </w:instrText>
      </w:r>
      <w:r>
        <w:fldChar w:fldCharType="separate"/>
      </w:r>
      <w:r>
        <w:rPr>
          <w:noProof/>
          <w:sz w:val="28"/>
        </w:rPr>
        <w:t xml:space="preserve">[12]</w:t>
      </w:r>
      <w:r>
        <w:fldChar w:fldCharType="end"/>
      </w:r>
      <w:r>
        <w:rPr>
          <w:sz w:val="28"/>
        </w:rPr>
        <w:t xml:space="preserve"> và Engagement #5 (TC E5) </w:t>
      </w:r>
      <w:r>
        <w:fldChar w:fldCharType="begin"/>
      </w:r>
      <w:r>
        <w:instrText xml:space="preserve">CITATION SRC000045 \l 1033 </w:instrText>
      </w:r>
      <w:r>
        <w:fldChar w:fldCharType="separate"/>
      </w:r>
      <w:r>
        <w:rPr>
          <w:noProof/>
          <w:sz w:val="28"/>
        </w:rPr>
        <w:t xml:space="preserve">[43]</w:t>
      </w:r>
      <w:r>
        <w:fldChar w:fldCharType="end"/>
      </w:r>
      <w:r>
        <w:rPr>
          <w:sz w:val="28"/>
        </w:rP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sz w:val="28"/>
        </w:rPr>
        <w:t xml:space="preserve">Hai là,</w:t>
      </w:r>
      <w:r>
        <w:rPr>
          <w:sz w:val="28"/>
        </w:rPr>
        <w:t xml:space="preserve"> bộ dữ liệu LANL Unified Host and Network Dataset (Kent, 2015) </w:t>
      </w:r>
      <w:r>
        <w:fldChar w:fldCharType="begin"/>
      </w:r>
      <w:r>
        <w:instrText xml:space="preserve">CITATION SRC000029 \l 1033 </w:instrText>
      </w:r>
      <w:r>
        <w:fldChar w:fldCharType="separate"/>
      </w:r>
      <w:r>
        <w:rPr>
          <w:noProof/>
          <w:sz w:val="28"/>
        </w:rPr>
        <w:t xml:space="preserve">[13]</w:t>
      </w:r>
      <w:r>
        <w:fldChar w:fldCharType="end"/>
      </w:r>
      <w:r>
        <w:rPr>
          <w:sz w:val="28"/>
        </w:rP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w:t>
      </w:r>
      <w:r>
        <w:rPr>
          <w:i/>
          <w:sz w:val="28"/>
        </w:rPr>
        <w:t xml:space="preserve">Ba là,</w:t>
      </w:r>
      <w:r>
        <w:rPr>
          <w:sz w:val="28"/>
        </w:rPr>
        <w:t xml:space="preserve"> bộ dữ liệu HDFS (Xu et al.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phản ánh trạng thái bình thường hoặc bất thường của một phiên giao tác phân tán hoàn chỉnh; </w:t>
      </w:r>
      <w:r>
        <w:rPr>
          <w:i/>
          <w:sz w:val="28"/>
        </w:rPr>
        <w:t xml:space="preserve">Bốn là,</w:t>
      </w:r>
      <w:r>
        <w:rPr>
          <w:sz w:val="28"/>
        </w:rPr>
        <w:t xml:space="preserve"> bộ dữ liệu BGL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w:t>
      </w:r>
    </w:p>
    <w:p>
      <w:pPr>
        <w:spacing w:after="120" w:line="360" w:lineRule="auto"/>
        <w:ind w:firstLine="720"/>
      </w:pPr>
      <w:r>
        <w:rPr>
          <w:sz w:val="28"/>
        </w:rPr>
        <w:t xml:space="preserve">Đặc biệt, sự xuất hiện của nhiễu từ hành vi quản trị viên (Admin-Noise) là một thách thức vận hành thực tế. Các quản trị viên hệ thống thường xuyên sử dụng các công cụ hợp lệ như PowerShell, SSH, WMI và các lệnh nội bộ tương tự như kỹ thuật kẻ tấn công sử dụng; hiện tượng này được đề tài xác lập dưới dạng một giả thuyết nghiên cứu cần kiểm thử thực nghiệm trong không gian đặc trưng hành vi, đòi hỏi mô hình học sâu không dừng lại ở các mẫu cú pháp bề mặt mà phải nắm bắt được tương quan phụ thuộc cấu trúc và ngữ cảnh thực thi sâu.</w:t>
      </w:r>
    </w:p>
    <w:p w:rsidR="00024E08" w:rsidRDefault="00AB6848">
      <w:pPr>
        <w:pStyle w:val="Heading3"/>
        <w:spacing w:before="200" w:after="120"/>
      </w:pPr>
      <w:bookmarkStart w:id="14" w:name="_Toc239982744"/>
      <w:r>
        <w:rPr>
          <w:b/>
        </w:rPr>
        <w:lastRenderedPageBreak/>
        <w:t>Các mức biểu diễn dữ liệu và Hợp đồng Biểu diễn (Representation Contract)</w:t>
      </w:r>
      <w:bookmarkEnd w:id="14"/>
    </w:p>
    <w:p>
      <w:pPr>
        <w:spacing w:after="120" w:line="360" w:lineRule="auto"/>
        <w:ind w:firstLine="720"/>
      </w:pPr>
      <w:r>
        <w:rPr>
          <w:sz w:val="28"/>
        </w:rP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sz w:val="28"/>
        </w:rPr>
        <w:t xml:space="preserve">z</w:t>
      </w:r>
      <w:r>
        <w:rPr>
          <w:sz w:val="28"/>
        </w:rP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sz w:val="28"/>
        </w:rPr>
        <w:t xml:space="preserve">z</w:t>
      </w:r>
      <w:r>
        <w:rPr>
          <w:sz w:val="28"/>
        </w:rPr>
        <w:t xml:space="preserve">. Do đó, để định hình không gian biểu diễn phục vụ mục tiêu an ninh,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rPr>
          <w:sz w:val="28"/>
        </w:rPr>
        <w:t xml:space="preserve">, đóng vai trò như một bản đặc tả các ràng buộc toán học và ngữ nghĩa giữa dữ liệu thô và không gian vector tiềm ẩn </w:t>
      </w:r>
      <w:r>
        <w:rPr>
          <w:i/>
          <w:sz w:val="28"/>
        </w:rPr>
        <w:t xml:space="preserve">z</w:t>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pPr>
        <w:spacing w:after="120" w:line="360" w:lineRule="auto"/>
        <w:ind w:firstLine="720"/>
      </w:pPr>
      <w:r>
        <w:rPr>
          <w:sz w:val="28"/>
        </w:rPr>
        <w:t xml:space="preserve">Ba là, nhóm Điều kiện Triệt tiêu (EXCLUDE, E_exclude): Tập hợp các thông tin giả tạo và biến số ngoài miền bắt buộc phải bị loại bỏ/triệt tiêu khỏi không gian vector </w:t>
      </w:r>
      <w:r>
        <w:rPr>
          <w:i/>
          <w:sz w:val="28"/>
        </w:rPr>
        <w:t xml:space="preserve">z</w:t>
      </w:r>
      <w:r>
        <w:rPr>
          <w:sz w:val="28"/>
        </w:rPr>
        <w:t xml:space="preserve"> nhằm ngăn ngừa rủi ro học đường tắt (Shortcut Learning)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Bao gồm: các mẫu định dạng đặc thù của môi trường thử nghiệm (Testbed-specific artifacts), các biến số gây rò rỉ phân vùng dữ liệu và đánh cắp thời gian (Partition-leakage and temporal snooping variables như dấu thời gian tuyệt đối của máy thí nghiệm, hostname cố định của môi trường lab)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F419BF">
        <w:t>Bảng 1.</w:t>
      </w:r>
      <w:r w:rsidR="00F419BF">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Snooping Test, Feature-leakage / Re-identification Audit</w:t>
            </w:r>
          </w:p>
        </w:tc>
      </w:tr>
    </w:tbl>
    <w:p w:rsidR="00024E08" w:rsidRDefault="00024E08">
      <w:pPr>
        <w:spacing w:after="120" w:line="360" w:lineRule="auto"/>
      </w:pPr>
    </w:p>
    <w:p>
      <w:pPr>
        <w:spacing w:after="120" w:line="360" w:lineRule="auto"/>
        <w:ind w:firstLine="720"/>
      </w:pPr>
      <w:r>
        <w:rPr>
          <w:sz w:val="28"/>
        </w:rP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sz w:val="28"/>
        </w:rPr>
        <w:t xml:space="preserve">Một là,</w:t>
      </w:r>
      <w:r>
        <w:rPr>
          <w:sz w:val="28"/>
        </w:rP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sz w:val="28"/>
        </w:rPr>
        <w:t xml:space="preserve">Hai là,</w:t>
      </w:r>
      <w:r>
        <w:rPr>
          <w:sz w:val="28"/>
        </w:rPr>
        <w:t xml:space="preserve"> thử nghiệm thực nghiệm khả năng chống tấn công suy luận thành viên (Membership Inference Attack - MIA)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nhằm đánh giá xem kẻ tấn công có thể xác định một bản ghi nhật ký cụ thể có thuộc tập huấn luyện hay không; </w:t>
      </w:r>
      <w:r>
        <w:rPr>
          <w:i/>
          <w:sz w:val="28"/>
        </w:rPr>
        <w:t xml:space="preserve">Ba là,</w:t>
      </w:r>
      <w:r>
        <w:rPr>
          <w:sz w:val="28"/>
        </w:rPr>
        <w:t xml:space="preserve"> thử nghiệm thực nghiệm khả năng chống tấn công đảo ngược mô hình (Model Inversion Attack)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nhằm đánh giá rủi ro khôi phục thông tin cấu hình từ vector biểu diễn tiềm ẩn; </w:t>
      </w:r>
      <w:r>
        <w:rPr>
          <w:i/>
          <w:sz w:val="28"/>
        </w:rPr>
        <w:t xml:space="preserve">Bốn là,</w:t>
      </w:r>
      <w:r>
        <w:rPr>
          <w:sz w:val="28"/>
        </w:rPr>
        <w:t xml:space="preserve">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Cần khẳng định rằng vector biểu diễn tiềm ẩn không tự động an toàn về quyền riêng tư nếu không có cơ chế chứng minh toán học tường minh; việc áp dụng các phép thử nghiệm MIA hay Model Inversion là các bước kiểm chứng thực nghiệm độc lập của đề tài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trong khi khung DP cung cấp công cụ định lượng độ mất mát quyền riêng tư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F419BF">
        <w:t>Bảng 1.</w:t>
      </w:r>
      <w:r w:rsidR="00F419B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419BF">
        <w:t>Hình 1.</w:t>
      </w:r>
      <w:r w:rsidR="00F419B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pPr>
        <w:spacing w:after="120" w:line="360" w:lineRule="auto"/>
        <w:ind w:firstLine="720"/>
      </w:pPr>
      <w:r>
        <w:rPr>
          <w:sz w:val="28"/>
        </w:rPr>
        <w:t xml:space="preserve">2. Tầng 2 tập trung học không gian biểu diễn, giữ vai trò trọng tâm của Chuyên đề: Thiết lập kiến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sz w:val="28"/>
        </w:rPr>
        <w:t xml:space="preserve"> và các đầu chiếu/dự đoán phụ trợ (projection/prediction heads) để chuyển đổi cấu trúc chuỗi sự kiện và đồ thị nguồn gốc sang không gian vector tiềm ẩn. Các hàm mất mát tự giám sát (như dự đoán tham số bị che, dự đoán sự kiện tiếp theo, dự đoán quan hệ đồ thị và căn chỉnh thời gian) được thiết kế như các mục tiêu tối ưu hóa (optimization objectives) cụ thể để khuyến khích không gian biểu diễn z lưu giữ những tín hiệu phục vụ các ràng buộc PRESERVE và INVARIANT; chúng không phải là bằng chứng khoa học trực tiếp chứng minh mô hình đã tự động hiểu an ninh hay nhân quả, và mức độ đạt được bắt buộc phải được kiểm chứng downstream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3. Tầng 3 thực hiện phát hiện và phân loại hạ nguồn (Downstream Detection): Đánh giá chất lượng của vector biểu diễn z thông qua giao thức đóng băng encoder và huấn luyện đầu phân loại tuyến tính (Frozen Linear Probing theo chuẩn mực SimCLR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B869F6">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pPr>
        <w:spacing w:after="120" w:line="360" w:lineRule="auto"/>
      </w:pPr>
      <w:r>
        <w:rPr>
          <w:sz w:val="28"/>
        </w:rPr>
        <w:t xml:space="preserve">Trong đó tham số </w:t>
      </w:r>
      <m:oMath>
        <m:r>
          <w:rPr>
            <w:rFonts w:ascii="Cambria Math" w:hAnsi="Cambria Math"/>
          </w:rPr>
          <m:t>θ</m:t>
        </m:r>
      </m:oMath>
      <w:r>
        <w:rPr>
          <w:sz w:val="28"/>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(linear accessibility)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AB6848">
      <w:pPr>
        <w:pStyle w:val="Heading2"/>
        <w:spacing w:before="280" w:after="160"/>
      </w:pPr>
      <w:bookmarkStart w:id="19" w:name="_Toc239982745"/>
      <w:r>
        <w:t>Phân tích so sánh các nhóm phương pháp hiện đại</w:t>
      </w:r>
      <w:bookmarkEnd w:id="19"/>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9982746"/>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9982747"/>
      <w:r>
        <w:rPr>
          <w:b/>
        </w:rPr>
        <w:t>Phương pháp semantic–sequential: Embeddings, Self-Supervised Learning, Transformer và Parsing-Free</w:t>
      </w:r>
      <w:bookmarkEnd w:id="21"/>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pPr>
        <w:spacing w:after="120" w:line="360" w:lineRule="auto"/>
        <w:ind w:firstLine="720"/>
      </w:pPr>
      <w:r>
        <w:rPr>
          <w:sz w:val="28"/>
        </w:rPr>
        <w:t xml:space="preserve">Khởi đầu cho hướng nghiên cứu này là mô hình DeepLog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 DeepLog không chỉ phân tích chuỗi mã sự kiện log mà còn là một khung làm việc toàn diện gồm hai thành phần mô hình hóa: </w:t>
      </w:r>
      <w:r>
        <w:rPr>
          <w:i/>
          <w:sz w:val="28"/>
        </w:rPr>
        <w:t xml:space="preserve">Một là,</w:t>
      </w:r>
      <w:r>
        <w:rPr>
          <w:sz w:val="28"/>
        </w:rP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rPr>
          <w:sz w:val="28"/>
        </w:rPr>
        <w:t xml:space="preserve">; </w:t>
      </w:r>
      <w:r>
        <w:rPr>
          <w:i/>
          <w:sz w:val="28"/>
        </w:rPr>
        <w:t xml:space="preserve">Hai là,</w:t>
      </w:r>
      <w:r>
        <w:rPr>
          <w:sz w:val="28"/>
        </w:rP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pPr>
        <w:spacing w:after="120" w:line="360" w:lineRule="auto"/>
        <w:ind w:firstLine="720"/>
      </w:pPr>
      <w:r>
        <w:rPr>
          <w:sz w:val="28"/>
        </w:rP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sz w:val="28"/>
        </w:rPr>
        <w:t xml:space="preserve">[22]</w:t>
      </w:r>
      <w:r>
        <w:fldChar w:fldCharType="end"/>
      </w:r>
      <w:r>
        <w:rPr>
          <w:sz w:val="28"/>
        </w:rP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sz w:val="28"/>
        </w:rPr>
        <w:t xml:space="preserve">[23]</w:t>
      </w:r>
      <w:r>
        <w:fldChar w:fldCharType="end"/>
      </w:r>
      <w:r>
        <w:rPr>
          <w:sz w:val="28"/>
        </w:rP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sz w:val="28"/>
        </w:rPr>
        <w:t xml:space="preserve">[20]</w:t>
      </w:r>
      <w:r>
        <w:fldChar w:fldCharType="end"/>
      </w:r>
      <w:r>
        <w:rPr>
          <w:sz w:val="28"/>
        </w:rP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Trong kiến trúc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sz w:val="28"/>
        </w:rPr>
        <w:t xml:space="preserve">[21]</w:t>
      </w:r>
      <w:r>
        <w:fldChar w:fldCharType="end"/>
      </w:r>
      <w:r>
        <w:rPr>
          <w:sz w:val="28"/>
        </w:rP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(2) Chi phí tài nguyên tính toán: cơ chế Self-Attention trong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9982748"/>
      <w:r>
        <w:rPr>
          <w:b/>
        </w:rPr>
        <w:t>Đồ thị nguồn gốc và Graph Representation Learning</w:t>
      </w:r>
      <w:bookmarkEnd w:id="22"/>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pPr>
        <w:spacing w:after="120" w:line="360" w:lineRule="auto"/>
        <w:ind w:firstLine="720"/>
      </w:pPr>
      <w:r>
        <w:rPr>
          <w:sz w:val="28"/>
        </w:rP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SRC000010 \l 1033 </w:instrText>
      </w:r>
      <w:r>
        <w:fldChar w:fldCharType="separate"/>
      </w:r>
      <w:r>
        <w:rPr>
          <w:noProof/>
          <w:sz w:val="28"/>
        </w:rPr>
        <w:t xml:space="preserve">[5]</w:t>
      </w:r>
      <w:r>
        <w:fldChar w:fldCharType="end"/>
      </w:r>
      <w:r>
        <w:rPr>
          <w:sz w:val="28"/>
        </w:rPr>
        <w:t xml:space="preserve">: (1) UNICORN </w:t>
      </w:r>
      <w:r>
        <w:fldChar w:fldCharType="begin"/>
      </w:r>
      <w:r>
        <w:instrText xml:space="preserve">CITATION SRC000011 \l 1033 </w:instrText>
      </w:r>
      <w:r>
        <w:fldChar w:fldCharType="separate"/>
      </w:r>
      <w:r>
        <w:rPr>
          <w:noProof/>
          <w:sz w:val="28"/>
        </w:rPr>
        <w:t xml:space="preserve">[9]</w:t>
      </w:r>
      <w:r>
        <w:fldChar w:fldCharType="end"/>
      </w:r>
      <w:r>
        <w:rPr>
          <w:sz w:val="28"/>
        </w:rP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sz w:val="28"/>
        </w:rPr>
        <w:t xml:space="preserve">[24]</w:t>
      </w:r>
      <w:r>
        <w:fldChar w:fldCharType="end"/>
      </w:r>
      <w:r>
        <w:rPr>
          <w:sz w:val="28"/>
        </w:rP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sz w:val="28"/>
        </w:rPr>
        <w:t xml:space="preserve">[25]</w:t>
      </w:r>
      <w:r>
        <w:fldChar w:fldCharType="end"/>
      </w:r>
      <w:r>
        <w:rPr>
          <w:sz w:val="28"/>
        </w:rP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sz w:val="28"/>
        </w:rPr>
        <w:t xml:space="preserve">[26]</w:t>
      </w:r>
      <w:r>
        <w:fldChar w:fldCharType="end"/>
      </w:r>
      <w:r>
        <w:rPr>
          <w:sz w:val="28"/>
        </w:rP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sz w:val="28"/>
        </w:rPr>
        <w:t xml:space="preserve">[27]</w:t>
      </w:r>
      <w:r>
        <w:fldChar w:fldCharType="end"/>
      </w:r>
      <w:r>
        <w:rPr>
          <w:sz w:val="28"/>
        </w:rP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sz w:val="28"/>
        </w:rPr>
        <w:t xml:space="preserve">Một là,</w:t>
      </w:r>
      <w:r>
        <w:rPr>
          <w:sz w:val="28"/>
        </w:rPr>
        <w:t xml:space="preserve">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SRC000020 \l 1033 </w:instrText>
      </w:r>
      <w:r>
        <w:fldChar w:fldCharType="separate"/>
      </w:r>
      <w:r>
        <w:rPr>
          <w:noProof/>
          <w:sz w:val="28"/>
        </w:rPr>
        <w:t xml:space="preserve">[28]</w:t>
      </w:r>
      <w:r>
        <w:fldChar w:fldCharType="end"/>
      </w:r>
      <w:r>
        <w:rPr>
          <w:sz w:val="28"/>
        </w:rPr>
        <w:t xml:space="preserve">; </w:t>
      </w:r>
      <w:r>
        <w:rPr>
          <w:i/>
          <w:sz w:val="28"/>
        </w:rPr>
        <w:t xml:space="preserve">Hai là,</w:t>
      </w:r>
      <w:r>
        <w:rPr>
          <w:sz w:val="28"/>
        </w:rP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(USENIX Security 2025) và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hiệu quả của các baseline danh sách cho phép / thống kê sự kiện, khẳng định một cạnh phụ thuộc trong đồ thị không đồng nghĩa với tác động nhân quả an ninh; </w:t>
      </w:r>
      <w:r>
        <w:rPr>
          <w:i/>
          <w:sz w:val="28"/>
        </w:rPr>
        <w:t xml:space="preserve">Ba là,</w:t>
      </w:r>
      <w:r>
        <w:rPr>
          <w:sz w:val="28"/>
        </w:rP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sz w:val="28"/>
        </w:rPr>
        <w:t xml:space="preserve">[44]</w:t>
      </w:r>
      <w:r>
        <w:fldChar w:fldCharType="end"/>
      </w:r>
      <w:r>
        <w:rPr>
          <w:sz w:val="28"/>
        </w:rP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sz w:val="28"/>
        </w:rPr>
        <w:t xml:space="preserve">[31]</w:t>
      </w:r>
      <w:r>
        <w:fldChar w:fldCharType="end"/>
      </w:r>
      <w:r>
        <w:rPr>
          <w:sz w:val="28"/>
        </w:rP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419BF">
        <w:t>Bảng 1.</w:t>
      </w:r>
      <w:r w:rsidR="00F419B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419BF">
        <w:t>Hình 1.</w:t>
      </w:r>
      <w:r w:rsidR="00F419B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9982749"/>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8" w:name="_Toc239982750"/>
      <w:r>
        <w:rPr>
          <w:b/>
        </w:rPr>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9982751"/>
      <w:r>
        <w:rPr>
          <w:b/>
        </w:rPr>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9982752"/>
      <w:r>
        <w:rPr>
          <w:b/>
        </w:rPr>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1" w:name="_Toc239982753"/>
      <w:r>
        <w:rPr>
          <w:b/>
        </w:rPr>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9982754"/>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9982755"/>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9982756"/>
      <w:r>
        <w:t>Hình thức hóa bài toán và giới hạn xử lý dòng</w:t>
      </w:r>
      <w:bookmarkEnd w:id="34"/>
    </w:p>
    <w:p w:rsidR="00024E08" w:rsidRDefault="00AB6848">
      <w:pPr>
        <w:pStyle w:val="Heading3"/>
        <w:spacing w:before="200" w:after="120"/>
      </w:pPr>
      <w:r>
        <w:rPr>
          <w:sz w:val="28"/>
        </w:rPr>
        <w:t xml:space="preserve">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 </w:t>
      </w:r>
      <w:bookmarkStart w:id="35" w:name="_Toc239982757"/>
      <w:r>
        <w:rPr>
          <w:b/>
        </w:rPr>
        <w:t>Biểu diễn đa góc nhìn và ranh giới Extractor–Detector</w:t>
      </w:r>
      <w:bookmarkEnd w:id="35"/>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lastRenderedPageBreak/>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w:t>
      </w:r>
      <w:r>
        <w:lastRenderedPageBreak/>
        <w:t xml:space="preserve">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hệ thống áp dụng nguyên tắc xử lý theo thời gian sự kiện kết hợp cơ chế mốc ngắt thời gian (Event-Time Watermark):</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w:t>
      </w:r>
      <w:r>
        <w:lastRenderedPageBreak/>
        <w:t xml:space="preserve">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419BF">
        <w:t>Hình 2.</w:t>
      </w:r>
      <w:r w:rsidR="00F419BF">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F419BF">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869F6">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B869F6">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oMath>
      <m:oMath>
        <m:sSub>
          <m:sSubPr>
            <m:ctrlPr>
              <w:rPr>
                <w:rFonts w:ascii="Cambria Math" w:hAnsi="Cambria Math"/>
              </w:rPr>
            </m:ctrlPr>
          </m:sSubPr>
          <m:e>
            <m:r>
              <w:rPr>
                <w:rFonts w:ascii="Cambria Math" w:hAnsi="Cambria Math"/>
              </w:rPr>
              <m:t>t</m:t>
            </m:r>
          </m:e>
          <m:sub>
            <m:r>
              <m:rPr>
                <m:nor/>
              </m:rPr>
              <m:t>last</m:t>
            </m:r>
          </m:sub>
        </m:sSub>
      </m:oMath>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869F6">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e>
                  <m:r>
                    <m:t>L</m:t>
                  </m:r>
                </m:e>
                <m:sub>
                  <m: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tác giả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869F6">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được áp dụng chặt chẽ trên tập tham số nhận đồng thời hai luồng gradient: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869F6">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869F6">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t>Đối sánh đặc tính phương pháp luận so với các nghiên cứu cơ sở</w:t>
      </w:r>
      <w:bookmarkEnd w:id="81"/>
    </w:p>
    <w:p w:rsidR="00974D18" w:rsidRDefault="00723F58">
      <w:pPr>
        <w:spacing w:after="120" w:line="360" w:lineRule="auto"/>
        <w:ind w:firstLine="720"/>
      </w:pPr>
      <w:r>
        <w:t xml:space="preserve">Làm rõ vị trí đóng góp học thuật của khung biểu diễn đề xuất, Bảng 3.5 tiến hành đối sánh định tính về đặc tính phương pháp luận giữa mô hình của luận văn và </w:t>
      </w:r>
      <w:r>
        <w:lastRenderedPageBreak/>
        <w:t>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bookmarkStart w:id="83" w:name="_GoBack" w:colFirst="0" w:colLast="3"/>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sz w:val="19"/>
                <w:noProof/>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sz w:val="19"/>
                <w:noProof/>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sz w:val="19"/>
                <w:noProof/>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sz w:val="19"/>
                <w:noProof/>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sz w:val="19"/>
                <w:noProof/>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bookmarkEnd w:id="83"/>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 K. Hausman,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tc>
          <w:tcPr>
            <w:tcW w:type="dxa" w:w="392"/>
          </w:tcPr>
          <w:p>
            <w:r>
              <w:rPr>
                <w:rFonts w:ascii="Times New Roman" w:hAnsi="Times New Roman"/>
                <w:sz w:val="22"/>
              </w:rPr>
              <w:t>[44]</w:t>
            </w:r>
          </w:p>
        </w:tc>
        <w:tc>
          <w:tcPr>
            <w:tcW w:type="dxa" w:w="9223"/>
          </w:tcPr>
          <w:p>
            <w: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C26E2">
      <w:rPr>
        <w:noProof/>
      </w:rPr>
      <w:t>96</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10.14722/ndss.2020.24004</b:StandardNumber>
    <b:City>San Diego, CA, USA</b:City>
    <b:URL>https://doi.org/10.14722/ndss.2020.24004</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https://openreview.net/forum?id=kWybx3Acvo</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https://github.com/darpa-i2o/Transparent-Computing/tree/9b33dd04581f1e0df79a455a02e6aa0fbfddbbda/README-E3.md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https://openreview.net/forum?id=i_LO12GqxBu</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https://proceedings.neurips.cc/paper/2019/hash/5b65103c8c76dae9095690b213b28ee5-Abstract.html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URL>https://proceedings.neurips.cc/paper/2020/hash/32e54441e6382a7fbacbbbaf3c450059-Abstract.html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https://github.com/darpa-i2o/Transparent-Computing/tree/9b33dd04581f1e0df79a455a02e6aa0fbfddbbda/README-E5.md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2FDEF1C3-0F1E-4F87-B798-D0B04194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96</Pages>
  <Words>26334</Words>
  <Characters>150107</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176089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25</cp:revision>
  <cp:lastPrinted>2026-09-10T18:32:00Z</cp:lastPrinted>
  <dcterms:created xsi:type="dcterms:W3CDTF">2026-07-29T19:43:00Z</dcterms:created>
  <dcterms:modified xsi:type="dcterms:W3CDTF">2026-09-11T13:54:00Z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