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thuộc Sysmon Event ID 1), nạp thư viện động (ImageLoaded thuộc Sysmon Event ID 7), thao tác tệp tin (open, unlink, FileCreate thuộc Sysmon Event ID 11), sửa đổi cấu hình registry (RegSetValue thuộc Sysmon Event ID 13), cùng các thao tác mở và kết nối </w:t>
      </w:r>
      <w:r>
        <w:lastRenderedPageBreak/>
        <w:t>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pPr>
        <w:spacing w:after="120" w:line="360" w:lineRule="auto"/>
        <w:ind w:firstLine="720"/>
      </w:pPr>
      <w:r>
        <w:rPr>
          <w:sz w:val="28"/>
        </w:rP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sz w:val="28"/>
        </w:rPr>
        <w:t xml:space="preserve">[4]</w:t>
      </w:r>
      <w:r>
        <w:fldChar w:fldCharType="end"/>
      </w:r>
      <w:r>
        <w:rPr>
          <w:sz w:val="28"/>
        </w:rP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nghiên cứu tổng hợp ba cấu trúc phân tích đặc thù sau (đây là cấu trúc phân loại do đề tài tự tổng hợp, không phải taxonomy chính thức của MITRE ATT&amp;CK): </w:t>
      </w:r>
      <w:r>
        <w:rPr>
          <w:i/>
          <w:sz w:val="28"/>
        </w:rPr>
        <w:t xml:space="preserve">Một là,</w:t>
      </w:r>
      <w:r>
        <w:rPr>
          <w:sz w:val="28"/>
        </w:rP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sz w:val="28"/>
        </w:rPr>
        <w:t xml:space="preserve">Hai là,</w:t>
      </w:r>
      <w:r>
        <w:rPr>
          <w:sz w:val="28"/>
        </w:rP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sz w:val="28"/>
        </w:rPr>
        <w:t xml:space="preserve">Ba là,</w:t>
      </w:r>
      <w:r>
        <w:rPr>
          <w:sz w:val="28"/>
        </w:rP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pPr>
        <w:spacing w:after="120" w:line="360" w:lineRule="auto"/>
        <w:ind w:firstLine="720"/>
      </w:pPr>
      <w:r>
        <w:rPr>
          <w:sz w:val="28"/>
        </w:rP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w:t>
      </w:r>
      <w:r>
        <w:rPr>
          <w:i/>
          <w:sz w:val="28"/>
        </w:rPr>
        <w:t xml:space="preserve">Một là,</w:t>
      </w:r>
      <w:r>
        <w:rPr>
          <w:sz w:val="28"/>
        </w:rPr>
        <w:t xml:space="preserve"> bộ dữ liệu DARPA Transparent Computing Engagement #3 (TC E3, diễn ra vào tháng 4/2018) </w:t>
      </w:r>
      <w:r>
        <w:fldChar w:fldCharType="begin"/>
      </w:r>
      <w:r>
        <w:instrText xml:space="preserve">CITATION SRC000028 \l 1033 </w:instrText>
      </w:r>
      <w:r>
        <w:fldChar w:fldCharType="separate"/>
      </w:r>
      <w:r>
        <w:rPr>
          <w:noProof/>
          <w:sz w:val="28"/>
        </w:rPr>
        <w:t xml:space="preserve">[12]</w:t>
      </w:r>
      <w:r>
        <w:fldChar w:fldCharType="end"/>
      </w:r>
      <w:r>
        <w:rPr>
          <w:sz w:val="28"/>
        </w:rPr>
        <w:t xml:space="preserve"> và Engagement #5 (TC E5) </w:t>
      </w:r>
      <w:r>
        <w:fldChar w:fldCharType="begin"/>
      </w:r>
      <w:r>
        <w:instrText xml:space="preserve">CITATION SRC000045 \l 1033 </w:instrText>
      </w:r>
      <w:r>
        <w:fldChar w:fldCharType="separate"/>
      </w:r>
      <w:r>
        <w:rPr>
          <w:noProof/>
          <w:sz w:val="28"/>
        </w:rPr>
        <w:t xml:space="preserve">[43]</w:t>
      </w:r>
      <w:r>
        <w:fldChar w:fldCharType="end"/>
      </w:r>
      <w:r>
        <w:rPr>
          <w:sz w:val="28"/>
        </w:rP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sz w:val="28"/>
        </w:rPr>
        <w:t xml:space="preserve">Hai là,</w:t>
      </w:r>
      <w:r>
        <w:rPr>
          <w:sz w:val="28"/>
        </w:rPr>
        <w:t xml:space="preserve"> bộ dữ liệu LANL Unified Host and Network Dataset (Kent, 2015) </w:t>
      </w:r>
      <w:r>
        <w:fldChar w:fldCharType="begin"/>
      </w:r>
      <w:r>
        <w:instrText xml:space="preserve">CITATION SRC000029 \l 1033 </w:instrText>
      </w:r>
      <w:r>
        <w:fldChar w:fldCharType="separate"/>
      </w:r>
      <w:r>
        <w:rPr>
          <w:noProof/>
          <w:sz w:val="28"/>
        </w:rPr>
        <w:t xml:space="preserve">[13]</w:t>
      </w:r>
      <w:r>
        <w:fldChar w:fldCharType="end"/>
      </w:r>
      <w:r>
        <w:rPr>
          <w:sz w:val="28"/>
        </w:rP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w:t>
      </w:r>
      <w:r>
        <w:rPr>
          <w:i/>
          <w:sz w:val="28"/>
        </w:rPr>
        <w:t xml:space="preserve">Ba là,</w:t>
      </w:r>
      <w:r>
        <w:rPr>
          <w:sz w:val="28"/>
        </w:rPr>
        <w:t xml:space="preserve"> bộ dữ liệu HDFS (Xu et al.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phản ánh trạng thái bình thường hoặc bất thường của một phiên giao tác phân tán hoàn chỉnh; </w:t>
      </w:r>
      <w:r>
        <w:rPr>
          <w:i/>
          <w:sz w:val="28"/>
        </w:rPr>
        <w:t xml:space="preserve">Bốn là,</w:t>
      </w:r>
      <w:r>
        <w:rPr>
          <w:sz w:val="28"/>
        </w:rPr>
        <w:t xml:space="preserve"> bộ dữ liệu BGL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w:t>
      </w:r>
    </w:p>
    <w:p>
      <w:pPr>
        <w:spacing w:after="120" w:line="360" w:lineRule="auto"/>
        <w:ind w:firstLine="720"/>
      </w:pPr>
      <w:r>
        <w:rPr>
          <w:sz w:val="28"/>
        </w:rPr>
        <w:t xml:space="preserve">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pPr>
        <w:spacing w:after="120" w:line="360" w:lineRule="auto"/>
        <w:ind w:firstLine="720"/>
      </w:pPr>
      <w:r>
        <w:rPr>
          <w:sz w:val="28"/>
        </w:rP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sz w:val="28"/>
        </w:rPr>
        <w:t xml:space="preserve">z</w:t>
      </w:r>
      <w:r>
        <w:rPr>
          <w:sz w:val="28"/>
        </w:rP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sz w:val="28"/>
        </w:rPr>
        <w:t xml:space="preserve">z</w:t>
      </w:r>
      <w:r>
        <w:rPr>
          <w:sz w:val="28"/>
        </w:rP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rPr>
          <w:sz w:val="28"/>
        </w:rPr>
        <w:t xml:space="preserve">, đóng vai trò như một bản đặc tả các ràng buộc toán học và ngữ nghĩa giữa dữ liệu thô và không gian vector tiềm ẩn </w:t>
      </w:r>
      <w:r>
        <w:rPr>
          <w:i/>
          <w:sz w:val="28"/>
        </w:rPr>
        <w:t xml:space="preserve">z</w:t>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pPr>
        <w:spacing w:after="120" w:line="360" w:lineRule="auto"/>
        <w:ind w:firstLine="720"/>
      </w:pPr>
      <w:r>
        <w:rPr>
          <w:sz w:val="28"/>
        </w:rPr>
        <w:t xml:space="preserve">Ba là, nhóm Điều kiện Triệt tiêu (EXCLUDE, E_exclude): Tập hợp các thông tin giả tạo và biến số ngoài miền bắt buộc phải bị loại bỏ/triệt tiêu khỏi không gian vector </w:t>
      </w:r>
      <w:r>
        <w:rPr>
          <w:i/>
          <w:sz w:val="28"/>
        </w:rPr>
        <w:t xml:space="preserve">z</w:t>
      </w:r>
      <w:r>
        <w:rPr>
          <w:sz w:val="28"/>
        </w:rPr>
        <w:t xml:space="preserve"> nhằm ngăn ngừa rủi ro học đường tắt (Shortcut Learning)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pPr>
        <w:spacing w:after="120" w:line="360" w:lineRule="auto"/>
        <w:ind w:firstLine="720"/>
      </w:pPr>
      <w:r>
        <w:rPr>
          <w:sz w:val="28"/>
        </w:rP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sz w:val="28"/>
        </w:rPr>
        <w:t xml:space="preserve">Một là,</w:t>
      </w:r>
      <w:r>
        <w:rPr>
          <w:sz w:val="28"/>
        </w:rP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sz w:val="28"/>
        </w:rPr>
        <w:t xml:space="preserve">Hai là,</w:t>
      </w:r>
      <w:r>
        <w:rPr>
          <w:sz w:val="28"/>
        </w:rPr>
        <w:t xml:space="preserve"> thử nghiệm thực nghiệm khả năng chống tấn công suy luận thành viên (Membership Inference Attack - MIA)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nhằm đánh giá xem kẻ tấn công có thể xác định một bản ghi nhật ký cụ thể có thuộc tập huấn luyện hay không; </w:t>
      </w:r>
      <w:r>
        <w:rPr>
          <w:i/>
          <w:sz w:val="28"/>
        </w:rPr>
        <w:t xml:space="preserve">Ba là,</w:t>
      </w:r>
      <w:r>
        <w:rPr>
          <w:sz w:val="28"/>
        </w:rPr>
        <w:t xml:space="preserve"> thử nghiệm thực nghiệm khả năng chống tấn công đảo ngược mô hình (Model Inversion Attack)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nhằm đánh giá rủi ro khôi phục thông tin cấu hình từ vector biểu diễn tiềm ẩn; </w:t>
      </w:r>
      <w:r>
        <w:rPr>
          <w:i/>
          <w:sz w:val="28"/>
        </w:rPr>
        <w:t xml:space="preserve">Bốn là,</w:t>
      </w:r>
      <w:r>
        <w:rPr>
          <w:sz w:val="28"/>
        </w:rPr>
        <w:t xml:space="preserve">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Cần khẳng định rằng vector biểu diễn tiềm ẩn không tự động an toàn về quyền riêng tư nếu không có cơ chế chứng minh toán học tường minh; việc áp dụng các phép thử nghiệm MIA hay Model Inversion là các bước kiểm chứng thực nghiệm độc lập của đề tài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trong khi khung DP cung cấp công cụ định lượng độ mất mát quyền riêng tư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pPr>
        <w:spacing w:after="120" w:line="360" w:lineRule="auto"/>
        <w:ind w:firstLine="720"/>
      </w:pPr>
      <w:r>
        <w:rPr>
          <w:sz w:val="28"/>
        </w:rP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sz w:val="28"/>
        </w:rP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pPr>
        <w:spacing w:after="120" w:line="360" w:lineRule="auto"/>
      </w:pPr>
      <w:r>
        <w:rPr>
          <w:sz w:val="28"/>
        </w:rPr>
        <w:t xml:space="preserve">Trong đó tham số </w:t>
      </w:r>
      <m:oMath>
        <m:r>
          <w:rPr>
            <w:rFonts w:ascii="Cambria Math" w:hAnsi="Cambria Math"/>
          </w:rPr>
          <m:t>θ</m:t>
        </m:r>
      </m:oMath>
      <w:r>
        <w:rPr>
          <w:sz w:val="28"/>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pPr>
        <w:spacing w:after="120" w:line="360" w:lineRule="auto"/>
        <w:ind w:firstLine="720"/>
      </w:pPr>
      <w:r>
        <w:rPr>
          <w:sz w:val="28"/>
        </w:rPr>
        <w:t xml:space="preserve">Khởi đầu cho hướng nghiên cứu này là mô hình DeepLog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 DeepLog không chỉ phân tích chuỗi mã sự kiện log mà còn là một khung làm việc toàn diện gồm hai thành phần mô hình hóa: </w:t>
      </w:r>
      <w:r>
        <w:rPr>
          <w:i/>
          <w:sz w:val="28"/>
        </w:rPr>
        <w:t xml:space="preserve">Một là,</w:t>
      </w:r>
      <w:r>
        <w:rPr>
          <w:sz w:val="28"/>
        </w:rP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rPr>
          <w:sz w:val="28"/>
        </w:rPr>
        <w:t xml:space="preserve">; </w:t>
      </w:r>
      <w:r>
        <w:rPr>
          <w:i/>
          <w:sz w:val="28"/>
        </w:rPr>
        <w:t xml:space="preserve">Hai là,</w:t>
      </w:r>
      <w:r>
        <w:rPr>
          <w:sz w:val="28"/>
        </w:rP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pPr>
        <w:spacing w:after="120" w:line="360" w:lineRule="auto"/>
        <w:ind w:firstLine="720"/>
      </w:pPr>
      <w:r>
        <w:rPr>
          <w:sz w:val="28"/>
        </w:rP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sz w:val="28"/>
        </w:rPr>
        <w:t xml:space="preserve">[22]</w:t>
      </w:r>
      <w:r>
        <w:fldChar w:fldCharType="end"/>
      </w:r>
      <w:r>
        <w:rPr>
          <w:sz w:val="28"/>
        </w:rP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sz w:val="28"/>
        </w:rPr>
        <w:t xml:space="preserve">[23]</w:t>
      </w:r>
      <w:r>
        <w:fldChar w:fldCharType="end"/>
      </w:r>
      <w:r>
        <w:rPr>
          <w:sz w:val="28"/>
        </w:rP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sz w:val="28"/>
        </w:rPr>
        <w:t xml:space="preserve">[20]</w:t>
      </w:r>
      <w:r>
        <w:fldChar w:fldCharType="end"/>
      </w:r>
      <w:r>
        <w:rPr>
          <w:sz w:val="28"/>
        </w:rP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Trong kiến trúc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sz w:val="28"/>
        </w:rPr>
        <w:t xml:space="preserve">[21]</w:t>
      </w:r>
      <w:r>
        <w:fldChar w:fldCharType="end"/>
      </w:r>
      <w:r>
        <w:rPr>
          <w:sz w:val="28"/>
        </w:rP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(2) Chi phí tài nguyên tính toán: cơ chế Self-Attention trong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pPr>
        <w:spacing w:after="120" w:line="360" w:lineRule="auto"/>
        <w:ind w:firstLine="720"/>
      </w:pPr>
      <w:r>
        <w:rPr>
          <w:sz w:val="28"/>
        </w:rP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SRC000010 \l 1033 </w:instrText>
      </w:r>
      <w:r>
        <w:fldChar w:fldCharType="separate"/>
      </w:r>
      <w:r>
        <w:rPr>
          <w:noProof/>
          <w:sz w:val="28"/>
        </w:rPr>
        <w:t xml:space="preserve">[5]</w:t>
      </w:r>
      <w:r>
        <w:fldChar w:fldCharType="end"/>
      </w:r>
      <w:r>
        <w:rPr>
          <w:sz w:val="28"/>
        </w:rPr>
        <w:t xml:space="preserve">: (1) UNICORN </w:t>
      </w:r>
      <w:r>
        <w:fldChar w:fldCharType="begin"/>
      </w:r>
      <w:r>
        <w:instrText xml:space="preserve">CITATION SRC000011 \l 1033 </w:instrText>
      </w:r>
      <w:r>
        <w:fldChar w:fldCharType="separate"/>
      </w:r>
      <w:r>
        <w:rPr>
          <w:noProof/>
          <w:sz w:val="28"/>
        </w:rPr>
        <w:t xml:space="preserve">[9]</w:t>
      </w:r>
      <w:r>
        <w:fldChar w:fldCharType="end"/>
      </w:r>
      <w:r>
        <w:rPr>
          <w:sz w:val="28"/>
        </w:rP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sz w:val="28"/>
        </w:rPr>
        <w:t xml:space="preserve">[24]</w:t>
      </w:r>
      <w:r>
        <w:fldChar w:fldCharType="end"/>
      </w:r>
      <w:r>
        <w:rPr>
          <w:sz w:val="28"/>
        </w:rP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sz w:val="28"/>
        </w:rPr>
        <w:t xml:space="preserve">[25]</w:t>
      </w:r>
      <w:r>
        <w:fldChar w:fldCharType="end"/>
      </w:r>
      <w:r>
        <w:rPr>
          <w:sz w:val="28"/>
        </w:rP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sz w:val="28"/>
        </w:rPr>
        <w:t xml:space="preserve">[26]</w:t>
      </w:r>
      <w:r>
        <w:fldChar w:fldCharType="end"/>
      </w:r>
      <w:r>
        <w:rPr>
          <w:sz w:val="28"/>
        </w:rP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sz w:val="28"/>
        </w:rPr>
        <w:t xml:space="preserve">[27]</w:t>
      </w:r>
      <w:r>
        <w:fldChar w:fldCharType="end"/>
      </w:r>
      <w:r>
        <w:rPr>
          <w:sz w:val="28"/>
        </w:rP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sz w:val="28"/>
        </w:rPr>
        <w:t xml:space="preserve">Một là,</w:t>
      </w:r>
      <w:r>
        <w:rPr>
          <w:sz w:val="28"/>
        </w:rPr>
        <w:t xml:space="preserve">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SRC000020 \l 1033 </w:instrText>
      </w:r>
      <w:r>
        <w:fldChar w:fldCharType="separate"/>
      </w:r>
      <w:r>
        <w:rPr>
          <w:noProof/>
          <w:sz w:val="28"/>
        </w:rPr>
        <w:t xml:space="preserve">[28]</w:t>
      </w:r>
      <w:r>
        <w:fldChar w:fldCharType="end"/>
      </w:r>
      <w:r>
        <w:rPr>
          <w:sz w:val="28"/>
        </w:rPr>
        <w:t xml:space="preserve">; </w:t>
      </w:r>
      <w:r>
        <w:rPr>
          <w:i/>
          <w:sz w:val="28"/>
        </w:rPr>
        <w:t xml:space="preserve">Hai là,</w:t>
      </w:r>
      <w:r>
        <w:rPr>
          <w:sz w:val="28"/>
        </w:rP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(USENIX Security 2025) và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hiệu quả của các baseline danh sách cho phép / thống kê sự kiện, khẳng định một cạnh phụ thuộc trong đồ thị không đồng nghĩa với tác động nhân quả an ninh; </w:t>
      </w:r>
      <w:r>
        <w:rPr>
          <w:i/>
          <w:sz w:val="28"/>
        </w:rPr>
        <w:t xml:space="preserve">Ba là,</w:t>
      </w:r>
      <w:r>
        <w:rPr>
          <w:sz w:val="28"/>
        </w:rP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sz w:val="28"/>
        </w:rPr>
        <w:t xml:space="preserve">[44]</w:t>
      </w:r>
      <w:r>
        <w:fldChar w:fldCharType="end"/>
      </w:r>
      <w:r>
        <w:rPr>
          <w:sz w:val="28"/>
        </w:rP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sz w:val="28"/>
        </w:rPr>
        <w:t xml:space="preserve">[31]</w:t>
      </w:r>
      <w:r>
        <w:fldChar w:fldCharType="end"/>
      </w:r>
      <w:r>
        <w:rPr>
          <w:sz w:val="28"/>
        </w:rP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r>
        <w:rPr>
          <w:sz w:val="28"/>
        </w:rP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hệ thống áp dụng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tác giả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được áp dụng chặt chẽ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tc>
          <w:tcPr>
            <w:tcW w:type="dxa" w:w="392"/>
          </w:tcPr>
          <w:p>
            <w:r>
              <w:rPr>
                <w:rFonts w:ascii="Times New Roman" w:hAnsi="Times New Roman"/>
                <w:sz w:val="22"/>
              </w:rPr>
              <w:t>[44]</w:t>
            </w:r>
          </w:p>
        </w:tc>
        <w:tc>
          <w:tcPr>
            <w:tcW w:type="dxa" w:w="9223"/>
          </w:tcPr>
          <w:p>
            <w: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