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 đề xuất quy trình đánh giá khả năng chống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nhằm đánh giá xem kẻ tấn công có thể xác định một bản ghi nhật ký cụ thể có thuộc tập huấn luyện hay không; </w:t>
      </w:r>
      <w:r>
        <w:rPr>
          <w:i/>
        </w:rPr>
        <w:t>Ba là,</w:t>
      </w:r>
      <w:r>
        <w:t xml:space="preserve"> đề xuất quy trình đánh giá khả năng chống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nhằm đánh giá rủi ro khôi phục thông tin cấu hình từ vector biểu diễn tiềm ẩn; </w:t>
      </w:r>
      <w:r>
        <w:rPr>
          <w:i/>
        </w:rPr>
        <w:t>Bốn là,</w:t>
      </w:r>
      <w:r>
        <w:t xml:space="preserve">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chuyên đề đề xuất khung đánh giá an toàn thông tin bao gồm các thử nghiệm MIA hay Model Inversion được định vị cho giai đoạn đánh giá mô hình hạ nguồn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(1) Nhóm phương pháp thống kê và cú pháp dựa trên mẫu log (Statistical &amp; Syntactic Parsing-Based); (2) Nhóm phương pháp biểu diễn ngữ nghĩa chuỗi thời gian (Semantic–Sequential &amp; </w:t>
      </w:r>
      <w:r>
        <w:lastRenderedPageBreak/>
        <w:t>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trong các phương pháp tiếp cận thống kê truyền thống, trọng số TF-IDF (Term </w:t>
      </w:r>
      <w:r>
        <w:lastRenderedPageBreak/>
        <w:t>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là một khung làm việc toàn diện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[22]</w:t>
      </w:r>
      <w:r>
        <w:fldChar w:fldCharType="end"/>
      </w:r>
      <w: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[20]</w:t>
      </w:r>
      <w:r>
        <w:fldChar w:fldCharType="end"/>
      </w:r>
      <w: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w:t>
      </w:r>
      <w:r>
        <w:lastRenderedPageBreak/>
        <w:t xml:space="preserve">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rPr>
        <w:t>[21]</w:t>
      </w:r>
      <w:r>
        <w:fldChar w:fldCharType="end"/>
      </w:r>
      <w: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rPr>
        <w:t>[10]</w:t>
      </w:r>
      <w:r>
        <w:fldChar w:fldCharType="end"/>
      </w:r>
      <w: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251425">
        <w:t>Bảng 1.</w:t>
      </w:r>
      <w:r w:rsidR="00251425">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251425">
        <w:t>Hình 1.</w:t>
      </w:r>
      <w:r w:rsidR="00251425">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(Coarse Labels),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[1], [5].</w:t>
      </w:r>
    </w:p>
    <w:p w:rsidR="00024E08" w:rsidRDefault="00AB6848">
      <w:pPr>
        <w:spacing w:after="120" w:line="360" w:lineRule="auto"/>
        <w:ind w:firstLine="720"/>
      </w:pPr>
      <w:r>
        <w:rPr>
          <w:b w:val="0"/>
          <w:i w:val="0"/>
        </w:rP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Về mặt phương pháp luận, chuyên đề đề xuất hướng đánh giá nhiều mốc rotation horizon cố định (fixed horizons)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