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1F497D"/>
          <w:sz w:val="44"/>
        </w:rPr>
        <w:t>Room Design Constraints</w:t>
      </w:r>
    </w:p>
    <w:p>
      <w:pPr>
        <w:spacing w:after="320"/>
        <w:jc w:val="center"/>
      </w:pPr>
      <w:r>
        <w:rPr>
          <w:rFonts w:ascii="Calibri" w:hAnsi="Calibri"/>
          <w:b w:val="0"/>
          <w:color w:val="646464"/>
          <w:sz w:val="22"/>
        </w:rPr>
        <w:t>Ràng buộc thiết kế nội thất — Phòng khách / Bếp / Phòng ngủ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Phòng khách (Living Room)</w:t>
      </w:r>
    </w:p>
    <w:p>
      <w:pPr>
        <w:spacing w:before="160" w:after="80"/>
      </w:pPr>
      <w:r>
        <w:rPr>
          <w:rFonts w:ascii="Calibri" w:hAnsi="Calibri"/>
          <w:b/>
          <w:color w:val="464646"/>
          <w:sz w:val="22"/>
        </w:rPr>
        <w:t>Bắt buộc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Sofa</w:t>
      </w:r>
      <w:r>
        <w:rPr>
          <w:rFonts w:ascii="Calibri" w:hAnsi="Calibri"/>
          <w:b w:val="0"/>
          <w:sz w:val="22"/>
        </w:rPr>
        <w:t xml:space="preserve"> là anchor chính — phải có 1 sofa 2-3 chỗ (hoặc sectional). Không dùng armchair thay sofa chính.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TV + kệ TV</w:t>
      </w:r>
      <w:r>
        <w:rPr>
          <w:rFonts w:ascii="Calibri" w:hAnsi="Calibri"/>
          <w:b w:val="0"/>
          <w:sz w:val="22"/>
        </w:rPr>
        <w:t xml:space="preserve"> phải có, sofa phải </w:t>
      </w:r>
      <w:r>
        <w:rPr>
          <w:rFonts w:ascii="Calibri" w:hAnsi="Calibri"/>
          <w:b/>
          <w:sz w:val="22"/>
        </w:rPr>
        <w:t>quay mặt về phía TV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Bàn trà (coffee table)</w:t>
      </w:r>
      <w:r>
        <w:rPr>
          <w:rFonts w:ascii="Calibri" w:hAnsi="Calibri"/>
          <w:b w:val="0"/>
          <w:sz w:val="22"/>
        </w:rPr>
        <w:t xml:space="preserve"> nằm giữa sofa và TV.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 xml:space="preserve">Sofa </w:t>
      </w:r>
      <w:r>
        <w:rPr>
          <w:rFonts w:ascii="Calibri" w:hAnsi="Calibri"/>
          <w:b/>
          <w:sz w:val="22"/>
        </w:rPr>
        <w:t>không được đối diện bồn rửa, tủ bếp hoặc bất kỳ đồ bếp nào</w:t>
      </w:r>
      <w:r>
        <w:rPr>
          <w:rFonts w:ascii="Calibri" w:hAnsi="Calibri"/>
          <w:b w:val="0"/>
          <w:sz w:val="22"/>
        </w:rPr>
        <w:t>.</w:t>
      </w:r>
    </w:p>
    <w:p>
      <w:pPr>
        <w:spacing w:before="160" w:after="80"/>
      </w:pPr>
      <w:r>
        <w:rPr>
          <w:rFonts w:ascii="Calibri" w:hAnsi="Calibri"/>
          <w:b/>
          <w:color w:val="464646"/>
          <w:sz w:val="22"/>
        </w:rPr>
        <w:t>Zone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 xml:space="preserve">Sofa + TV + bàn trà phải cùng </w:t>
      </w:r>
      <w:r>
        <w:rPr>
          <w:rFonts w:ascii="Calibri" w:hAnsi="Calibri"/>
          <w:b/>
          <w:sz w:val="22"/>
        </w:rPr>
        <w:t>1 zone phòng khách</w:t>
      </w:r>
      <w:r>
        <w:rPr>
          <w:rFonts w:ascii="Calibri" w:hAnsi="Calibri"/>
          <w:b w:val="0"/>
          <w:sz w:val="22"/>
        </w:rPr>
        <w:t xml:space="preserve"> — không bị tách ra.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 xml:space="preserve">Sofa hướng về </w:t>
      </w:r>
      <w:r>
        <w:rPr>
          <w:rFonts w:ascii="Calibri" w:hAnsi="Calibri"/>
          <w:b/>
          <w:sz w:val="22"/>
        </w:rPr>
        <w:t>focal wall</w:t>
      </w:r>
      <w:r>
        <w:rPr>
          <w:rFonts w:ascii="Calibri" w:hAnsi="Calibri"/>
          <w:b w:val="0"/>
          <w:sz w:val="22"/>
        </w:rPr>
        <w:t xml:space="preserve"> (tường chính: dài nhất, ít cửa nhất).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Tránh đặt sofa ngay cạnh lối vào chính.</w:t>
      </w:r>
    </w:p>
    <w:p>
      <w:pPr>
        <w:spacing w:before="160" w:after="80"/>
      </w:pPr>
      <w:r>
        <w:rPr>
          <w:rFonts w:ascii="Calibri" w:hAnsi="Calibri"/>
          <w:b/>
          <w:color w:val="464646"/>
          <w:sz w:val="22"/>
        </w:rPr>
        <w:t>Tuỳ chọn (diện tích ≥ 14 m²)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Armchair đặt lệch cạnh sofa, tạo cụm trò chuyện.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Side table, floor lamp, rug.</w:t>
      </w:r>
    </w:p>
    <w:p>
      <w:pPr>
        <w:spacing w:before="160" w:after="80"/>
      </w:pPr>
      <w:r>
        <w:rPr>
          <w:rFonts w:ascii="Calibri" w:hAnsi="Calibri"/>
          <w:b/>
          <w:color w:val="464646"/>
          <w:sz w:val="22"/>
        </w:rPr>
        <w:t>Cấm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Không đặt đồ bếp (tủ bếp, bếp, bồn rửa, tủ lạnh) vào vùng phòng khách.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Không để góc phòng trống khi còn đủ chỗ cho armchair hoặc bàn phụ.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Bếp (Kitchen)</w:t>
      </w:r>
    </w:p>
    <w:p>
      <w:pPr>
        <w:spacing w:before="160" w:after="80"/>
      </w:pPr>
      <w:r>
        <w:rPr>
          <w:rFonts w:ascii="Calibri" w:hAnsi="Calibri"/>
          <w:b/>
          <w:color w:val="464646"/>
          <w:sz w:val="22"/>
        </w:rPr>
        <w:t>Bắt buộc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Bếp (stove), bồn rửa (sink), tủ lạnh (fridge), tủ bếp (kitchen_base_cabinet)</w:t>
      </w:r>
      <w:r>
        <w:rPr>
          <w:rFonts w:ascii="Calibri" w:hAnsi="Calibri"/>
          <w:b w:val="0"/>
          <w:sz w:val="22"/>
        </w:rPr>
        <w:t xml:space="preserve"> — 4 thứ này là core.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Bồn rửa và bếp phải gần nhau</w:t>
      </w:r>
      <w:r>
        <w:rPr>
          <w:rFonts w:ascii="Calibri" w:hAnsi="Calibri"/>
          <w:b w:val="0"/>
          <w:sz w:val="22"/>
        </w:rPr>
        <w:t xml:space="preserve"> (tam giác bếp), không cách xa nhau.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Tủ bếp phải gần bồn rửa và bếp</w:t>
      </w:r>
      <w:r>
        <w:rPr>
          <w:rFonts w:ascii="Calibri" w:hAnsi="Calibri"/>
          <w:b w:val="0"/>
          <w:sz w:val="22"/>
        </w:rPr>
        <w:t>, không tách rời sang góc khác.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Bàn ăn (dining_table) + 4 ghế (dining_chair)</w:t>
      </w:r>
      <w:r>
        <w:rPr>
          <w:rFonts w:ascii="Calibri" w:hAnsi="Calibri"/>
          <w:b w:val="0"/>
          <w:sz w:val="22"/>
        </w:rPr>
        <w:t xml:space="preserve"> — bắt buộc trong vùng bếp.</w:t>
      </w:r>
    </w:p>
    <w:p>
      <w:pPr>
        <w:spacing w:before="160" w:after="80"/>
      </w:pPr>
      <w:r>
        <w:rPr>
          <w:rFonts w:ascii="Calibri" w:hAnsi="Calibri"/>
          <w:b/>
          <w:color w:val="464646"/>
          <w:sz w:val="22"/>
        </w:rPr>
        <w:t>Zone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 xml:space="preserve">Tất cả đồ bếp phải cùng </w:t>
      </w:r>
      <w:r>
        <w:rPr>
          <w:rFonts w:ascii="Calibri" w:hAnsi="Calibri"/>
          <w:b/>
          <w:sz w:val="22"/>
        </w:rPr>
        <w:t>1 zone bếp</w:t>
      </w:r>
      <w:r>
        <w:rPr>
          <w:rFonts w:ascii="Calibri" w:hAnsi="Calibri"/>
          <w:b w:val="0"/>
          <w:sz w:val="22"/>
        </w:rPr>
        <w:t xml:space="preserve"> (kitchen zone).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Không được chặn lối đi chính</w:t>
      </w:r>
      <w:r>
        <w:rPr>
          <w:rFonts w:ascii="Calibri" w:hAnsi="Calibri"/>
          <w:b w:val="0"/>
          <w:sz w:val="22"/>
        </w:rPr>
        <w:t xml:space="preserve"> — tủ bếp, tủ lạnh phải tránh cạnh cửa ra vào.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Bàn ăn đặt giữa phòng bếp, ghế xung quanh.</w:t>
      </w:r>
    </w:p>
    <w:p>
      <w:pPr>
        <w:spacing w:before="160" w:after="80"/>
      </w:pPr>
      <w:r>
        <w:rPr>
          <w:rFonts w:ascii="Calibri" w:hAnsi="Calibri"/>
          <w:b/>
          <w:color w:val="464646"/>
          <w:sz w:val="22"/>
        </w:rPr>
        <w:t>Cấm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Không đặt sofa, kệ TV, bàn trà vào vùng bếp.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Không để tủ bếp / tủ lạnh chắn ngay trước cửa (entry blocking).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Phòng ngủ (Bedroom)</w:t>
      </w:r>
    </w:p>
    <w:p>
      <w:pPr>
        <w:spacing w:before="160" w:after="80"/>
      </w:pPr>
      <w:r>
        <w:rPr>
          <w:rFonts w:ascii="Calibri" w:hAnsi="Calibri"/>
          <w:b/>
          <w:color w:val="464646"/>
          <w:sz w:val="22"/>
        </w:rPr>
        <w:t>Bắt buộc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Giường (bed)</w:t>
      </w:r>
      <w:r>
        <w:rPr>
          <w:rFonts w:ascii="Calibri" w:hAnsi="Calibri"/>
          <w:b w:val="0"/>
          <w:sz w:val="22"/>
        </w:rPr>
        <w:t xml:space="preserve"> là anchor chính — đặt trước, đồ khác căn theo giường.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Đầu giường (headboard) phải tựa vào tường</w:t>
      </w:r>
      <w:r>
        <w:rPr>
          <w:rFonts w:ascii="Calibri" w:hAnsi="Calibri"/>
          <w:b w:val="0"/>
          <w:sz w:val="22"/>
        </w:rPr>
        <w:t>, không để hở.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Khoảng cách 2 bên giường ≥ 600mm</w:t>
      </w:r>
      <w:r>
        <w:rPr>
          <w:rFonts w:ascii="Calibri" w:hAnsi="Calibri"/>
          <w:b w:val="0"/>
          <w:sz w:val="22"/>
        </w:rPr>
        <w:t xml:space="preserve"> (lý tưởng ≥ 800mm).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Tủ quần áo (wardrobe)</w:t>
      </w:r>
      <w:r>
        <w:rPr>
          <w:rFonts w:ascii="Calibri" w:hAnsi="Calibri"/>
          <w:b w:val="0"/>
          <w:sz w:val="22"/>
        </w:rPr>
        <w:t xml:space="preserve"> bắt buộc — đặt dọc tường, không chắn cửa, không chắn cửa sổ.</w:t>
      </w:r>
    </w:p>
    <w:p>
      <w:pPr>
        <w:spacing w:before="160" w:after="80"/>
      </w:pPr>
      <w:r>
        <w:rPr>
          <w:rFonts w:ascii="Calibri" w:hAnsi="Calibri"/>
          <w:b/>
          <w:color w:val="464646"/>
          <w:sz w:val="22"/>
        </w:rPr>
        <w:t>Zone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 xml:space="preserve">Giường tránh đặt </w:t>
      </w:r>
      <w:r>
        <w:rPr>
          <w:rFonts w:ascii="Calibri" w:hAnsi="Calibri"/>
          <w:b/>
          <w:sz w:val="22"/>
        </w:rPr>
        <w:t>thẳng hướng cửa ra vào</w:t>
      </w:r>
      <w:r>
        <w:rPr>
          <w:rFonts w:ascii="Calibri" w:hAnsi="Calibri"/>
          <w:b w:val="0"/>
          <w:sz w:val="22"/>
        </w:rPr>
        <w:t xml:space="preserve"> (đầu hoặc cuối giường nhìn thẳng vào cửa).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Tủ quần áo tránh cạnh cửa ra vào (dễ kẹt / chặn).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Tránh vùng cửa sổ chính nếu giường sẽ che sáng hoàn toàn.</w:t>
      </w:r>
    </w:p>
    <w:p>
      <w:pPr>
        <w:spacing w:before="160" w:after="80"/>
      </w:pPr>
      <w:r>
        <w:rPr>
          <w:rFonts w:ascii="Calibri" w:hAnsi="Calibri"/>
          <w:b/>
          <w:color w:val="464646"/>
          <w:sz w:val="22"/>
        </w:rPr>
        <w:t>Tuỳ chọn (nếu đủ diện tích)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Bàn trang điểm (dressing_table) hoặc bàn làm việc (desk) — gần cửa sổ.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Đèn đầu giường + bàn đầu giường (nightstand) × 2.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Ghế thư giãn (armchair) ở góc có ánh sáng.</w:t>
      </w:r>
    </w:p>
    <w:p>
      <w:pPr>
        <w:spacing w:before="160" w:after="80"/>
      </w:pPr>
      <w:r>
        <w:rPr>
          <w:rFonts w:ascii="Calibri" w:hAnsi="Calibri"/>
          <w:b/>
          <w:color w:val="464646"/>
          <w:sz w:val="22"/>
        </w:rPr>
        <w:t>Cấm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Không đặt giường sát cửa sổ thấp.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Không để giường chắn hoàn toàn lối vào phòng.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sz w:val="22"/>
        </w:rPr>
        <w:t>Không nhồi đồ nếu clearance &lt; 600mm.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Quy tắc chung (mọi phòng)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4536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Quy tắc</w:t>
            </w:r>
          </w:p>
        </w:tc>
        <w:tc>
          <w:tcPr>
            <w:tcW w:type="dxa" w:w="4536"/>
            <w:shd w:val="clear" w:color="auto"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Anchor trước</w:t>
            </w:r>
          </w:p>
        </w:tc>
        <w:tc>
          <w:tcPr>
            <w:tcW w:type="dxa" w:w="576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Đặt đồ chính (sofa / giường / bếp) trước, đồ phụ căn theo.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Focal wall</w:t>
            </w:r>
          </w:p>
        </w:tc>
        <w:tc>
          <w:tcPr>
            <w:tcW w:type="dxa" w:w="5760"/>
            <w:shd w:val="clear" w:color="auto" w:fill="EBF3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Đồ chính hướng về tường chính (dài nhất, ít cản nhất).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Lối đi tối thiểu</w:t>
            </w:r>
          </w:p>
        </w:tc>
        <w:tc>
          <w:tcPr>
            <w:tcW w:type="dxa" w:w="576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≥ 600mm giữa đồ và tường / đồ khác.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Tránh entry</w:t>
            </w:r>
          </w:p>
        </w:tc>
        <w:tc>
          <w:tcPr>
            <w:tcW w:type="dxa" w:w="5760"/>
            <w:shd w:val="clear" w:color="auto" w:fill="EBF3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Đồ lớn không đặt ngay cạnh cửa ra vào.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Zone nguyên vẹn</w:t>
            </w:r>
          </w:p>
        </w:tc>
        <w:tc>
          <w:tcPr>
            <w:tcW w:type="dxa" w:w="576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Đồ cùng nhóm phải cùng 1 vùng, không tách ra phòng khác.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Không chặn cửa sổ</w:t>
            </w:r>
          </w:p>
        </w:tc>
        <w:tc>
          <w:tcPr>
            <w:tcW w:type="dxa" w:w="5760"/>
            <w:shd w:val="clear" w:color="auto" w:fill="EBF3F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Đồ cao (tủ) không đặt trước cửa sổ chính.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Clearance tủ</w:t>
            </w:r>
          </w:p>
        </w:tc>
        <w:tc>
          <w:tcPr>
            <w:tcW w:type="dxa" w:w="576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Tủ có cánh mở cần ≥ 500mm phía trước để mở cánh.</w:t>
            </w:r>
          </w:p>
        </w:tc>
      </w:tr>
    </w:tbl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