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b6569d1ff87aa7f2fd85e65a618cd0c82ae363"/>
    <w:p>
      <w:pPr>
        <w:pStyle w:val="Heading2"/>
      </w:pPr>
      <w:r>
        <w:t xml:space="preserve">6. Chỉ số Cảnh báo Xâm nhập (Indicators of Compromise - IoCs)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Loại IoC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trị / Thông số nhận diện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SHA-256 Hash (Thực nghiệm)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5038121ebac3408b1f90e626a1a5e5f4a8bc7e1c331589c60ce44befd1395305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SHA-256 Hash (Gốc WannaCry 2.0)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24d004a104d4d54034dbc29245d06192ec1e6b514810904f932be1981e663a3e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 Extension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.WNCRY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Process Names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tasksche.exe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mssecsvc.exe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@WanaDecryptor@.exe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Network 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 445, TCP 139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Kill-Switch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http://www.iuqerfsodp9ifjaposdfjhgosurijfaewrwergwea.com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Ransom 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@Please_Read_Me@.txt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2026-09-19T01:10:44Z</dcterms:created>
  <dcterms:modified xsi:type="dcterms:W3CDTF">2026-09-19T01:10:44Z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