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808080"/>
          <w:sz w:val="18"/>
          <w:szCs w:val="18"/>
        </w:rPr>
        <w:t xml:space="preserve">OSI GLOBAL  |  LEADERSHIP SHOWCASE</w:t>
      </w:r>
    </w:p>
    <w:p>
      <w:pPr>
        <w:spacing w:after="200" w:before="40"/>
      </w:pPr>
      <w:r>
        <w:rPr>
          <w:rFonts w:ascii="Calibri" w:cs="Calibri" w:eastAsia="Calibri" w:hAnsi="Calibri"/>
          <w:b/>
          <w:bCs/>
          <w:color w:val="1F3864"/>
          <w:sz w:val="40"/>
          <w:szCs w:val="40"/>
        </w:rPr>
        <w:t xml:space="preserve">Brian Charrette — Rep-Led Content Engine</w:t>
      </w:r>
    </w:p>
    <w:p>
      <w:pPr>
        <w:spacing w:after="60"/>
      </w:pPr>
      <w:r>
        <w:rPr>
          <w:rFonts w:ascii="Calibri" w:cs="Calibri" w:eastAsia="Calibri" w:hAnsi="Calibri"/>
          <w:i/>
          <w:iCs/>
          <w:color w:val="404040"/>
          <w:sz w:val="22"/>
          <w:szCs w:val="22"/>
        </w:rPr>
        <w:t xml:space="preserve">Top-account-anchored LinkedIn content strategy for fiber, broadband, telecom, and critical infrastructure buyers.</w:t>
      </w:r>
    </w:p>
    <w:p>
      <w:pPr>
        <w:spacing w:after="200"/>
      </w:pPr>
      <w:r>
        <w:rPr>
          <w:rFonts w:ascii="Calibri" w:cs="Calibri" w:eastAsia="Calibri" w:hAnsi="Calibri"/>
          <w:color w:val="606060"/>
          <w:sz w:val="20"/>
          <w:szCs w:val="20"/>
        </w:rPr>
        <w:t xml:space="preserve">Rep: Brian Charrette     |     Prepared: May 22, 2026     |     Adapted from the Monse Olguin engine pilot</w:t>
      </w:r>
    </w:p>
    <w:p>
      <w:pPr>
        <w:pStyle w:val="Heading1"/>
        <w:spacing w:after="200" w:before="320"/>
      </w:pPr>
      <w:r>
        <w:rPr>
          <w:rFonts w:ascii="Calibri" w:cs="Calibri" w:eastAsia="Calibri" w:hAnsi="Calibri"/>
          <w:b/>
          <w:bCs/>
          <w:sz w:val="32"/>
          <w:szCs w:val="32"/>
        </w:rPr>
        <w:t xml:space="preserve">1. Why this exists</w:t>
      </w:r>
    </w:p>
    <w:p>
      <w:pPr>
        <w:spacing w:after="120" w:line="300"/>
      </w:pPr>
      <w:r>
        <w:t xml:space="preserve">OSI has corporate content. Andrea Arnold's team builds the brand voice — blog posts, marketing collateral, broad-audience pieces sent to the full ICP. That work is doing what it should: building brand authority, discoverability, and a consistent OSI face in the market.</w:t>
      </w:r>
    </w:p>
    <w:p>
      <w:pPr>
        <w:spacing w:after="120" w:line="300"/>
      </w:pPr>
      <w:r>
        <w:t xml:space="preserve">What OSI does not have yet is rep-led, account-anchored content. Posts written in a specific rep's voice, drawn from specific intelligence on specific named accounts in that rep's book, designed to create LinkedIn surface area with the buyers and peer-networks around those accounts.</w:t>
      </w:r>
    </w:p>
    <w:p>
      <w:pPr>
        <w:spacing w:after="120" w:line="300"/>
      </w:pPr>
      <w:r>
        <w:t xml:space="preserve">These two motions are not competitive. Corporate content builds brand. Rep-led content builds individual presence and creates 1:1 entry into the networks around named accounts. A rep with a credible LinkedIn voice on the verticals he sells into is a different sales asset than a brochure download.</w:t>
      </w:r>
    </w:p>
    <w:p>
      <w:pPr>
        <w:spacing w:after="120" w:line="300"/>
      </w:pPr>
      <w:r>
        <w:t xml:space="preserve">Monse Olguin built the first version of this. Her pilot used eight Bucket 3 DFW accounts as the intel anchor and targeted dormant accounts she wanted to break into. The engine works.</w:t>
      </w:r>
    </w:p>
    <w:p>
      <w:pPr>
        <w:spacing w:after="120" w:line="300"/>
      </w:pPr>
      <w:r>
        <w:t xml:space="preserve">My version is the same engine, different motion.</w:t>
      </w:r>
    </w:p>
    <w:p>
      <w:pPr>
        <w:spacing w:after="120" w:line="300"/>
      </w:pPr>
      <w:r>
        <w:rPr>
          <w:rFonts w:ascii="Calibri" w:cs="Calibri" w:eastAsia="Calibri" w:hAnsi="Calibri"/>
          <w:sz w:val="22"/>
          <w:szCs w:val="22"/>
        </w:rPr>
        <w:t xml:space="preserve">Where Monse's model is </w:t>
      </w:r>
      <w:r>
        <w:rPr>
          <w:rFonts w:ascii="Calibri" w:cs="Calibri" w:eastAsia="Calibri" w:hAnsi="Calibri"/>
          <w:b/>
          <w:bCs/>
          <w:sz w:val="22"/>
          <w:szCs w:val="22"/>
        </w:rPr>
        <w:t xml:space="preserve">break in</w:t>
      </w:r>
      <w:r>
        <w:rPr>
          <w:rFonts w:ascii="Calibri" w:cs="Calibri" w:eastAsia="Calibri" w:hAnsi="Calibri"/>
          <w:sz w:val="22"/>
          <w:szCs w:val="22"/>
        </w:rPr>
        <w:t xml:space="preserve"> — dormant accounts, cold buyers, named-target list — mine is </w:t>
      </w:r>
      <w:r>
        <w:rPr>
          <w:rFonts w:ascii="Calibri" w:cs="Calibri" w:eastAsia="Calibri" w:hAnsi="Calibri"/>
          <w:b/>
          <w:bCs/>
          <w:sz w:val="22"/>
          <w:szCs w:val="22"/>
        </w:rPr>
        <w:t xml:space="preserve">expand and own</w:t>
      </w:r>
      <w:r>
        <w:rPr>
          <w:rFonts w:ascii="Calibri" w:cs="Calibri" w:eastAsia="Calibri" w:hAnsi="Calibri"/>
          <w:sz w:val="22"/>
          <w:szCs w:val="22"/>
        </w:rPr>
        <w:t xml:space="preserve">. I have a book. The top of that book — T-Systems, MidAtlanticBroadband, PPL, Lumos, BAE, SLIC, Deutsche Telekom — is already buying. The intel base is rich. The audience I want is the peer-network around those buyers: their counterparts at other utilities, other fiber operators, other telecom infrastructure shops. People who do the same job at the same kind of company.</w:t>
      </w:r>
    </w:p>
    <w:p>
      <w:pPr>
        <w:spacing w:after="120" w:line="300"/>
      </w:pPr>
      <w:r>
        <w:t xml:space="preserve">This document is the engine, the pillars, the templates, three publish-ready starter posts, and what I need from Andrea and David to start posting on a sustained cadence.</w:t>
      </w:r>
    </w:p>
    <w:p>
      <w:pPr>
        <w:spacing w:after="100" w:before="200"/>
      </w:pPr>
      <w:r>
        <w:rPr>
          <w:rFonts w:ascii="Calibri" w:cs="Calibri" w:eastAsia="Calibri" w:hAnsi="Calibri"/>
          <w:b/>
          <w:bCs/>
          <w:sz w:val="22"/>
          <w:szCs w:val="22"/>
        </w:rPr>
        <w:t xml:space="preserve">Risks I am eyes-open about</w:t>
      </w:r>
    </w:p>
    <w:p>
      <w:pPr>
        <w:pStyle w:val="ListParagraph"/>
        <w:numPr>
          <w:ilvl w:val="0"/>
          <w:numId w:val="2"/>
        </w:numPr>
        <w:spacing w:after="80" w:line="280"/>
      </w:pPr>
      <w:r>
        <w:rPr>
          <w:rFonts w:ascii="Calibri" w:cs="Calibri" w:eastAsia="Calibri" w:hAnsi="Calibri"/>
          <w:sz w:val="22"/>
          <w:szCs w:val="22"/>
        </w:rPr>
        <w:t xml:space="preserve">Brand voice drift. A rep-led post that sounds wrong reflects on OSI. Andrea's input on tone and guardrails is the mitigation.</w:t>
      </w:r>
    </w:p>
    <w:p>
      <w:pPr>
        <w:pStyle w:val="ListParagraph"/>
        <w:numPr>
          <w:ilvl w:val="0"/>
          <w:numId w:val="2"/>
        </w:numPr>
        <w:spacing w:after="80" w:line="280"/>
      </w:pPr>
      <w:r>
        <w:rPr>
          <w:rFonts w:ascii="Calibri" w:cs="Calibri" w:eastAsia="Calibri" w:hAnsi="Calibri"/>
          <w:sz w:val="22"/>
          <w:szCs w:val="22"/>
        </w:rPr>
        <w:t xml:space="preserve">Partner-content politics. Naming specific services-delivery partners in public content is a David-led decision. The starter pack holds that line.</w:t>
      </w:r>
    </w:p>
    <w:p>
      <w:pPr>
        <w:pStyle w:val="ListParagraph"/>
        <w:numPr>
          <w:ilvl w:val="0"/>
          <w:numId w:val="2"/>
        </w:numPr>
        <w:spacing w:after="80" w:line="280"/>
      </w:pPr>
      <w:r>
        <w:rPr>
          <w:rFonts w:ascii="Calibri" w:cs="Calibri" w:eastAsia="Calibri" w:hAnsi="Calibri"/>
          <w:sz w:val="22"/>
          <w:szCs w:val="22"/>
        </w:rPr>
        <w:t xml:space="preserve">Bandwidth. Three posts a week is sustainable for a quota-carrying rep. Five is content-creator pace, not seller pace. I am not asking to become a creator.</w:t>
      </w:r>
    </w:p>
    <w:p>
      <w:pPr>
        <w:pStyle w:val="ListParagraph"/>
        <w:numPr>
          <w:ilvl w:val="0"/>
          <w:numId w:val="2"/>
        </w:numPr>
        <w:spacing w:after="80" w:line="280"/>
      </w:pPr>
      <w:r>
        <w:rPr>
          <w:rFonts w:ascii="Calibri" w:cs="Calibri" w:eastAsia="Calibri" w:hAnsi="Calibri"/>
          <w:sz w:val="22"/>
          <w:szCs w:val="22"/>
        </w:rPr>
        <w:t xml:space="preserve">LinkedIn engagement is not pipeline until it converts. Profile views and named comments from buyers in my target verticals are leading indicators, not bookings. The 90-day review measures both.</w:t>
      </w:r>
    </w:p>
    <w:p>
      <w:r>
        <w:br w:type="page"/>
      </w:r>
    </w:p>
    <w:p>
      <w:pPr>
        <w:pStyle w:val="Heading1"/>
        <w:spacing w:after="200" w:before="320"/>
      </w:pPr>
      <w:r>
        <w:rPr>
          <w:rFonts w:ascii="Calibri" w:cs="Calibri" w:eastAsia="Calibri" w:hAnsi="Calibri"/>
          <w:b/>
          <w:bCs/>
          <w:sz w:val="32"/>
          <w:szCs w:val="32"/>
        </w:rPr>
        <w:t xml:space="preserve">2. How the engine works</w:t>
      </w:r>
    </w:p>
    <w:p>
      <w:pPr>
        <w:spacing w:after="120" w:line="300"/>
      </w:pPr>
      <w:r>
        <w:t xml:space="preserve">Six steps. Each one is cheap on its own. The value is in the accumulation.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1F3864" w:val="clear"/>
            <w:tcMar>
              <w:top w:type="dxa" w:w="140"/>
              <w:left w:type="dxa" w:w="200"/>
              <w:bottom w:type="dxa" w:w="140"/>
              <w:right w:type="dxa" w:w="200"/>
            </w:tcMar>
          </w:tcPr>
          <w:p>
            <w:pPr>
              <w:jc w:val="center"/>
            </w:pPr>
            <w:r>
              <w:rPr>
                <w:rFonts w:ascii="Calibri" w:cs="Calibri" w:eastAsia="Calibri" w:hAnsi="Calibri"/>
                <w:b/>
                <w:bCs/>
                <w:color w:val="FFFFFF"/>
                <w:sz w:val="22"/>
                <w:szCs w:val="22"/>
              </w:rPr>
              <w:t xml:space="preserve">ACCOUNT INTEL  →  CONTENT PILLAR  →  POST TEMPLATE  →  PUBLISHED POST  →  ENGAGEMENT SIGNAL  →  UPDATE INTEL</w:t>
            </w:r>
          </w:p>
        </w:tc>
      </w:tr>
    </w:tbl>
    <w:p>
      <w:r>
        <w:t xml:space="preserve"/>
      </w:r>
    </w:p>
    <w:p>
      <w:pPr>
        <w:spacing w:after="100" w:before="200"/>
      </w:pPr>
      <w:r>
        <w:rPr>
          <w:rFonts w:ascii="Calibri" w:cs="Calibri" w:eastAsia="Calibri" w:hAnsi="Calibri"/>
          <w:b/>
          <w:bCs/>
          <w:sz w:val="22"/>
          <w:szCs w:val="22"/>
        </w:rPr>
        <w:t xml:space="preserve">The six steps</w:t>
      </w:r>
    </w:p>
    <w:p>
      <w:pPr>
        <w:spacing w:after="120" w:line="300"/>
      </w:pPr>
      <w:r>
        <w:rPr>
          <w:rFonts w:ascii="Calibri" w:cs="Calibri" w:eastAsia="Calibri" w:hAnsi="Calibri"/>
          <w:b/>
          <w:bCs/>
          <w:sz w:val="22"/>
          <w:szCs w:val="22"/>
        </w:rPr>
        <w:t xml:space="preserve">Account intel. </w:t>
      </w:r>
      <w:r>
        <w:rPr>
          <w:rFonts w:ascii="Calibri" w:cs="Calibri" w:eastAsia="Calibri" w:hAnsi="Calibri"/>
          <w:sz w:val="22"/>
          <w:szCs w:val="22"/>
        </w:rPr>
        <w:t xml:space="preserve">Account-specific intelligence is the foundation. My anchor set is the top 8–10 accounts in my book: T-Systems, MidAtlanticBroadband, Lumos Networks, PPL, BAE Systems, SLIC Network Solutions, EOG Resources, Deutsche Telekom North America, Navajo Tribal Utility, Valley Electric Association. Each gets an intel pack with trigger events, buyer map, OSI-fit narrative, content angles, and risks. Pulled from HubSpot history, ZoomInfo, LinkedIn, and the web.</w:t>
      </w:r>
    </w:p>
    <w:p>
      <w:pPr>
        <w:spacing w:after="120" w:line="300"/>
      </w:pPr>
      <w:r>
        <w:rPr>
          <w:rFonts w:ascii="Calibri" w:cs="Calibri" w:eastAsia="Calibri" w:hAnsi="Calibri"/>
          <w:b/>
          <w:bCs/>
          <w:sz w:val="22"/>
          <w:szCs w:val="22"/>
        </w:rPr>
        <w:t xml:space="preserve">Content pillar. </w:t>
      </w:r>
      <w:r>
        <w:rPr>
          <w:rFonts w:ascii="Calibri" w:cs="Calibri" w:eastAsia="Calibri" w:hAnsi="Calibri"/>
          <w:sz w:val="22"/>
          <w:szCs w:val="22"/>
        </w:rPr>
        <w:t xml:space="preserve">Five recurring themes I return to. After 90 days, my audience associates me with two or three of these. Mine are listed in Section 3.</w:t>
      </w:r>
    </w:p>
    <w:p>
      <w:pPr>
        <w:spacing w:after="120" w:line="300"/>
      </w:pPr>
      <w:r>
        <w:rPr>
          <w:rFonts w:ascii="Calibri" w:cs="Calibri" w:eastAsia="Calibri" w:hAnsi="Calibri"/>
          <w:b/>
          <w:bCs/>
          <w:sz w:val="22"/>
          <w:szCs w:val="22"/>
        </w:rPr>
        <w:t xml:space="preserve">Post template. </w:t>
      </w:r>
      <w:r>
        <w:rPr>
          <w:rFonts w:ascii="Calibri" w:cs="Calibri" w:eastAsia="Calibri" w:hAnsi="Calibri"/>
          <w:sz w:val="22"/>
          <w:szCs w:val="22"/>
        </w:rPr>
        <w:t xml:space="preserve">Five reusable post shapes. Pick the pillar, then pick the template. Eliminates the blank-page problem. Listed in Section 4.</w:t>
      </w:r>
    </w:p>
    <w:p>
      <w:pPr>
        <w:spacing w:after="120" w:line="300"/>
      </w:pPr>
      <w:r>
        <w:rPr>
          <w:rFonts w:ascii="Calibri" w:cs="Calibri" w:eastAsia="Calibri" w:hAnsi="Calibri"/>
          <w:b/>
          <w:bCs/>
          <w:sz w:val="22"/>
          <w:szCs w:val="22"/>
        </w:rPr>
        <w:t xml:space="preserve">Published post. </w:t>
      </w:r>
      <w:r>
        <w:rPr>
          <w:rFonts w:ascii="Calibri" w:cs="Calibri" w:eastAsia="Calibri" w:hAnsi="Calibri"/>
          <w:sz w:val="22"/>
          <w:szCs w:val="22"/>
        </w:rPr>
        <w:t xml:space="preserve">A 30-to-90-minute draft. Specific. Opinion-having. In my voice. No corporate filler. Three publish-ready examples in Section 5.</w:t>
      </w:r>
    </w:p>
    <w:p>
      <w:pPr>
        <w:spacing w:after="120" w:line="300"/>
      </w:pPr>
      <w:r>
        <w:rPr>
          <w:rFonts w:ascii="Calibri" w:cs="Calibri" w:eastAsia="Calibri" w:hAnsi="Calibri"/>
          <w:b/>
          <w:bCs/>
          <w:sz w:val="22"/>
          <w:szCs w:val="22"/>
        </w:rPr>
        <w:t xml:space="preserve">Engagement signal. </w:t>
      </w:r>
      <w:r>
        <w:rPr>
          <w:rFonts w:ascii="Calibri" w:cs="Calibri" w:eastAsia="Calibri" w:hAnsi="Calibri"/>
          <w:sz w:val="22"/>
          <w:szCs w:val="22"/>
        </w:rPr>
        <w:t xml:space="preserve">The feedback layer. Likes from strangers are vanity. Profile views, named comments, and connection requests from network engineers, IT directors, and infrastructure leads at peer companies in my target verticals are the real currency.</w:t>
      </w:r>
    </w:p>
    <w:p>
      <w:pPr>
        <w:spacing w:after="120" w:line="300"/>
      </w:pPr>
      <w:r>
        <w:rPr>
          <w:rFonts w:ascii="Calibri" w:cs="Calibri" w:eastAsia="Calibri" w:hAnsi="Calibri"/>
          <w:b/>
          <w:bCs/>
          <w:sz w:val="22"/>
          <w:szCs w:val="22"/>
        </w:rPr>
        <w:t xml:space="preserve">Update the intel. </w:t>
      </w:r>
      <w:r>
        <w:rPr>
          <w:rFonts w:ascii="Calibri" w:cs="Calibri" w:eastAsia="Calibri" w:hAnsi="Calibri"/>
          <w:sz w:val="22"/>
          <w:szCs w:val="22"/>
        </w:rPr>
        <w:t xml:space="preserve">The loop closes. When a network lead at a regional fiber operator engages a post about Lumos's build pace, that goes into the intel pack as a warm-thread note. The next post is informed by who is actually paying attention. The flywheel is the point.</w:t>
      </w:r>
    </w:p>
    <w:p>
      <w:r>
        <w:br w:type="page"/>
      </w:r>
    </w:p>
    <w:p>
      <w:pPr>
        <w:pStyle w:val="Heading1"/>
        <w:spacing w:after="200" w:before="320"/>
      </w:pPr>
      <w:r>
        <w:rPr>
          <w:rFonts w:ascii="Calibri" w:cs="Calibri" w:eastAsia="Calibri" w:hAnsi="Calibri"/>
          <w:b/>
          <w:bCs/>
          <w:sz w:val="32"/>
          <w:szCs w:val="32"/>
        </w:rPr>
        <w:t xml:space="preserve">3. My five pillars</w:t>
      </w:r>
    </w:p>
    <w:p>
      <w:pPr>
        <w:spacing w:after="120" w:line="300"/>
      </w:pPr>
      <w:r>
        <w:t xml:space="preserve">Four of these lift directly from the Monse model — they are OSI-pillar-grounded and apply to any rep. The fifth pillar (the local-credibility slot) swaps from DFW geography to my vertical anchor: fiber and broadband.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5880"/>
      </w:tblGrid>
      <w:tr>
        <w:trPr>
          <w:tblHeader/>
        </w:trPr>
        <w:tc>
          <w:tcPr>
            <w:tcW w:type="dxa" w:w="1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2"/>
                <w:szCs w:val="22"/>
              </w:rPr>
              <w:t xml:space="preserv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2"/>
                <w:szCs w:val="22"/>
              </w:rPr>
              <w:t xml:space="preserve">Pillar</w:t>
            </w:r>
          </w:p>
        </w:tc>
        <w:tc>
          <w:tcPr>
            <w:tcW w:type="dxa" w:w="58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2"/>
                <w:szCs w:val="22"/>
              </w:rPr>
              <w:t xml:space="preserve">What it is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The OEM Tax Conversation</w:t>
            </w:r>
          </w:p>
        </w:tc>
        <w:tc>
          <w:tcPr>
            <w:tcW w:type="dxa" w:w="5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Optics, DAC, transceiver, and switch-bundled hardware pricing. The argument is the same one Monse runs: branded optics premium is not paying for what procurement was sold. Smartoptics is my partnership lever.</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End-of-Life &amp; Refresh Strategy</w:t>
            </w:r>
          </w:p>
        </w:tc>
        <w:tc>
          <w:tcPr>
            <w:tcW w:type="dxa" w:w="5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DDR4 to DDR5 cycles. Server and storage refresh windows. EOL on legacy platforms still in production. How buyers should think about timing, BOM substitution, and the difference between vendor end-of-sale and the actual end of useful life.</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Deployment in the Field</w:t>
            </w:r>
          </w:p>
        </w:tc>
        <w:tc>
          <w:tcPr>
            <w:tcW w:type="dxa" w:w="5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Field stories. Multi-site cabling, refresh weekends, smart-PDU surprises, OSP work that did not match the drawings. Generalized so no customer is identifiable. The lesson stands on its own. These are the highest-engagement posts in this model.</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Power &amp; Data Center Resilience</w:t>
            </w:r>
          </w:p>
        </w:tc>
        <w:tc>
          <w:tcPr>
            <w:tcW w:type="dxa" w:w="5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APC and Eaton territory. UPS refresh cycles. PDU planning. Phase balance. The intersection of facilities and IT that nobody owns cleanly. Strong fit for my PPL, Navajo Tribal Utility, Valley Electric, and data center accounts.</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Fiber &amp; Broadband Build Pulse</w:t>
            </w:r>
          </w:p>
        </w:tc>
        <w:tc>
          <w:tcPr>
            <w:tcW w:type="dxa" w:w="5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My vertical anchor — replaces Monse's DFW Infrastructure Pulse. BEAD funding, greenfield buildouts, Tier 2/3 operator activity, hyperscale fiber expansion. Pulls from MidAtlanticBroadband, Lumos, SLIC, Deutsche Telekom, T-Systems context. This is where my book lives.</w:t>
            </w:r>
          </w:p>
        </w:tc>
      </w:tr>
    </w:tbl>
    <w:p>
      <w:r>
        <w:br w:type="page"/>
      </w:r>
    </w:p>
    <w:p>
      <w:pPr>
        <w:pStyle w:val="Heading1"/>
        <w:spacing w:after="200" w:before="320"/>
      </w:pPr>
      <w:r>
        <w:rPr>
          <w:rFonts w:ascii="Calibri" w:cs="Calibri" w:eastAsia="Calibri" w:hAnsi="Calibri"/>
          <w:b/>
          <w:bCs/>
          <w:sz w:val="32"/>
          <w:szCs w:val="32"/>
        </w:rPr>
        <w:t xml:space="preserve">4. Five post templates</w:t>
      </w:r>
    </w:p>
    <w:p>
      <w:pPr>
        <w:spacing w:after="120" w:line="300"/>
      </w:pPr>
      <w:r>
        <w:t xml:space="preserve">Templates eliminate the blank page. Pick the pillar from Section 3, then pick the template. The combination is the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400"/>
        <w:gridCol w:w="5880"/>
      </w:tblGrid>
      <w:tr>
        <w:trPr>
          <w:tblHeader/>
        </w:trPr>
        <w:tc>
          <w:tcPr>
            <w:tcW w:type="dxa" w:w="10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2"/>
                <w:szCs w:val="22"/>
              </w:rPr>
              <w:t xml:space="preserv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2"/>
                <w:szCs w:val="22"/>
              </w:rPr>
              <w:t xml:space="preserve">Template</w:t>
            </w:r>
          </w:p>
        </w:tc>
        <w:tc>
          <w:tcPr>
            <w:tcW w:type="dxa" w:w="58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2"/>
                <w:szCs w:val="22"/>
              </w:rPr>
              <w:t xml:space="preserve">Shape</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Trigger-event reaction</w:t>
            </w:r>
          </w:p>
        </w:tc>
        <w:tc>
          <w:tcPr>
            <w:tcW w:type="dxa" w:w="5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Dated, verifiable, named event. Capex announcement, M&amp;A close, BEAD award, groundbreak, new facility. Anchor the post on the event. Argument lives in the read.</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2</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Vertical insight</w:t>
            </w:r>
          </w:p>
        </w:tc>
        <w:tc>
          <w:tcPr>
            <w:tcW w:type="dxa" w:w="5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A pattern across a vertical, told with specifics. "The thing every fiber operator is wrestling with right now is…" — name three real examples, not hand-waving.</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Contrarian take</w:t>
            </w:r>
          </w:p>
        </w:tc>
        <w:tc>
          <w:tcPr>
            <w:tcW w:type="dxa" w:w="5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Take a default the industry runs on and argue it is wrong. Concrete. Numbers. Concede the edge cases. Close with a question, not a CTA.</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Field story</w:t>
            </w:r>
          </w:p>
        </w:tc>
        <w:tc>
          <w:tcPr>
            <w:tcW w:type="dxa" w:w="5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Something that happened on a real project. Anonymized. Three takeaways, not five. The lesson lands harder when the story stands on its own.</w:t>
            </w:r>
          </w:p>
        </w:tc>
      </w:tr>
      <w:tr>
        <w:tc>
          <w:tcPr>
            <w:tcW w:type="dxa" w:w="10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Genuine question</w:t>
            </w:r>
          </w:p>
        </w:tc>
        <w:tc>
          <w:tcPr>
            <w:tcW w:type="dxa" w:w="58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A real question I want the audience to answer. Not Socratic-rhetorical. The kind a peer would actually want to weigh in on. Low effort to engage, high signal in the responses.</w:t>
            </w:r>
          </w:p>
        </w:tc>
      </w:tr>
    </w:tbl>
    <w:p>
      <w:r>
        <w:br w:type="page"/>
      </w:r>
    </w:p>
    <w:p>
      <w:pPr>
        <w:pStyle w:val="Heading1"/>
        <w:spacing w:after="200" w:before="320"/>
      </w:pPr>
      <w:r>
        <w:rPr>
          <w:rFonts w:ascii="Calibri" w:cs="Calibri" w:eastAsia="Calibri" w:hAnsi="Calibri"/>
          <w:b/>
          <w:bCs/>
          <w:sz w:val="32"/>
          <w:szCs w:val="32"/>
        </w:rPr>
        <w:t xml:space="preserve">5. Three polished starter posts</w:t>
      </w:r>
    </w:p>
    <w:p>
      <w:pPr>
        <w:spacing w:after="120" w:line="300"/>
      </w:pPr>
      <w:r>
        <w:t xml:space="preserve">Three drafts pulled from the intel base, polished to publish-ready. Each post is followed by why this is targeted, not generic, and a suggested first comment. LinkedIn convention places links in the first comment, not the post body.</w:t>
      </w:r>
    </w:p>
    <w:p>
      <w:pPr>
        <w:pStyle w:val="Heading2"/>
        <w:spacing w:after="140" w:before="240"/>
      </w:pPr>
      <w:r>
        <w:rPr>
          <w:rFonts w:ascii="Calibri" w:cs="Calibri" w:eastAsia="Calibri" w:hAnsi="Calibri"/>
          <w:b/>
          <w:bCs/>
          <w:sz w:val="26"/>
          <w:szCs w:val="26"/>
        </w:rPr>
        <w:t xml:space="preserve">Post A — The 7x build behind a $950 million number</w:t>
      </w:r>
    </w:p>
    <w:p>
      <w:pPr>
        <w:spacing w:after="120" w:line="300"/>
      </w:pPr>
      <w:r>
        <w:t xml:space="preserve">Template: Trigger-event reaction (Template 1)     |     Pillar: Fiber &amp; Broadband Build Pulse (Pillar 5)</w:t>
      </w:r>
    </w:p>
    <w:p>
      <w:pPr>
        <w:spacing w:after="120" w:line="300"/>
      </w:pPr>
      <w:r>
        <w:rPr>
          <w:rFonts w:ascii="Calibri" w:cs="Calibri" w:eastAsia="Calibri" w:hAnsi="Calibri"/>
          <w:i/>
          <w:iCs/>
          <w:sz w:val="22"/>
          <w:szCs w:val="22"/>
        </w:rPr>
        <w:t xml:space="preserve">Inspired by: </w:t>
      </w:r>
      <w:r>
        <w:rPr>
          <w:rFonts w:ascii="Calibri" w:cs="Calibri" w:eastAsia="Calibri" w:hAnsi="Calibri"/>
          <w:i/>
          <w:iCs/>
          <w:sz w:val="22"/>
          <w:szCs w:val="22"/>
        </w:rPr>
        <w:t xml:space="preserve">Lumos Networks intel. The April 2025 T-Mobile + EQT JV close, the December 2024 $246M Illinois investment announcement, the September 2025 DuPage/Cook County groundbreak, and engineering activity underway in Charleston County. Sources: Lumos newsroom, T-Mobile newsroom, Lightwave, Light Reading.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7FA" w:val="clear"/>
            <w:tcMar>
              <w:top w:type="dxa" w:w="180"/>
              <w:left w:type="dxa" w:w="200"/>
              <w:bottom w:type="dxa" w:w="180"/>
              <w:right w:type="dxa" w:w="200"/>
            </w:tcMar>
          </w:tcPr>
          <w:p>
            <w:pPr>
              <w:spacing w:after="120" w:line="300"/>
            </w:pPr>
            <w:r>
              <w:rPr>
                <w:rFonts w:ascii="Calibri" w:cs="Calibri" w:eastAsia="Calibri" w:hAnsi="Calibri"/>
                <w:sz w:val="22"/>
                <w:szCs w:val="22"/>
              </w:rPr>
              <w:t xml:space="preserve">$950 million is the number everyone quoted when T-Mobile and EQT closed the Lumos deal.</w:t>
            </w:r>
          </w:p>
          <w:p>
            <w:pPr>
              <w:spacing w:after="120" w:line="300"/>
            </w:pPr>
            <w:r>
              <w:rPr>
                <w:rFonts w:ascii="Calibri" w:cs="Calibri" w:eastAsia="Calibri" w:hAnsi="Calibri"/>
                <w:sz w:val="22"/>
                <w:szCs w:val="22"/>
              </w:rPr>
              <w:t xml:space="preserve">The number I keep coming back to is 475,000 homes today, 3.5 million by end of 2028.</w:t>
            </w:r>
          </w:p>
          <w:p>
            <w:pPr>
              <w:spacing w:after="120" w:line="300"/>
            </w:pPr>
            <w:r>
              <w:rPr>
                <w:rFonts w:ascii="Calibri" w:cs="Calibri" w:eastAsia="Calibri" w:hAnsi="Calibri"/>
                <w:sz w:val="22"/>
                <w:szCs w:val="22"/>
              </w:rPr>
              <w:t xml:space="preserve">A 7x build in 32 months. Not "plans to expand." Construction. In the ground. With splice trailers and OSP crews that exist in finite numbers.</w:t>
            </w:r>
          </w:p>
          <w:p>
            <w:pPr>
              <w:spacing w:after="120" w:line="300"/>
            </w:pPr>
            <w:r>
              <w:rPr>
                <w:rFonts w:ascii="Calibri" w:cs="Calibri" w:eastAsia="Calibri" w:hAnsi="Calibri"/>
                <w:sz w:val="22"/>
                <w:szCs w:val="22"/>
              </w:rPr>
              <w:t xml:space="preserve">Lumos broke ground in DuPage and Cook County last September. Twenty-plus Chicagoland communities, 3,000 miles of new fiber in one metro. Engineering is already underway in Charleston County, 500 miles and 50,000 passings in scope.</w:t>
            </w:r>
          </w:p>
          <w:p>
            <w:pPr>
              <w:spacing w:after="120" w:line="300"/>
            </w:pPr>
            <w:r>
              <w:rPr>
                <w:rFonts w:ascii="Calibri" w:cs="Calibri" w:eastAsia="Calibri" w:hAnsi="Calibri"/>
                <w:sz w:val="22"/>
                <w:szCs w:val="22"/>
              </w:rPr>
              <w:t xml:space="preserve">Add Metronet to T-Mobile's wallet and they are publicly walking toward 12 to 15 million homes passed. That is not one company's build. That is two top-tier ISPs being absorbed into a wireless carrier that decided in eighteen months it wanted to be a fiber company too.</w:t>
            </w:r>
          </w:p>
          <w:p>
            <w:pPr>
              <w:spacing w:after="120" w:line="300"/>
            </w:pPr>
            <w:r>
              <w:rPr>
                <w:rFonts w:ascii="Calibri" w:cs="Calibri" w:eastAsia="Calibri" w:hAnsi="Calibri"/>
                <w:sz w:val="22"/>
                <w:szCs w:val="22"/>
              </w:rPr>
              <w:t xml:space="preserve">Three things this changes for the supply side.</w:t>
            </w:r>
          </w:p>
          <w:p>
            <w:pPr>
              <w:spacing w:after="120" w:line="300"/>
            </w:pPr>
            <w:r>
              <w:rPr>
                <w:rFonts w:ascii="Calibri" w:cs="Calibri" w:eastAsia="Calibri" w:hAnsi="Calibri"/>
                <w:sz w:val="22"/>
                <w:szCs w:val="22"/>
              </w:rPr>
              <w:t xml:space="preserve">One. The optics, transceiver, and DAC volumes attached to a build this size do not get filled out of OEM channel by default. Anyone who has tried to source single-mode in volume the last 24 months knows what I mean.</w:t>
            </w:r>
          </w:p>
          <w:p>
            <w:pPr>
              <w:spacing w:after="120" w:line="300"/>
            </w:pPr>
            <w:r>
              <w:rPr>
                <w:rFonts w:ascii="Calibri" w:cs="Calibri" w:eastAsia="Calibri" w:hAnsi="Calibri"/>
                <w:sz w:val="22"/>
                <w:szCs w:val="22"/>
              </w:rPr>
              <w:t xml:space="preserve">Two. Splice-and-test, OSP, and headend integration capacity is finite. The integrators with bench depth in the Mid-Atlantic, Illinois, and the Carolinas were already at capacity in 2024. They are the bottleneck now.</w:t>
            </w:r>
          </w:p>
          <w:p>
            <w:pPr>
              <w:spacing w:after="120" w:line="300"/>
            </w:pPr>
            <w:r>
              <w:rPr>
                <w:rFonts w:ascii="Calibri" w:cs="Calibri" w:eastAsia="Calibri" w:hAnsi="Calibri"/>
                <w:sz w:val="22"/>
                <w:szCs w:val="22"/>
              </w:rPr>
              <w:t xml:space="preserve">Three. The Tier 2 and Tier 3 cable operators in Lumos overbuild markets have a real strategic question for 2026 they did not have to answer in 2024.</w:t>
            </w:r>
          </w:p>
          <w:p>
            <w:pPr>
              <w:spacing w:after="120" w:line="300"/>
            </w:pPr>
            <w:r>
              <w:rPr>
                <w:rFonts w:ascii="Calibri" w:cs="Calibri" w:eastAsia="Calibri" w:hAnsi="Calibri"/>
                <w:sz w:val="22"/>
                <w:szCs w:val="22"/>
              </w:rPr>
              <w:t xml:space="preserve">The buildout is the story. The numbers tell you who feels it first.</w:t>
            </w:r>
          </w:p>
        </w:tc>
      </w:tr>
    </w:tbl>
    <w:p>
      <w:pPr>
        <w:spacing w:after="120" w:line="300"/>
      </w:pPr>
      <w:r>
        <w:t xml:space="preserve">Character count: ~1480     |     LinkedIn-formatted with line breaks</w:t>
      </w:r>
    </w:p>
    <w:p>
      <w:pPr>
        <w:spacing w:after="100" w:before="200"/>
      </w:pPr>
      <w:r>
        <w:rPr>
          <w:rFonts w:ascii="Calibri" w:cs="Calibri" w:eastAsia="Calibri" w:hAnsi="Calibri"/>
          <w:b/>
          <w:bCs/>
          <w:sz w:val="22"/>
          <w:szCs w:val="22"/>
        </w:rPr>
        <w:t xml:space="preserve">Why this is targeted</w:t>
      </w:r>
    </w:p>
    <w:p>
      <w:pPr>
        <w:spacing w:after="120" w:line="300"/>
      </w:pPr>
      <w:r>
        <w:t xml:space="preserve">Network and infrastructure leads at Lumos, MidAtlanticBroadband, SLIC, Deutsche Telekom, and the supply-side ecosystem around fiber buildouts are LinkedIn-active. The post anchors on dated, verifiable, named events — not generic fiber-industry observation. It signals to buyers in the fiber vertical that I am paying attention to their world specifically. The supply-side framing in the back half is what pulls integrators, OSP shops, and procurement leads into the comments — exactly the peer-network I want around my top accounts.</w:t>
      </w:r>
    </w:p>
    <w:p>
      <w:pPr>
        <w:spacing w:after="100" w:before="200"/>
      </w:pPr>
      <w:r>
        <w:rPr>
          <w:rFonts w:ascii="Calibri" w:cs="Calibri" w:eastAsia="Calibri" w:hAnsi="Calibri"/>
          <w:b/>
          <w:bCs/>
          <w:sz w:val="22"/>
          <w:szCs w:val="22"/>
        </w:rPr>
        <w:t xml:space="preserve">Suggested first comment</w:t>
      </w:r>
    </w:p>
    <w:p>
      <w:pPr>
        <w:spacing w:after="120" w:line="300"/>
      </w:pPr>
      <w:r>
        <w:t xml:space="preserve">Lumos newsroom on the Illinois investment: lumosfiber.com/blog (Dec 17, 2024). T-Mobile + EQT close release at t-mobile.com/news/business. Verify exact URLs before posting.</w:t>
      </w:r>
    </w:p>
    <w:p>
      <w:r>
        <w:br w:type="page"/>
      </w:r>
    </w:p>
    <w:p>
      <w:pPr>
        <w:pStyle w:val="Heading2"/>
        <w:spacing w:after="140" w:before="240"/>
      </w:pPr>
      <w:r>
        <w:rPr>
          <w:rFonts w:ascii="Calibri" w:cs="Calibri" w:eastAsia="Calibri" w:hAnsi="Calibri"/>
          <w:b/>
          <w:bCs/>
          <w:sz w:val="26"/>
          <w:szCs w:val="26"/>
        </w:rPr>
        <w:t xml:space="preserve">Post B — The PDU map was wrong</w:t>
      </w:r>
    </w:p>
    <w:p>
      <w:pPr>
        <w:spacing w:after="120" w:line="300"/>
      </w:pPr>
      <w:r>
        <w:t xml:space="preserve">Template: Field story (Template 4)     |     Pillar: Deployment in the Field (Pillar 3) — touches Power &amp; DC Resilience (Pillar 4)</w:t>
      </w:r>
    </w:p>
    <w:p>
      <w:pPr>
        <w:spacing w:after="120" w:line="300"/>
      </w:pPr>
      <w:r>
        <w:rPr>
          <w:rFonts w:ascii="Calibri" w:cs="Calibri" w:eastAsia="Calibri" w:hAnsi="Calibri"/>
          <w:i/>
          <w:iCs/>
          <w:sz w:val="22"/>
          <w:szCs w:val="22"/>
        </w:rPr>
        <w:t xml:space="preserve">Inspired by: </w:t>
      </w:r>
      <w:r>
        <w:rPr>
          <w:rFonts w:ascii="Calibri" w:cs="Calibri" w:eastAsia="Calibri" w:hAnsi="Calibri"/>
          <w:i/>
          <w:iCs/>
          <w:sz w:val="22"/>
          <w:szCs w:val="22"/>
        </w:rPr>
        <w:t xml:space="preserve">Cross-account refresh patterns. Generalized so no customer is identifiable. The lesson lands harder when the story stands on its own.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7FA" w:val="clear"/>
            <w:tcMar>
              <w:top w:type="dxa" w:w="180"/>
              <w:left w:type="dxa" w:w="200"/>
              <w:bottom w:type="dxa" w:w="180"/>
              <w:right w:type="dxa" w:w="200"/>
            </w:tcMar>
          </w:tcPr>
          <w:p>
            <w:pPr>
              <w:spacing w:after="120" w:line="300"/>
            </w:pPr>
            <w:r>
              <w:rPr>
                <w:rFonts w:ascii="Calibri" w:cs="Calibri" w:eastAsia="Calibri" w:hAnsi="Calibri"/>
                <w:sz w:val="22"/>
                <w:szCs w:val="22"/>
              </w:rPr>
              <w:t xml:space="preserve">Walked into a data center refresh last quarter. Customer had a clean cutover plan. Three weeks of stage-and-burn, all the gear in racks, all the cabling labeled, all the runbooks signed off.</w:t>
            </w:r>
          </w:p>
          <w:p>
            <w:pPr>
              <w:spacing w:after="120" w:line="300"/>
            </w:pPr>
            <w:r>
              <w:rPr>
                <w:rFonts w:ascii="Calibri" w:cs="Calibri" w:eastAsia="Calibri" w:hAnsi="Calibri"/>
                <w:sz w:val="22"/>
                <w:szCs w:val="22"/>
              </w:rPr>
              <w:t xml:space="preserve">What they did not have was a current PDU map.</w:t>
            </w:r>
          </w:p>
          <w:p>
            <w:pPr>
              <w:spacing w:after="120" w:line="300"/>
            </w:pPr>
            <w:r>
              <w:rPr>
                <w:rFonts w:ascii="Calibri" w:cs="Calibri" w:eastAsia="Calibri" w:hAnsi="Calibri"/>
                <w:sz w:val="22"/>
                <w:szCs w:val="22"/>
              </w:rPr>
              <w:t xml:space="preserve">Every rack had a strip the original integrator installed in 2019. The labels had been peeled or sun-faded. Half the C13s were daisy-chained from another rack two rows over because somebody in 2022 had needed two more outlets and just ran a tail. The actual draw on each strip was not what the spreadsheet said it was.</w:t>
            </w:r>
          </w:p>
          <w:p>
            <w:pPr>
              <w:spacing w:after="120" w:line="300"/>
            </w:pPr>
            <w:r>
              <w:rPr>
                <w:rFonts w:ascii="Calibri" w:cs="Calibri" w:eastAsia="Calibri" w:hAnsi="Calibri"/>
                <w:sz w:val="22"/>
                <w:szCs w:val="22"/>
              </w:rPr>
              <w:t xml:space="preserve">We caught it on day two because the smart-PDU on the first new rack flagged a phase imbalance before the second cabinet was even live.</w:t>
            </w:r>
          </w:p>
          <w:p>
            <w:pPr>
              <w:spacing w:after="120" w:line="300"/>
            </w:pPr>
            <w:r>
              <w:rPr>
                <w:rFonts w:ascii="Calibri" w:cs="Calibri" w:eastAsia="Calibri" w:hAnsi="Calibri"/>
                <w:sz w:val="22"/>
                <w:szCs w:val="22"/>
              </w:rPr>
              <w:t xml:space="preserve">Two hours of mapping. One reroute. One emergency C19 strip from local stock because the original BOM did not account for the daisy-chain we found. The customer's facilities lead walked the row with us and said something I have heard a dozen times: "we always meant to fix that."</w:t>
            </w:r>
          </w:p>
          <w:p>
            <w:pPr>
              <w:spacing w:after="120" w:line="300"/>
            </w:pPr>
            <w:r>
              <w:rPr>
                <w:rFonts w:ascii="Calibri" w:cs="Calibri" w:eastAsia="Calibri" w:hAnsi="Calibri"/>
                <w:sz w:val="22"/>
                <w:szCs w:val="22"/>
              </w:rPr>
              <w:t xml:space="preserve">Three things I keep relearning on power.</w:t>
            </w:r>
          </w:p>
          <w:p>
            <w:pPr>
              <w:spacing w:after="120" w:line="300"/>
            </w:pPr>
            <w:r>
              <w:rPr>
                <w:rFonts w:ascii="Calibri" w:cs="Calibri" w:eastAsia="Calibri" w:hAnsi="Calibri"/>
                <w:sz w:val="22"/>
                <w:szCs w:val="22"/>
              </w:rPr>
              <w:t xml:space="preserve">First. The cleanest looking rack hides the worst surprises. Sun-faded labels and unbranded extension tails are the equivalent of an undocumented patch cable. They keep working until they don't.</w:t>
            </w:r>
          </w:p>
          <w:p>
            <w:pPr>
              <w:spacing w:after="120" w:line="300"/>
            </w:pPr>
            <w:r>
              <w:rPr>
                <w:rFonts w:ascii="Calibri" w:cs="Calibri" w:eastAsia="Calibri" w:hAnsi="Calibri"/>
                <w:sz w:val="22"/>
                <w:szCs w:val="22"/>
              </w:rPr>
              <w:t xml:space="preserve">Second. Phase balance is not a thing that fixes itself. Every refresh is the chance to actually measure it, not the chance to recopy the 2019 spreadsheet.</w:t>
            </w:r>
          </w:p>
          <w:p>
            <w:pPr>
              <w:spacing w:after="120" w:line="300"/>
            </w:pPr>
            <w:r>
              <w:rPr>
                <w:rFonts w:ascii="Calibri" w:cs="Calibri" w:eastAsia="Calibri" w:hAnsi="Calibri"/>
                <w:sz w:val="22"/>
                <w:szCs w:val="22"/>
              </w:rPr>
              <w:t xml:space="preserve">Third. The partners I want to keep working with are the ones who walk the floor before they quote. Not because the quote is wrong without it. Because the cutover is wrong without it.</w:t>
            </w:r>
          </w:p>
          <w:p>
            <w:pPr>
              <w:spacing w:after="120" w:line="300"/>
            </w:pPr>
            <w:r>
              <w:rPr>
                <w:rFonts w:ascii="Calibri" w:cs="Calibri" w:eastAsia="Calibri" w:hAnsi="Calibri"/>
                <w:sz w:val="22"/>
                <w:szCs w:val="22"/>
              </w:rPr>
              <w:t xml:space="preserve">If your integrator has never told you a strip needed to come out before a refresh could go in, that is not a clean install record. That is a missed catch.</w:t>
            </w:r>
          </w:p>
        </w:tc>
      </w:tr>
    </w:tbl>
    <w:p>
      <w:pPr>
        <w:spacing w:after="120" w:line="300"/>
      </w:pPr>
      <w:r>
        <w:t xml:space="preserve">Character count: ~1530     |     LinkedIn-formatted with line breaks</w:t>
      </w:r>
    </w:p>
    <w:p>
      <w:pPr>
        <w:spacing w:after="100" w:before="200"/>
      </w:pPr>
      <w:r>
        <w:rPr>
          <w:rFonts w:ascii="Calibri" w:cs="Calibri" w:eastAsia="Calibri" w:hAnsi="Calibri"/>
          <w:b/>
          <w:bCs/>
          <w:sz w:val="22"/>
          <w:szCs w:val="22"/>
        </w:rPr>
        <w:t xml:space="preserve">Why this is targeted</w:t>
      </w:r>
    </w:p>
    <w:p>
      <w:pPr>
        <w:spacing w:after="120" w:line="300"/>
      </w:pPr>
      <w:r>
        <w:t xml:space="preserve">Every top account in my book runs multi-site power infrastructure: PPL substations, MidAtlanticBroadband headends, Lumos OSP huts, BAE Systems labs, Hyatt property data closets, T-Systems and Deutsche Telekom data center halls. The post is not generic deployment philosophy. It is the kind of story a facilities lead, network engineer, or DC operations manager at any of those companies will read and silently nod at, then check who posted it. The smart-PDU detail and C13/C19 specifics earn credibility with anyone who has walked a row with a hot strip in one hand and a meter in the other.</w:t>
      </w:r>
    </w:p>
    <w:p>
      <w:pPr>
        <w:spacing w:after="100" w:before="200"/>
      </w:pPr>
      <w:r>
        <w:rPr>
          <w:rFonts w:ascii="Calibri" w:cs="Calibri" w:eastAsia="Calibri" w:hAnsi="Calibri"/>
          <w:b/>
          <w:bCs/>
          <w:sz w:val="22"/>
          <w:szCs w:val="22"/>
        </w:rPr>
        <w:t xml:space="preserve">Suggested first comment</w:t>
      </w:r>
    </w:p>
    <w:p>
      <w:pPr>
        <w:spacing w:after="120" w:line="300"/>
      </w:pPr>
      <w:r>
        <w:t xml:space="preserve">None. This is a story post — let it stand. If a peer asks for tooling specifics in the comments, reply in voice. Do not pre-empt the conversation.</w:t>
      </w:r>
    </w:p>
    <w:p>
      <w:r>
        <w:br w:type="page"/>
      </w:r>
    </w:p>
    <w:p>
      <w:pPr>
        <w:pStyle w:val="Heading2"/>
        <w:spacing w:after="140" w:before="240"/>
      </w:pPr>
      <w:r>
        <w:rPr>
          <w:rFonts w:ascii="Calibri" w:cs="Calibri" w:eastAsia="Calibri" w:hAnsi="Calibri"/>
          <w:b/>
          <w:bCs/>
          <w:sz w:val="26"/>
          <w:szCs w:val="26"/>
        </w:rPr>
        <w:t xml:space="preserve">Post C — The warranty is the lie</w:t>
      </w:r>
    </w:p>
    <w:p>
      <w:pPr>
        <w:spacing w:after="120" w:line="300"/>
      </w:pPr>
      <w:r>
        <w:t xml:space="preserve">Template: Contrarian take (Template 3)     |     Pillar: The OEM Tax Conversation (Pillar 1)</w:t>
      </w:r>
    </w:p>
    <w:p>
      <w:pPr>
        <w:spacing w:after="120" w:line="300"/>
      </w:pPr>
      <w:r>
        <w:rPr>
          <w:rFonts w:ascii="Calibri" w:cs="Calibri" w:eastAsia="Calibri" w:hAnsi="Calibri"/>
          <w:i/>
          <w:iCs/>
          <w:sz w:val="22"/>
          <w:szCs w:val="22"/>
        </w:rPr>
        <w:t xml:space="preserve">Inspired by: </w:t>
      </w:r>
      <w:r>
        <w:rPr>
          <w:rFonts w:ascii="Calibri" w:cs="Calibri" w:eastAsia="Calibri" w:hAnsi="Calibri"/>
          <w:i/>
          <w:iCs/>
          <w:sz w:val="22"/>
          <w:szCs w:val="22"/>
        </w:rPr>
        <w:t xml:space="preserve">Cross-pack pattern. Optical exposure at T-Systems, Deutsche Telekom, Lumos, MidAtlanticBroadband, BAE, EOG — all have material spend on transceivers and DAC. No single customer named; the argument carries on its own.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5F7FA" w:val="clear"/>
            <w:tcMar>
              <w:top w:type="dxa" w:w="180"/>
              <w:left w:type="dxa" w:w="200"/>
              <w:bottom w:type="dxa" w:w="180"/>
              <w:right w:type="dxa" w:w="200"/>
            </w:tcMar>
          </w:tcPr>
          <w:p>
            <w:pPr>
              <w:spacing w:after="120" w:line="300"/>
            </w:pPr>
            <w:r>
              <w:rPr>
                <w:rFonts w:ascii="Calibri" w:cs="Calibri" w:eastAsia="Calibri" w:hAnsi="Calibri"/>
                <w:sz w:val="22"/>
                <w:szCs w:val="22"/>
              </w:rPr>
              <w:t xml:space="preserve">The warranty is the lie.</w:t>
            </w:r>
          </w:p>
          <w:p>
            <w:pPr>
              <w:spacing w:after="120" w:line="300"/>
            </w:pPr>
            <w:r>
              <w:rPr>
                <w:rFonts w:ascii="Calibri" w:cs="Calibri" w:eastAsia="Calibri" w:hAnsi="Calibri"/>
                <w:sz w:val="22"/>
                <w:szCs w:val="22"/>
              </w:rPr>
              <w:t xml:space="preserve">Network teams keep paying three to ten times for OEM-branded optics on the theory that the warranty pays for itself if anything fails. I have been hearing that argument for a decade. I have yet to see a real claim play out the way the procurement deck said it would.</w:t>
            </w:r>
          </w:p>
          <w:p>
            <w:pPr>
              <w:spacing w:after="120" w:line="300"/>
            </w:pPr>
            <w:r>
              <w:rPr>
                <w:rFonts w:ascii="Calibri" w:cs="Calibri" w:eastAsia="Calibri" w:hAnsi="Calibri"/>
                <w:sz w:val="22"/>
                <w:szCs w:val="22"/>
              </w:rPr>
              <w:t xml:space="preserve">Walk into any closet running on five years of switches and pull a tray. Look at the optics. Most of them have been in service longer than the warranty period. Many of them are riding on switch platforms the OEM has already EOLed. The "warranty" covers a transceiver running in a chassis the OEM will not sell a replacement for.</w:t>
            </w:r>
          </w:p>
          <w:p>
            <w:pPr>
              <w:spacing w:after="120" w:line="300"/>
            </w:pPr>
            <w:r>
              <w:rPr>
                <w:rFonts w:ascii="Calibri" w:cs="Calibri" w:eastAsia="Calibri" w:hAnsi="Calibri"/>
                <w:sz w:val="22"/>
                <w:szCs w:val="22"/>
              </w:rPr>
              <w:t xml:space="preserve">The math the procurement team got sold goes: branded optics plus branded support equals one throat to choke when something breaks. The math that actually plays out goes: a hundred thousand dollars a year in optics premium against a service event that, when it happens, the OEM TAC sends you to a third-party manufacturer anyway because that is who built the optic.</w:t>
            </w:r>
          </w:p>
          <w:p>
            <w:pPr>
              <w:spacing w:after="120" w:line="300"/>
            </w:pPr>
            <w:r>
              <w:rPr>
                <w:rFonts w:ascii="Calibri" w:cs="Calibri" w:eastAsia="Calibri" w:hAnsi="Calibri"/>
                <w:sz w:val="22"/>
                <w:szCs w:val="22"/>
              </w:rPr>
              <w:t xml:space="preserve">Coded third-party optics have been production-grade for over a decade. The interoperability concern is folklore at this point. Open optical line systems make the case even cleaner because you decouple the transport from the switch entirely.</w:t>
            </w:r>
          </w:p>
          <w:p>
            <w:pPr>
              <w:spacing w:after="120" w:line="300"/>
            </w:pPr>
            <w:r>
              <w:rPr>
                <w:rFonts w:ascii="Calibri" w:cs="Calibri" w:eastAsia="Calibri" w:hAnsi="Calibri"/>
                <w:sz w:val="22"/>
                <w:szCs w:val="22"/>
              </w:rPr>
              <w:t xml:space="preserve">I am not saying never buy OEM. Small footprints. Deeply integrated TAC relationships. Compliance environments where the contract names the part number. There are cases.</w:t>
            </w:r>
          </w:p>
          <w:p>
            <w:pPr>
              <w:spacing w:after="120" w:line="300"/>
            </w:pPr>
            <w:r>
              <w:rPr>
                <w:rFonts w:ascii="Calibri" w:cs="Calibri" w:eastAsia="Calibri" w:hAnsi="Calibri"/>
                <w:sz w:val="22"/>
                <w:szCs w:val="22"/>
              </w:rPr>
              <w:t xml:space="preserve">I am saying the default is wrong, and the default has been wrong for years.</w:t>
            </w:r>
          </w:p>
          <w:p>
            <w:pPr>
              <w:spacing w:after="120" w:line="300"/>
            </w:pPr>
            <w:r>
              <w:rPr>
                <w:rFonts w:ascii="Calibri" w:cs="Calibri" w:eastAsia="Calibri" w:hAnsi="Calibri"/>
                <w:sz w:val="22"/>
                <w:szCs w:val="22"/>
              </w:rPr>
              <w:t xml:space="preserve">Make someone in your org defend the line item. The question they have to answer is not "will it work." The question is "what does the warranty actually cover, and have we ever filed a claim."</w:t>
            </w:r>
          </w:p>
          <w:p>
            <w:pPr>
              <w:spacing w:after="120" w:line="300"/>
            </w:pPr>
            <w:r>
              <w:rPr>
                <w:rFonts w:ascii="Calibri" w:cs="Calibri" w:eastAsia="Calibri" w:hAnsi="Calibri"/>
                <w:sz w:val="22"/>
                <w:szCs w:val="22"/>
              </w:rPr>
              <w:t xml:space="preserve">Tell me where this falls apart. The network leads in the audience know if I am right.</w:t>
            </w:r>
          </w:p>
        </w:tc>
      </w:tr>
    </w:tbl>
    <w:p>
      <w:pPr>
        <w:spacing w:after="120" w:line="300"/>
      </w:pPr>
      <w:r>
        <w:t xml:space="preserve">Character count: ~1660     |     LinkedIn-formatted with line breaks</w:t>
      </w:r>
    </w:p>
    <w:p>
      <w:pPr>
        <w:spacing w:after="100" w:before="200"/>
      </w:pPr>
      <w:r>
        <w:rPr>
          <w:rFonts w:ascii="Calibri" w:cs="Calibri" w:eastAsia="Calibri" w:hAnsi="Calibri"/>
          <w:b/>
          <w:bCs/>
          <w:sz w:val="22"/>
          <w:szCs w:val="22"/>
        </w:rPr>
        <w:t xml:space="preserve">Why this is targeted</w:t>
      </w:r>
    </w:p>
    <w:p>
      <w:pPr>
        <w:spacing w:after="120" w:line="300"/>
      </w:pPr>
      <w:r>
        <w:t xml:space="preserve">Telecom (Lumos, MidAtlantic, SLIC, Deutsche Telekom), enterprise software (T-Systems, Verint), defense (BAE, Northrop), and large-utility (PPL) — every one of those verticals runs meaningful optical infrastructure and every one has material exposure to OEM optics pricing. The post does not pitch. It argues. Network leads who read it walk away with a fresh procurement question to bring to their own teams. The OSI / Smartoptics positioning is held out of the body and reserved for the first comment, where it answers the inevitable question instead of leading with it.</w:t>
      </w:r>
    </w:p>
    <w:p>
      <w:pPr>
        <w:spacing w:after="100" w:before="200"/>
      </w:pPr>
      <w:r>
        <w:rPr>
          <w:rFonts w:ascii="Calibri" w:cs="Calibri" w:eastAsia="Calibri" w:hAnsi="Calibri"/>
          <w:b/>
          <w:bCs/>
          <w:sz w:val="22"/>
          <w:szCs w:val="22"/>
        </w:rPr>
        <w:t xml:space="preserve">Suggested first comment</w:t>
      </w:r>
    </w:p>
    <w:p>
      <w:pPr>
        <w:spacing w:after="120" w:line="300"/>
      </w:pPr>
      <w:r>
        <w:t xml:space="preserve">For folks asking — yes, this is what I do at OSI Global. We are the largest global Smartoptics partner and we quote third-party optics against OEM list pricing every day. Happy to compare numbers privately if anyone wants to look. No pitch in the post on purpose; the argument should stand on its own.</w:t>
      </w:r>
    </w:p>
    <w:p>
      <w:r>
        <w:br w:type="page"/>
      </w:r>
    </w:p>
    <w:p>
      <w:pPr>
        <w:pStyle w:val="Heading1"/>
        <w:spacing w:after="200" w:before="320"/>
      </w:pPr>
      <w:r>
        <w:rPr>
          <w:rFonts w:ascii="Calibri" w:cs="Calibri" w:eastAsia="Calibri" w:hAnsi="Calibri"/>
          <w:b/>
          <w:bCs/>
          <w:sz w:val="32"/>
          <w:szCs w:val="32"/>
        </w:rPr>
        <w:t xml:space="preserve">6. The intel-to-content connection</w:t>
      </w:r>
    </w:p>
    <w:p>
      <w:pPr>
        <w:spacing w:after="120" w:line="300"/>
      </w:pPr>
      <w:r>
        <w:t xml:space="preserve">Walking Post A (Lumos) end to end. This is what makes the engine more than a posting calendar.</w:t>
      </w:r>
    </w:p>
    <w:p>
      <w:pPr>
        <w:spacing w:after="100" w:before="200"/>
      </w:pPr>
      <w:r>
        <w:rPr>
          <w:rFonts w:ascii="Calibri" w:cs="Calibri" w:eastAsia="Calibri" w:hAnsi="Calibri"/>
          <w:b/>
          <w:bCs/>
          <w:sz w:val="22"/>
          <w:szCs w:val="22"/>
        </w:rPr>
        <w:t xml:space="preserve">What the Lumos intel surfaced</w:t>
      </w:r>
    </w:p>
    <w:p>
      <w:pPr>
        <w:pStyle w:val="ListParagraph"/>
        <w:numPr>
          <w:ilvl w:val="0"/>
          <w:numId w:val="2"/>
        </w:numPr>
        <w:spacing w:after="80" w:line="280"/>
      </w:pPr>
      <w:r>
        <w:rPr>
          <w:rFonts w:ascii="Calibri" w:cs="Calibri" w:eastAsia="Calibri" w:hAnsi="Calibri"/>
          <w:sz w:val="22"/>
          <w:szCs w:val="22"/>
        </w:rPr>
        <w:t xml:space="preserve">T-Mobile + EQT joint venture closed April 1, 2025. $950M T-Mobile investment plus $500M committed for 2027–2028 expansion.</w:t>
      </w:r>
    </w:p>
    <w:p>
      <w:pPr>
        <w:pStyle w:val="ListParagraph"/>
        <w:numPr>
          <w:ilvl w:val="0"/>
          <w:numId w:val="2"/>
        </w:numPr>
        <w:spacing w:after="80" w:line="280"/>
      </w:pPr>
      <w:r>
        <w:rPr>
          <w:rFonts w:ascii="Calibri" w:cs="Calibri" w:eastAsia="Calibri" w:hAnsi="Calibri"/>
          <w:sz w:val="22"/>
          <w:szCs w:val="22"/>
        </w:rPr>
        <w:t xml:space="preserve">December 2024: Lumos announced $246M inaugural Illinois investment.</w:t>
      </w:r>
    </w:p>
    <w:p>
      <w:pPr>
        <w:pStyle w:val="ListParagraph"/>
        <w:numPr>
          <w:ilvl w:val="0"/>
          <w:numId w:val="2"/>
        </w:numPr>
        <w:spacing w:after="80" w:line="280"/>
      </w:pPr>
      <w:r>
        <w:rPr>
          <w:rFonts w:ascii="Calibri" w:cs="Calibri" w:eastAsia="Calibri" w:hAnsi="Calibri"/>
          <w:sz w:val="22"/>
          <w:szCs w:val="22"/>
        </w:rPr>
        <w:t xml:space="preserve">September 2025: groundbreak in DuPage and Cook County, Illinois. 3,000-mile fiber installation across 20+ Chicagoland communities.</w:t>
      </w:r>
    </w:p>
    <w:p>
      <w:pPr>
        <w:pStyle w:val="ListParagraph"/>
        <w:numPr>
          <w:ilvl w:val="0"/>
          <w:numId w:val="2"/>
        </w:numPr>
        <w:spacing w:after="80" w:line="280"/>
      </w:pPr>
      <w:r>
        <w:rPr>
          <w:rFonts w:ascii="Calibri" w:cs="Calibri" w:eastAsia="Calibri" w:hAnsi="Calibri"/>
          <w:sz w:val="22"/>
          <w:szCs w:val="22"/>
        </w:rPr>
        <w:t xml:space="preserve">Engineering activity underway in Mt. Pleasant and Charleston County, South Carolina — 500 miles, 50,000 passings.</w:t>
      </w:r>
    </w:p>
    <w:p>
      <w:pPr>
        <w:pStyle w:val="ListParagraph"/>
        <w:numPr>
          <w:ilvl w:val="0"/>
          <w:numId w:val="2"/>
        </w:numPr>
        <w:spacing w:after="80" w:line="280"/>
      </w:pPr>
      <w:r>
        <w:rPr>
          <w:rFonts w:ascii="Calibri" w:cs="Calibri" w:eastAsia="Calibri" w:hAnsi="Calibri"/>
          <w:sz w:val="22"/>
          <w:szCs w:val="22"/>
        </w:rPr>
        <w:t xml:space="preserve">T-Mobile CEO Mike Sievert publicly positioned Lumos + Metronet as a path to 12–15 million homes passed.</w:t>
      </w:r>
    </w:p>
    <w:p>
      <w:pPr>
        <w:pStyle w:val="ListParagraph"/>
        <w:numPr>
          <w:ilvl w:val="0"/>
          <w:numId w:val="2"/>
        </w:numPr>
        <w:spacing w:after="80" w:line="280"/>
      </w:pPr>
      <w:r>
        <w:rPr>
          <w:rFonts w:ascii="Calibri" w:cs="Calibri" w:eastAsia="Calibri" w:hAnsi="Calibri"/>
          <w:sz w:val="22"/>
          <w:szCs w:val="22"/>
        </w:rPr>
        <w:t xml:space="preserve">Current Lumos footprint: 7,500-mile network, ~475,000 homes. Target: 3.5 million homes by end of 2028. A ~7x build in 32 months.</w:t>
      </w:r>
    </w:p>
    <w:p>
      <w:pPr>
        <w:spacing w:after="100" w:before="200"/>
      </w:pPr>
      <w:r>
        <w:rPr>
          <w:rFonts w:ascii="Calibri" w:cs="Calibri" w:eastAsia="Calibri" w:hAnsi="Calibri"/>
          <w:b/>
          <w:bCs/>
          <w:sz w:val="22"/>
          <w:szCs w:val="22"/>
        </w:rPr>
        <w:t xml:space="preserve">What else the pack flagged that shaped the post</w:t>
      </w:r>
    </w:p>
    <w:p>
      <w:pPr>
        <w:pStyle w:val="ListParagraph"/>
        <w:numPr>
          <w:ilvl w:val="0"/>
          <w:numId w:val="2"/>
        </w:numPr>
        <w:spacing w:after="80" w:line="280"/>
      </w:pPr>
      <w:r>
        <w:rPr>
          <w:rFonts w:ascii="Calibri" w:cs="Calibri" w:eastAsia="Calibri" w:hAnsi="Calibri"/>
          <w:sz w:val="22"/>
          <w:szCs w:val="22"/>
        </w:rPr>
        <w:t xml:space="preserve">Supply-side scarcity. OSP construction crews and splice-and-test capacity in the Mid-Atlantic, Illinois, and Carolinas were already at capacity in 2024.</w:t>
      </w:r>
    </w:p>
    <w:p>
      <w:pPr>
        <w:pStyle w:val="ListParagraph"/>
        <w:numPr>
          <w:ilvl w:val="0"/>
          <w:numId w:val="2"/>
        </w:numPr>
        <w:spacing w:after="80" w:line="280"/>
      </w:pPr>
      <w:r>
        <w:rPr>
          <w:rFonts w:ascii="Calibri" w:cs="Calibri" w:eastAsia="Calibri" w:hAnsi="Calibri"/>
          <w:sz w:val="22"/>
          <w:szCs w:val="22"/>
        </w:rPr>
        <w:t xml:space="preserve">Optics volume implications. A build of this scale puts non-trivial pressure on transceiver, DAC, and single-mode supply outside OEM channel.</w:t>
      </w:r>
    </w:p>
    <w:p>
      <w:pPr>
        <w:pStyle w:val="ListParagraph"/>
        <w:numPr>
          <w:ilvl w:val="0"/>
          <w:numId w:val="2"/>
        </w:numPr>
        <w:spacing w:after="80" w:line="280"/>
      </w:pPr>
      <w:r>
        <w:rPr>
          <w:rFonts w:ascii="Calibri" w:cs="Calibri" w:eastAsia="Calibri" w:hAnsi="Calibri"/>
          <w:sz w:val="22"/>
          <w:szCs w:val="22"/>
        </w:rPr>
        <w:t xml:space="preserve">Tier 2 and Tier 3 cable operator overbuild risk. Lumos's expansion markets contain incumbents with real strategic decisions to make in 2026.</w:t>
      </w:r>
    </w:p>
    <w:p>
      <w:pPr>
        <w:spacing w:after="100" w:before="200"/>
      </w:pPr>
      <w:r>
        <w:rPr>
          <w:rFonts w:ascii="Calibri" w:cs="Calibri" w:eastAsia="Calibri" w:hAnsi="Calibri"/>
          <w:b/>
          <w:bCs/>
          <w:sz w:val="22"/>
          <w:szCs w:val="22"/>
        </w:rPr>
        <w:t xml:space="preserve">How those signals became this post</w:t>
      </w:r>
    </w:p>
    <w:p>
      <w:pPr>
        <w:spacing w:after="120" w:line="300"/>
      </w:pPr>
      <w:r>
        <w:rPr>
          <w:rFonts w:ascii="Calibri" w:cs="Calibri" w:eastAsia="Calibri" w:hAnsi="Calibri"/>
          <w:b/>
          <w:bCs/>
          <w:sz w:val="22"/>
          <w:szCs w:val="22"/>
        </w:rPr>
        <w:t xml:space="preserve">Pillar selection. </w:t>
      </w:r>
      <w:r>
        <w:rPr>
          <w:rFonts w:ascii="Calibri" w:cs="Calibri" w:eastAsia="Calibri" w:hAnsi="Calibri"/>
          <w:sz w:val="22"/>
          <w:szCs w:val="22"/>
        </w:rPr>
        <w:t xml:space="preserve">Fiber &amp; Broadband Build Pulse (Pillar 5). Lumos is core to my vertical anchor and a top-revenue account in my book.</w:t>
      </w:r>
    </w:p>
    <w:p>
      <w:pPr>
        <w:spacing w:after="120" w:line="300"/>
      </w:pPr>
      <w:r>
        <w:rPr>
          <w:rFonts w:ascii="Calibri" w:cs="Calibri" w:eastAsia="Calibri" w:hAnsi="Calibri"/>
          <w:b/>
          <w:bCs/>
          <w:sz w:val="22"/>
          <w:szCs w:val="22"/>
        </w:rPr>
        <w:t xml:space="preserve">Template selection. </w:t>
      </w:r>
      <w:r>
        <w:rPr>
          <w:rFonts w:ascii="Calibri" w:cs="Calibri" w:eastAsia="Calibri" w:hAnsi="Calibri"/>
          <w:sz w:val="22"/>
          <w:szCs w:val="22"/>
        </w:rPr>
        <w:t xml:space="preserve">Trigger-event reaction (Template 1). The JV close, the Illinois investment, and the groundbreak are the dated, verifiable, named events the post anchors on.</w:t>
      </w:r>
    </w:p>
    <w:p>
      <w:pPr>
        <w:spacing w:after="120" w:line="300"/>
      </w:pPr>
      <w:r>
        <w:rPr>
          <w:rFonts w:ascii="Calibri" w:cs="Calibri" w:eastAsia="Calibri" w:hAnsi="Calibri"/>
          <w:b/>
          <w:bCs/>
          <w:sz w:val="22"/>
          <w:szCs w:val="22"/>
        </w:rPr>
        <w:t xml:space="preserve">Voice. </w:t>
      </w:r>
      <w:r>
        <w:rPr>
          <w:rFonts w:ascii="Calibri" w:cs="Calibri" w:eastAsia="Calibri" w:hAnsi="Calibri"/>
          <w:sz w:val="22"/>
          <w:szCs w:val="22"/>
        </w:rPr>
        <w:t xml:space="preserve">Declarative. No corporate-speak. An opinion lives in the read. "The buildout is the story. The numbers tell you who feels it first." — conversational close, not a CTA.</w:t>
      </w:r>
    </w:p>
    <w:p>
      <w:pPr>
        <w:spacing w:after="120" w:line="300"/>
      </w:pPr>
      <w:r>
        <w:rPr>
          <w:rFonts w:ascii="Calibri" w:cs="Calibri" w:eastAsia="Calibri" w:hAnsi="Calibri"/>
          <w:b/>
          <w:bCs/>
          <w:sz w:val="22"/>
          <w:szCs w:val="22"/>
        </w:rPr>
        <w:t xml:space="preserve">Targeting layer. </w:t>
      </w:r>
      <w:r>
        <w:rPr>
          <w:rFonts w:ascii="Calibri" w:cs="Calibri" w:eastAsia="Calibri" w:hAnsi="Calibri"/>
          <w:sz w:val="22"/>
          <w:szCs w:val="22"/>
        </w:rPr>
        <w:t xml:space="preserve">Network engineering, OSP, headend integration, and supply-side leads across fiber operators, hyperscale, and Tier 2/3 cable — the LinkedIn-active layer that owns the actual build.</w:t>
      </w:r>
    </w:p>
    <w:p>
      <w:pPr>
        <w:spacing w:after="120" w:line="300"/>
      </w:pPr>
      <w:r>
        <w:rPr>
          <w:rFonts w:ascii="Calibri" w:cs="Calibri" w:eastAsia="Calibri" w:hAnsi="Calibri"/>
          <w:b/>
          <w:bCs/>
          <w:sz w:val="22"/>
          <w:szCs w:val="22"/>
        </w:rPr>
        <w:t xml:space="preserve">Distribution rationale. </w:t>
      </w:r>
      <w:r>
        <w:rPr>
          <w:rFonts w:ascii="Calibri" w:cs="Calibri" w:eastAsia="Calibri" w:hAnsi="Calibri"/>
          <w:sz w:val="22"/>
          <w:szCs w:val="22"/>
        </w:rPr>
        <w:t xml:space="preserve">Tuesday or Wednesday morning, 8:30 AM ET. Best engagement window for infrastructure buyers. Avoid Mondays (inbox triage) and Fridays (drop-off).</w:t>
      </w:r>
    </w:p>
    <w:p>
      <w:pPr>
        <w:spacing w:after="120" w:line="300"/>
      </w:pPr>
      <w:r>
        <w:t xml:space="preserve">That chain — intel pack to pillar to template to post to distribution timing — is the engine. Every post in the starter pack and every post that follows traces back through it. The intel pack is the source of truth. The post is the artifact.</w:t>
      </w:r>
    </w:p>
    <w:p>
      <w:r>
        <w:br w:type="page"/>
      </w:r>
    </w:p>
    <w:p>
      <w:pPr>
        <w:pStyle w:val="Heading1"/>
        <w:spacing w:after="200" w:before="320"/>
      </w:pPr>
      <w:r>
        <w:rPr>
          <w:rFonts w:ascii="Calibri" w:cs="Calibri" w:eastAsia="Calibri" w:hAnsi="Calibri"/>
          <w:b/>
          <w:bCs/>
          <w:sz w:val="32"/>
          <w:szCs w:val="32"/>
        </w:rPr>
        <w:t xml:space="preserve">7. How my motion differs from Monse's pilot</w:t>
      </w:r>
    </w:p>
    <w:p>
      <w:pPr>
        <w:spacing w:after="120" w:line="300"/>
      </w:pPr>
      <w:r>
        <w:t xml:space="preserve">The engine generalizes. The motion does not. Here is what is different in my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2"/>
                <w:szCs w:val="22"/>
              </w:rPr>
              <w:t xml:space="preserve">Dimension</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2"/>
                <w:szCs w:val="22"/>
              </w:rPr>
              <w:t xml:space="preserve">Monse's pilot</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spacing w:after="0" w:line="280"/>
            </w:pPr>
            <w:r>
              <w:rPr>
                <w:rFonts w:ascii="Calibri" w:cs="Calibri" w:eastAsia="Calibri" w:hAnsi="Calibri"/>
                <w:b/>
                <w:bCs/>
                <w:color w:val="FFFFFF"/>
                <w:sz w:val="22"/>
                <w:szCs w:val="22"/>
              </w:rPr>
              <w:t xml:space="preserve">My version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Intel anchor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Eight Bucket 3 DFW accounts — dormant, in Stephen's book, target list for break-in.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Top 8–10 accounts in my own book by revenue. Already buying. Rich intel base from years of history.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Audience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Named buyers at the eight target accounts. Cold.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Peer-network around my top accounts. Network engineers, IT directors, OSP leads at companies like the ones I already sell to.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Geographic frame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DFW. Hyper-local credibility play.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National, vertical-led. Fiber and broadband as the anchor lane, not a region.</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Sales motion behind it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Co-selling with Stephen Craig on dormant accounts.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Network expansion within my existing book and adjacent peer accounts in the same verticals.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Pillar 5</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DFW Infrastructure Pulse — regional anchor.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Fiber &amp; Broadband Build Pulse — vertical anchor.</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b/>
                <w:bCs/>
                <w:color w:val="000000"/>
                <w:sz w:val="22"/>
                <w:szCs w:val="22"/>
              </w:rPr>
              <w:t xml:space="preserve">Why this matters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Proves the engine works for break-in.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line="280"/>
            </w:pPr>
            <w:r>
              <w:rPr>
                <w:rFonts w:ascii="Calibri" w:cs="Calibri" w:eastAsia="Calibri" w:hAnsi="Calibri"/>
                <w:color w:val="000000"/>
                <w:sz w:val="22"/>
                <w:szCs w:val="22"/>
              </w:rPr>
              <w:t xml:space="preserve">Proves the engine works for expand-and-own. Different leading indicators (reactivation, white-space discovery, peer referrals) than break-in.</w:t>
            </w:r>
          </w:p>
        </w:tc>
      </w:tr>
    </w:tbl>
    <w:p>
      <w:r>
        <w:br w:type="page"/>
      </w:r>
    </w:p>
    <w:p>
      <w:pPr>
        <w:pStyle w:val="Heading1"/>
        <w:spacing w:after="200" w:before="320"/>
      </w:pPr>
      <w:r>
        <w:rPr>
          <w:rFonts w:ascii="Calibri" w:cs="Calibri" w:eastAsia="Calibri" w:hAnsi="Calibri"/>
          <w:b/>
          <w:bCs/>
          <w:sz w:val="32"/>
          <w:szCs w:val="32"/>
        </w:rPr>
        <w:t xml:space="preserve">8. Cadence and engagement loop</w:t>
      </w:r>
    </w:p>
    <w:p>
      <w:pPr>
        <w:spacing w:after="100" w:before="200"/>
      </w:pPr>
      <w:r>
        <w:rPr>
          <w:rFonts w:ascii="Calibri" w:cs="Calibri" w:eastAsia="Calibri" w:hAnsi="Calibri"/>
          <w:b/>
          <w:bCs/>
          <w:sz w:val="22"/>
          <w:szCs w:val="22"/>
        </w:rPr>
        <w:t xml:space="preserve">Cadence</w:t>
      </w:r>
    </w:p>
    <w:p>
      <w:pPr>
        <w:pStyle w:val="ListParagraph"/>
        <w:numPr>
          <w:ilvl w:val="0"/>
          <w:numId w:val="2"/>
        </w:numPr>
        <w:spacing w:after="80" w:line="280"/>
      </w:pPr>
      <w:r>
        <w:rPr>
          <w:rFonts w:ascii="Calibri" w:cs="Calibri" w:eastAsia="Calibri" w:hAnsi="Calibri"/>
          <w:sz w:val="22"/>
          <w:szCs w:val="22"/>
        </w:rPr>
        <w:t xml:space="preserve">Three posts per week. Tuesday, Wednesday, Thursday mornings, 8:30 AM ET window.</w:t>
      </w:r>
    </w:p>
    <w:p>
      <w:pPr>
        <w:pStyle w:val="ListParagraph"/>
        <w:numPr>
          <w:ilvl w:val="0"/>
          <w:numId w:val="2"/>
        </w:numPr>
        <w:spacing w:after="80" w:line="280"/>
      </w:pPr>
      <w:r>
        <w:rPr>
          <w:rFonts w:ascii="Calibri" w:cs="Calibri" w:eastAsia="Calibri" w:hAnsi="Calibri"/>
          <w:sz w:val="22"/>
          <w:szCs w:val="22"/>
        </w:rPr>
        <w:t xml:space="preserve">Pillar rotation: aim for at least one Pillar 5 (build pulse) post per week. The other two rotate across Pillars 1–4. No back-to-back same-pillar posts.</w:t>
      </w:r>
    </w:p>
    <w:p>
      <w:pPr>
        <w:pStyle w:val="ListParagraph"/>
        <w:numPr>
          <w:ilvl w:val="0"/>
          <w:numId w:val="2"/>
        </w:numPr>
        <w:spacing w:after="80" w:line="280"/>
      </w:pPr>
      <w:r>
        <w:rPr>
          <w:rFonts w:ascii="Calibri" w:cs="Calibri" w:eastAsia="Calibri" w:hAnsi="Calibri"/>
          <w:sz w:val="22"/>
          <w:szCs w:val="22"/>
        </w:rPr>
        <w:t xml:space="preserve">Template variety: rotate templates so the feed does not become predictable. Trigger-event posts get attention but field-stories drive the deepest comments.</w:t>
      </w:r>
    </w:p>
    <w:p>
      <w:pPr>
        <w:pStyle w:val="ListParagraph"/>
        <w:numPr>
          <w:ilvl w:val="0"/>
          <w:numId w:val="2"/>
        </w:numPr>
        <w:spacing w:after="80" w:line="280"/>
      </w:pPr>
      <w:r>
        <w:rPr>
          <w:rFonts w:ascii="Calibri" w:cs="Calibri" w:eastAsia="Calibri" w:hAnsi="Calibri"/>
          <w:sz w:val="22"/>
          <w:szCs w:val="22"/>
        </w:rPr>
        <w:t xml:space="preserve">Posting cadence is locked at three per week for 90 days. After 90 days, evaluate before changing.</w:t>
      </w:r>
    </w:p>
    <w:p>
      <w:pPr>
        <w:spacing w:after="100" w:before="200"/>
      </w:pPr>
      <w:r>
        <w:rPr>
          <w:rFonts w:ascii="Calibri" w:cs="Calibri" w:eastAsia="Calibri" w:hAnsi="Calibri"/>
          <w:b/>
          <w:bCs/>
          <w:sz w:val="22"/>
          <w:szCs w:val="22"/>
        </w:rPr>
        <w:t xml:space="preserve">Engagement signal loop</w:t>
      </w:r>
    </w:p>
    <w:p>
      <w:pPr>
        <w:pStyle w:val="ListParagraph"/>
        <w:numPr>
          <w:ilvl w:val="0"/>
          <w:numId w:val="2"/>
        </w:numPr>
        <w:spacing w:after="80" w:line="280"/>
      </w:pPr>
      <w:r>
        <w:rPr>
          <w:rFonts w:ascii="Calibri" w:cs="Calibri" w:eastAsia="Calibri" w:hAnsi="Calibri"/>
          <w:sz w:val="22"/>
          <w:szCs w:val="22"/>
        </w:rPr>
        <w:t xml:space="preserve">Sales Navigator saved-search for engagement at my top 10 accounts plus the peer-network around them. Weekly review.</w:t>
      </w:r>
    </w:p>
    <w:p>
      <w:pPr>
        <w:pStyle w:val="ListParagraph"/>
        <w:numPr>
          <w:ilvl w:val="0"/>
          <w:numId w:val="2"/>
        </w:numPr>
        <w:spacing w:after="80" w:line="280"/>
      </w:pPr>
      <w:r>
        <w:rPr>
          <w:rFonts w:ascii="Calibri" w:cs="Calibri" w:eastAsia="Calibri" w:hAnsi="Calibri"/>
          <w:sz w:val="22"/>
          <w:szCs w:val="22"/>
        </w:rPr>
        <w:t xml:space="preserve">Profile-view tracking. Named comments and connection requests from buyers at peer companies in fiber, broadband, utility, and DC infrastructure verticals.</w:t>
      </w:r>
    </w:p>
    <w:p>
      <w:pPr>
        <w:pStyle w:val="ListParagraph"/>
        <w:numPr>
          <w:ilvl w:val="0"/>
          <w:numId w:val="2"/>
        </w:numPr>
        <w:spacing w:after="80" w:line="280"/>
      </w:pPr>
      <w:r>
        <w:rPr>
          <w:rFonts w:ascii="Calibri" w:cs="Calibri" w:eastAsia="Calibri" w:hAnsi="Calibri"/>
          <w:sz w:val="22"/>
          <w:szCs w:val="22"/>
        </w:rPr>
        <w:t xml:space="preserve">Feed those signals back into the intel packs as warm-thread notes. Update HubSpot company-level notes with what each top account is engaging on.</w:t>
      </w:r>
    </w:p>
    <w:p>
      <w:pPr>
        <w:pStyle w:val="ListParagraph"/>
        <w:numPr>
          <w:ilvl w:val="0"/>
          <w:numId w:val="2"/>
        </w:numPr>
        <w:spacing w:after="80" w:line="280"/>
      </w:pPr>
      <w:r>
        <w:rPr>
          <w:rFonts w:ascii="Calibri" w:cs="Calibri" w:eastAsia="Calibri" w:hAnsi="Calibri"/>
          <w:sz w:val="22"/>
          <w:szCs w:val="22"/>
        </w:rPr>
        <w:t xml:space="preserve">If a post from a top-account-anchored pillar lights up engagement from a non-customer peer account, that becomes a prospecting trigger and runs through bc-osi-prospect-qualification.</w:t>
      </w:r>
    </w:p>
    <w:p>
      <w:pPr>
        <w:spacing w:after="100" w:before="200"/>
      </w:pPr>
      <w:r>
        <w:rPr>
          <w:rFonts w:ascii="Calibri" w:cs="Calibri" w:eastAsia="Calibri" w:hAnsi="Calibri"/>
          <w:b/>
          <w:bCs/>
          <w:sz w:val="22"/>
          <w:szCs w:val="22"/>
        </w:rPr>
        <w:t xml:space="preserve">Leading indicators (the things I measure at 30, 60, 90 days)</w:t>
      </w:r>
    </w:p>
    <w:p>
      <w:pPr>
        <w:pStyle w:val="ListParagraph"/>
        <w:numPr>
          <w:ilvl w:val="0"/>
          <w:numId w:val="2"/>
        </w:numPr>
        <w:spacing w:after="80" w:line="280"/>
      </w:pPr>
      <w:r>
        <w:rPr>
          <w:rFonts w:ascii="Calibri" w:cs="Calibri" w:eastAsia="Calibri" w:hAnsi="Calibri"/>
          <w:sz w:val="22"/>
          <w:szCs w:val="22"/>
        </w:rPr>
        <w:t xml:space="preserve">Profile views from buyers at named accounts in my target verticals (count and named list).</w:t>
      </w:r>
    </w:p>
    <w:p>
      <w:pPr>
        <w:pStyle w:val="ListParagraph"/>
        <w:numPr>
          <w:ilvl w:val="0"/>
          <w:numId w:val="2"/>
        </w:numPr>
        <w:spacing w:after="80" w:line="280"/>
      </w:pPr>
      <w:r>
        <w:rPr>
          <w:rFonts w:ascii="Calibri" w:cs="Calibri" w:eastAsia="Calibri" w:hAnsi="Calibri"/>
          <w:sz w:val="22"/>
          <w:szCs w:val="22"/>
        </w:rPr>
        <w:t xml:space="preserve">Named comments from non-customer accounts in fiber, broadband, utility, DC infrastructure.</w:t>
      </w:r>
    </w:p>
    <w:p>
      <w:pPr>
        <w:pStyle w:val="ListParagraph"/>
        <w:numPr>
          <w:ilvl w:val="0"/>
          <w:numId w:val="2"/>
        </w:numPr>
        <w:spacing w:after="80" w:line="280"/>
      </w:pPr>
      <w:r>
        <w:rPr>
          <w:rFonts w:ascii="Calibri" w:cs="Calibri" w:eastAsia="Calibri" w:hAnsi="Calibri"/>
          <w:sz w:val="22"/>
          <w:szCs w:val="22"/>
        </w:rPr>
        <w:t xml:space="preserve">Connection requests inbound from peers at target verticals.</w:t>
      </w:r>
    </w:p>
    <w:p>
      <w:pPr>
        <w:pStyle w:val="ListParagraph"/>
        <w:numPr>
          <w:ilvl w:val="0"/>
          <w:numId w:val="2"/>
        </w:numPr>
        <w:spacing w:after="80" w:line="280"/>
      </w:pPr>
      <w:r>
        <w:rPr>
          <w:rFonts w:ascii="Calibri" w:cs="Calibri" w:eastAsia="Calibri" w:hAnsi="Calibri"/>
          <w:sz w:val="22"/>
          <w:szCs w:val="22"/>
        </w:rPr>
        <w:t xml:space="preserve">Reactivation conversations with dormant top-account contacts who surface in engagement.</w:t>
      </w:r>
    </w:p>
    <w:p>
      <w:pPr>
        <w:pStyle w:val="ListParagraph"/>
        <w:numPr>
          <w:ilvl w:val="0"/>
          <w:numId w:val="2"/>
        </w:numPr>
        <w:spacing w:after="80" w:line="280"/>
      </w:pPr>
      <w:r>
        <w:rPr>
          <w:rFonts w:ascii="Calibri" w:cs="Calibri" w:eastAsia="Calibri" w:hAnsi="Calibri"/>
          <w:sz w:val="22"/>
          <w:szCs w:val="22"/>
        </w:rPr>
        <w:t xml:space="preserve">Booked meetings traceable back to a specific post — the lagging indicator that converts engagement into pipeline.</w:t>
      </w:r>
    </w:p>
    <w:p>
      <w:r>
        <w:br w:type="page"/>
      </w:r>
    </w:p>
    <w:p>
      <w:pPr>
        <w:pStyle w:val="Heading1"/>
        <w:spacing w:after="200" w:before="320"/>
      </w:pPr>
      <w:r>
        <w:rPr>
          <w:rFonts w:ascii="Calibri" w:cs="Calibri" w:eastAsia="Calibri" w:hAnsi="Calibri"/>
          <w:b/>
          <w:bCs/>
          <w:sz w:val="32"/>
          <w:szCs w:val="32"/>
        </w:rPr>
        <w:t xml:space="preserve">9. What I need from Andrea and David</w:t>
      </w:r>
    </w:p>
    <w:p>
      <w:pPr>
        <w:spacing w:after="120" w:line="300"/>
      </w:pPr>
      <w:r>
        <w:t xml:space="preserve">Framed as a partnership offer, not an approval request. The engine is built. I am asking for the right brand and partner guardrails before I publish on a sustained cadence.</w:t>
      </w:r>
    </w:p>
    <w:p>
      <w:pPr>
        <w:spacing w:after="100" w:before="200"/>
      </w:pPr>
      <w:r>
        <w:rPr>
          <w:rFonts w:ascii="Calibri" w:cs="Calibri" w:eastAsia="Calibri" w:hAnsi="Calibri"/>
          <w:b/>
          <w:bCs/>
          <w:sz w:val="22"/>
          <w:szCs w:val="22"/>
        </w:rPr>
        <w:t xml:space="preserve">For Andrea (Marketing)</w:t>
      </w:r>
    </w:p>
    <w:p>
      <w:pPr>
        <w:pStyle w:val="ListParagraph"/>
        <w:numPr>
          <w:ilvl w:val="0"/>
          <w:numId w:val="2"/>
        </w:numPr>
        <w:spacing w:after="80" w:line="280"/>
      </w:pPr>
      <w:r>
        <w:rPr>
          <w:rFonts w:ascii="Calibri" w:cs="Calibri" w:eastAsia="Calibri" w:hAnsi="Calibri"/>
          <w:sz w:val="22"/>
          <w:szCs w:val="22"/>
        </w:rPr>
        <w:t xml:space="preserve">Does this voice — and these three posts specifically — fit OSI brand? Anything to adjust before I publish?</w:t>
      </w:r>
    </w:p>
    <w:p>
      <w:pPr>
        <w:pStyle w:val="ListParagraph"/>
        <w:numPr>
          <w:ilvl w:val="0"/>
          <w:numId w:val="2"/>
        </w:numPr>
        <w:spacing w:after="80" w:line="280"/>
      </w:pPr>
      <w:r>
        <w:rPr>
          <w:rFonts w:ascii="Calibri" w:cs="Calibri" w:eastAsia="Calibri" w:hAnsi="Calibri"/>
          <w:sz w:val="22"/>
          <w:szCs w:val="22"/>
        </w:rPr>
        <w:t xml:space="preserve">Are there existing OSI brand voice or style assets I should fold in — a written style guide, approved language, visual elements? Anything you have already built that I should use instead of reinventing?</w:t>
      </w:r>
    </w:p>
    <w:p>
      <w:pPr>
        <w:pStyle w:val="ListParagraph"/>
        <w:numPr>
          <w:ilvl w:val="0"/>
          <w:numId w:val="2"/>
        </w:numPr>
        <w:spacing w:after="80" w:line="280"/>
      </w:pPr>
      <w:r>
        <w:rPr>
          <w:rFonts w:ascii="Calibri" w:cs="Calibri" w:eastAsia="Calibri" w:hAnsi="Calibri"/>
          <w:sz w:val="22"/>
          <w:szCs w:val="22"/>
        </w:rPr>
        <w:t xml:space="preserve">Do you want to see drafts before they post, or trust the engine on day-to-day? If approval is the right answer, what is the lightest workflow that gives you visibility without slowing the cadence?</w:t>
      </w:r>
    </w:p>
    <w:p>
      <w:pPr>
        <w:pStyle w:val="ListParagraph"/>
        <w:numPr>
          <w:ilvl w:val="0"/>
          <w:numId w:val="2"/>
        </w:numPr>
        <w:spacing w:after="80" w:line="280"/>
      </w:pPr>
      <w:r>
        <w:rPr>
          <w:rFonts w:ascii="Calibri" w:cs="Calibri" w:eastAsia="Calibri" w:hAnsi="Calibri"/>
          <w:sz w:val="22"/>
          <w:szCs w:val="22"/>
        </w:rPr>
        <w:t xml:space="preserve">How should rep-led content coexist with the corporate blog and marketing channels — same themes amplified, distinct themes covered, cross-promoted? Where is the line between your content lane and a rep's?</w:t>
      </w:r>
    </w:p>
    <w:p>
      <w:pPr>
        <w:pStyle w:val="ListParagraph"/>
        <w:numPr>
          <w:ilvl w:val="0"/>
          <w:numId w:val="2"/>
        </w:numPr>
        <w:spacing w:after="80" w:line="280"/>
      </w:pPr>
      <w:r>
        <w:rPr>
          <w:rFonts w:ascii="Calibri" w:cs="Calibri" w:eastAsia="Calibri" w:hAnsi="Calibri"/>
          <w:sz w:val="22"/>
          <w:szCs w:val="22"/>
        </w:rPr>
        <w:t xml:space="preserve">Hard "do not say" topics or themes that need a brand-protection guardrail? Specifically: competitor naming, customer references, financial claims, technical claims that overstate capability.</w:t>
      </w:r>
    </w:p>
    <w:p>
      <w:pPr>
        <w:spacing w:after="100" w:before="200"/>
      </w:pPr>
      <w:r>
        <w:rPr>
          <w:rFonts w:ascii="Calibri" w:cs="Calibri" w:eastAsia="Calibri" w:hAnsi="Calibri"/>
          <w:b/>
          <w:bCs/>
          <w:sz w:val="22"/>
          <w:szCs w:val="22"/>
        </w:rPr>
        <w:t xml:space="preserve">For David (Services Delivery)</w:t>
      </w:r>
    </w:p>
    <w:p>
      <w:pPr>
        <w:pStyle w:val="ListParagraph"/>
        <w:numPr>
          <w:ilvl w:val="0"/>
          <w:numId w:val="2"/>
        </w:numPr>
        <w:spacing w:after="80" w:line="280"/>
      </w:pPr>
      <w:r>
        <w:rPr>
          <w:rFonts w:ascii="Calibri" w:cs="Calibri" w:eastAsia="Calibri" w:hAnsi="Calibri"/>
          <w:sz w:val="22"/>
          <w:szCs w:val="22"/>
        </w:rPr>
        <w:t xml:space="preserve">My top-account work will continue to surface multi-site deployment opportunities. Which of your services-delivery partners are okay to name in customer conversations? Which are okay to name in LinkedIn content?</w:t>
      </w:r>
    </w:p>
    <w:p>
      <w:pPr>
        <w:pStyle w:val="ListParagraph"/>
        <w:numPr>
          <w:ilvl w:val="0"/>
          <w:numId w:val="2"/>
        </w:numPr>
        <w:spacing w:after="80" w:line="280"/>
      </w:pPr>
      <w:r>
        <w:rPr>
          <w:rFonts w:ascii="Calibri" w:cs="Calibri" w:eastAsia="Calibri" w:hAnsi="Calibri"/>
          <w:sz w:val="22"/>
          <w:szCs w:val="22"/>
        </w:rPr>
        <w:t xml:space="preserve">Velocity-specific positioning has been held out of public content, recognizing they are one of several partners. What is the right way to talk about OSI's services-delivery network in rep content — generic ("our deployment partners"), named in context, or both depending on audience?</w:t>
      </w:r>
    </w:p>
    <w:p>
      <w:pPr>
        <w:pStyle w:val="ListParagraph"/>
        <w:numPr>
          <w:ilvl w:val="0"/>
          <w:numId w:val="2"/>
        </w:numPr>
        <w:spacing w:after="80" w:line="280"/>
      </w:pPr>
      <w:r>
        <w:rPr>
          <w:rFonts w:ascii="Calibri" w:cs="Calibri" w:eastAsia="Calibri" w:hAnsi="Calibri"/>
          <w:sz w:val="22"/>
          <w:szCs w:val="22"/>
        </w:rPr>
        <w:t xml:space="preserve">As I surface joint deployment opportunities from the top accounts, what is the right intake path into your team? Who owns scoping, pricing, and partner selection — and at what stage should rep and delivery sync?</w:t>
      </w:r>
    </w:p>
    <w:p>
      <w:pPr>
        <w:pStyle w:val="ListParagraph"/>
        <w:numPr>
          <w:ilvl w:val="0"/>
          <w:numId w:val="2"/>
        </w:numPr>
        <w:spacing w:after="80" w:line="280"/>
      </w:pPr>
      <w:r>
        <w:rPr>
          <w:rFonts w:ascii="Calibri" w:cs="Calibri" w:eastAsia="Calibri" w:hAnsi="Calibri"/>
          <w:sz w:val="22"/>
          <w:szCs w:val="22"/>
        </w:rPr>
        <w:t xml:space="preserve">Are there services-delivery stories from past projects (anonymized) I can mine for Pillar 3 field-story content? Pillar 3 posts drive the deepest engagement and are the safest from a brand-risk standpoint — they tell stories without naming customers.</w:t>
      </w:r>
    </w:p>
    <w:p>
      <w:pPr>
        <w:spacing w:after="100" w:before="200"/>
      </w:pPr>
      <w:r>
        <w:rPr>
          <w:rFonts w:ascii="Calibri" w:cs="Calibri" w:eastAsia="Calibri" w:hAnsi="Calibri"/>
          <w:b/>
          <w:bCs/>
          <w:sz w:val="22"/>
          <w:szCs w:val="22"/>
        </w:rPr>
        <w:t xml:space="preserve">For both</w:t>
      </w:r>
    </w:p>
    <w:p>
      <w:pPr>
        <w:pStyle w:val="ListParagraph"/>
        <w:numPr>
          <w:ilvl w:val="0"/>
          <w:numId w:val="2"/>
        </w:numPr>
        <w:spacing w:after="80" w:line="280"/>
      </w:pPr>
      <w:r>
        <w:rPr>
          <w:rFonts w:ascii="Calibri" w:cs="Calibri" w:eastAsia="Calibri" w:hAnsi="Calibri"/>
          <w:sz w:val="22"/>
          <w:szCs w:val="22"/>
        </w:rPr>
        <w:t xml:space="preserve">If my 90-day cadence produces measurable pipeline contribution and clean brand and partner outcomes, what is the appetite for expanding this model to other reps with named-target books? Where would you want input on next-rep selection?</w:t>
      </w:r>
    </w:p>
    <w:p>
      <w:r>
        <w:br w:type="page"/>
      </w:r>
    </w:p>
    <w:p>
      <w:pPr>
        <w:pStyle w:val="Heading1"/>
        <w:spacing w:after="200" w:before="320"/>
      </w:pPr>
      <w:r>
        <w:rPr>
          <w:rFonts w:ascii="Calibri" w:cs="Calibri" w:eastAsia="Calibri" w:hAnsi="Calibri"/>
          <w:b/>
          <w:bCs/>
          <w:sz w:val="32"/>
          <w:szCs w:val="32"/>
        </w:rPr>
        <w:t xml:space="preserve">10. Proposed next steps</w:t>
      </w:r>
    </w:p>
    <w:p>
      <w:pPr>
        <w:pStyle w:val="ListParagraph"/>
        <w:numPr>
          <w:ilvl w:val="0"/>
          <w:numId w:val="2"/>
        </w:numPr>
        <w:spacing w:after="80" w:line="280"/>
      </w:pPr>
      <w:r>
        <w:rPr>
          <w:rFonts w:ascii="Calibri" w:cs="Calibri" w:eastAsia="Calibri" w:hAnsi="Calibri"/>
          <w:sz w:val="22"/>
          <w:szCs w:val="22"/>
        </w:rPr>
        <w:t xml:space="preserve">Andrea and David review this showcase by [date — Brian to confirm].</w:t>
      </w:r>
    </w:p>
    <w:p>
      <w:pPr>
        <w:pStyle w:val="ListParagraph"/>
        <w:numPr>
          <w:ilvl w:val="0"/>
          <w:numId w:val="2"/>
        </w:numPr>
        <w:spacing w:after="80" w:line="280"/>
      </w:pPr>
      <w:r>
        <w:rPr>
          <w:rFonts w:ascii="Calibri" w:cs="Calibri" w:eastAsia="Calibri" w:hAnsi="Calibri"/>
          <w:sz w:val="22"/>
          <w:szCs w:val="22"/>
        </w:rPr>
        <w:t xml:space="preserve">30-minute joint conversation — Brian, Andrea, David — to align on voice, partner positioning, and brand guardrails.</w:t>
      </w:r>
    </w:p>
    <w:p>
      <w:pPr>
        <w:pStyle w:val="ListParagraph"/>
        <w:numPr>
          <w:ilvl w:val="0"/>
          <w:numId w:val="2"/>
        </w:numPr>
        <w:spacing w:after="80" w:line="280"/>
      </w:pPr>
      <w:r>
        <w:rPr>
          <w:rFonts w:ascii="Calibri" w:cs="Calibri" w:eastAsia="Calibri" w:hAnsi="Calibri"/>
          <w:sz w:val="22"/>
          <w:szCs w:val="22"/>
        </w:rPr>
        <w:t xml:space="preserve">Brian begins publishing Post A (Lumos) on the first available Tuesday or Wednesday after greenlight.</w:t>
      </w:r>
    </w:p>
    <w:p>
      <w:pPr>
        <w:pStyle w:val="ListParagraph"/>
        <w:numPr>
          <w:ilvl w:val="0"/>
          <w:numId w:val="2"/>
        </w:numPr>
        <w:spacing w:after="80" w:line="280"/>
      </w:pPr>
      <w:r>
        <w:rPr>
          <w:rFonts w:ascii="Calibri" w:cs="Calibri" w:eastAsia="Calibri" w:hAnsi="Calibri"/>
          <w:sz w:val="22"/>
          <w:szCs w:val="22"/>
        </w:rPr>
        <w:t xml:space="preserve">Posts B and C follow on the week-1 and week-2 schedule. No additional approvals required if voice and guardrails are locked.</w:t>
      </w:r>
    </w:p>
    <w:p>
      <w:pPr>
        <w:pStyle w:val="ListParagraph"/>
        <w:numPr>
          <w:ilvl w:val="0"/>
          <w:numId w:val="2"/>
        </w:numPr>
        <w:spacing w:after="80" w:line="280"/>
      </w:pPr>
      <w:r>
        <w:rPr>
          <w:rFonts w:ascii="Calibri" w:cs="Calibri" w:eastAsia="Calibri" w:hAnsi="Calibri"/>
          <w:sz w:val="22"/>
          <w:szCs w:val="22"/>
        </w:rPr>
        <w:t xml:space="preserve">Intel packs for the top 10 accounts get built out in the first three weeks — one to two per week. Lumos and MidAtlanticBroadband are first because Post A needs Lumos and Post B leans on multi-account power patterns.</w:t>
      </w:r>
    </w:p>
    <w:p>
      <w:pPr>
        <w:pStyle w:val="ListParagraph"/>
        <w:numPr>
          <w:ilvl w:val="0"/>
          <w:numId w:val="2"/>
        </w:numPr>
        <w:spacing w:after="80" w:line="280"/>
      </w:pPr>
      <w:r>
        <w:rPr>
          <w:rFonts w:ascii="Calibri" w:cs="Calibri" w:eastAsia="Calibri" w:hAnsi="Calibri"/>
          <w:sz w:val="22"/>
          <w:szCs w:val="22"/>
        </w:rPr>
        <w:t xml:space="preserve">Mid-August 2026 (90-day mark): pilot review. Engagement metrics, pipeline contribution, brand and partner outcomes. Decision point on expansion.</w:t>
      </w:r>
    </w:p>
    <w:p>
      <w:r>
        <w:t xml:space="preserve"/>
      </w:r>
    </w:p>
    <w:p>
      <w:pPr>
        <w:spacing w:before="400"/>
        <w:jc w:val="center"/>
      </w:pPr>
      <w:r>
        <w:rPr>
          <w:rFonts w:ascii="Calibri" w:cs="Calibri" w:eastAsia="Calibri" w:hAnsi="Calibri"/>
          <w:i/>
          <w:iCs/>
          <w:color w:val="808080"/>
          <w:sz w:val="20"/>
          <w:szCs w:val="20"/>
        </w:rPr>
        <w:t xml:space="preserve">OSI Global   |   Your IT infrastructure, optimized.</w:t>
      </w:r>
    </w:p>
    <w:p>
      <w:r>
        <w:br w:type="page"/>
      </w:r>
    </w:p>
    <w:p>
      <w:pPr>
        <w:pStyle w:val="Heading1"/>
        <w:spacing w:after="200" w:before="320"/>
      </w:pPr>
      <w:r>
        <w:rPr>
          <w:rFonts w:ascii="Calibri" w:cs="Calibri" w:eastAsia="Calibri" w:hAnsi="Calibri"/>
          <w:b/>
          <w:bCs/>
          <w:sz w:val="32"/>
          <w:szCs w:val="32"/>
        </w:rPr>
        <w:t xml:space="preserve">Appendix A. Intel Pack Template</w:t>
      </w:r>
    </w:p>
    <w:p>
      <w:pPr>
        <w:spacing w:after="120" w:line="300"/>
      </w:pPr>
      <w:r>
        <w:t xml:space="preserve">Every top account gets one of these. Living document. Updated as engagement signals come in. Drives every post anchored on that account.</w:t>
      </w:r>
    </w:p>
    <w:p>
      <w:pPr>
        <w:spacing w:after="100" w:before="200"/>
      </w:pPr>
      <w:r>
        <w:rPr>
          <w:rFonts w:ascii="Calibri" w:cs="Calibri" w:eastAsia="Calibri" w:hAnsi="Calibri"/>
          <w:b/>
          <w:bCs/>
          <w:sz w:val="22"/>
          <w:szCs w:val="22"/>
        </w:rPr>
        <w:t xml:space="preserve">Header</w:t>
      </w:r>
    </w:p>
    <w:p>
      <w:pPr>
        <w:pStyle w:val="ListParagraph"/>
        <w:numPr>
          <w:ilvl w:val="0"/>
          <w:numId w:val="2"/>
        </w:numPr>
        <w:spacing w:after="80" w:line="280"/>
      </w:pPr>
      <w:r>
        <w:rPr>
          <w:rFonts w:ascii="Calibri" w:cs="Calibri" w:eastAsia="Calibri" w:hAnsi="Calibri"/>
          <w:sz w:val="22"/>
          <w:szCs w:val="22"/>
        </w:rPr>
        <w:t xml:space="preserve">Company name, HubSpot ID, domain, HQ location, employee count, revenue band.</w:t>
      </w:r>
    </w:p>
    <w:p>
      <w:pPr>
        <w:pStyle w:val="ListParagraph"/>
        <w:numPr>
          <w:ilvl w:val="0"/>
          <w:numId w:val="2"/>
        </w:numPr>
        <w:spacing w:after="80" w:line="280"/>
      </w:pPr>
      <w:r>
        <w:rPr>
          <w:rFonts w:ascii="Calibri" w:cs="Calibri" w:eastAsia="Calibri" w:hAnsi="Calibri"/>
          <w:sz w:val="22"/>
          <w:szCs w:val="22"/>
        </w:rPr>
        <w:t xml:space="preserve">My relationship: owner since, total revenue to date, deal count, last contact date.</w:t>
      </w:r>
    </w:p>
    <w:p>
      <w:pPr>
        <w:pStyle w:val="ListParagraph"/>
        <w:numPr>
          <w:ilvl w:val="0"/>
          <w:numId w:val="2"/>
        </w:numPr>
        <w:spacing w:after="80" w:line="280"/>
      </w:pPr>
      <w:r>
        <w:rPr>
          <w:rFonts w:ascii="Calibri" w:cs="Calibri" w:eastAsia="Calibri" w:hAnsi="Calibri"/>
          <w:sz w:val="22"/>
          <w:szCs w:val="22"/>
        </w:rPr>
        <w:t xml:space="preserve">Primary contact(s) I work with, their roles, recent interaction history.</w:t>
      </w:r>
    </w:p>
    <w:p>
      <w:pPr>
        <w:spacing w:after="100" w:before="200"/>
      </w:pPr>
      <w:r>
        <w:rPr>
          <w:rFonts w:ascii="Calibri" w:cs="Calibri" w:eastAsia="Calibri" w:hAnsi="Calibri"/>
          <w:b/>
          <w:bCs/>
          <w:sz w:val="22"/>
          <w:szCs w:val="22"/>
        </w:rPr>
        <w:t xml:space="preserve">Trigger events (rolling, last 18 months)</w:t>
      </w:r>
    </w:p>
    <w:p>
      <w:pPr>
        <w:pStyle w:val="ListParagraph"/>
        <w:numPr>
          <w:ilvl w:val="0"/>
          <w:numId w:val="2"/>
        </w:numPr>
        <w:spacing w:after="80" w:line="280"/>
      </w:pPr>
      <w:r>
        <w:rPr>
          <w:rFonts w:ascii="Calibri" w:cs="Calibri" w:eastAsia="Calibri" w:hAnsi="Calibri"/>
          <w:sz w:val="22"/>
          <w:szCs w:val="22"/>
        </w:rPr>
        <w:t xml:space="preserve">Capex announcements, M&amp;A activity, leadership changes, new builds, BEAD or grant awards, layoffs, expansion.</w:t>
      </w:r>
    </w:p>
    <w:p>
      <w:pPr>
        <w:pStyle w:val="ListParagraph"/>
        <w:numPr>
          <w:ilvl w:val="0"/>
          <w:numId w:val="2"/>
        </w:numPr>
        <w:spacing w:after="80" w:line="280"/>
      </w:pPr>
      <w:r>
        <w:rPr>
          <w:rFonts w:ascii="Calibri" w:cs="Calibri" w:eastAsia="Calibri" w:hAnsi="Calibri"/>
          <w:sz w:val="22"/>
          <w:szCs w:val="22"/>
        </w:rPr>
        <w:t xml:space="preserve">Source URL and exact date for each. No vague references.</w:t>
      </w:r>
    </w:p>
    <w:p>
      <w:pPr>
        <w:spacing w:after="100" w:before="200"/>
      </w:pPr>
      <w:r>
        <w:rPr>
          <w:rFonts w:ascii="Calibri" w:cs="Calibri" w:eastAsia="Calibri" w:hAnsi="Calibri"/>
          <w:b/>
          <w:bCs/>
          <w:sz w:val="22"/>
          <w:szCs w:val="22"/>
        </w:rPr>
        <w:t xml:space="preserve">Buyer map</w:t>
      </w:r>
    </w:p>
    <w:p>
      <w:pPr>
        <w:pStyle w:val="ListParagraph"/>
        <w:numPr>
          <w:ilvl w:val="0"/>
          <w:numId w:val="2"/>
        </w:numPr>
        <w:spacing w:after="80" w:line="280"/>
      </w:pPr>
      <w:r>
        <w:rPr>
          <w:rFonts w:ascii="Calibri" w:cs="Calibri" w:eastAsia="Calibri" w:hAnsi="Calibri"/>
          <w:sz w:val="22"/>
          <w:szCs w:val="22"/>
        </w:rPr>
        <w:t xml:space="preserve">Named decision-makers and influencers across IT, networking, facilities, procurement.</w:t>
      </w:r>
    </w:p>
    <w:p>
      <w:pPr>
        <w:pStyle w:val="ListParagraph"/>
        <w:numPr>
          <w:ilvl w:val="0"/>
          <w:numId w:val="2"/>
        </w:numPr>
        <w:spacing w:after="80" w:line="280"/>
      </w:pPr>
      <w:r>
        <w:rPr>
          <w:rFonts w:ascii="Calibri" w:cs="Calibri" w:eastAsia="Calibri" w:hAnsi="Calibri"/>
          <w:sz w:val="22"/>
          <w:szCs w:val="22"/>
        </w:rPr>
        <w:t xml:space="preserve">LinkedIn-active vs. quiet. Mutual connections. Recent posts of theirs worth referencing.</w:t>
      </w:r>
    </w:p>
    <w:p>
      <w:pPr>
        <w:spacing w:after="100" w:before="200"/>
      </w:pPr>
      <w:r>
        <w:rPr>
          <w:rFonts w:ascii="Calibri" w:cs="Calibri" w:eastAsia="Calibri" w:hAnsi="Calibri"/>
          <w:b/>
          <w:bCs/>
          <w:sz w:val="22"/>
          <w:szCs w:val="22"/>
        </w:rPr>
        <w:t xml:space="preserve">OSI fit narrative</w:t>
      </w:r>
    </w:p>
    <w:p>
      <w:pPr>
        <w:pStyle w:val="ListParagraph"/>
        <w:numPr>
          <w:ilvl w:val="0"/>
          <w:numId w:val="2"/>
        </w:numPr>
        <w:spacing w:after="80" w:line="280"/>
      </w:pPr>
      <w:r>
        <w:rPr>
          <w:rFonts w:ascii="Calibri" w:cs="Calibri" w:eastAsia="Calibri" w:hAnsi="Calibri"/>
          <w:sz w:val="22"/>
          <w:szCs w:val="22"/>
        </w:rPr>
        <w:t xml:space="preserve">Where we have already won. Where the white space is.</w:t>
      </w:r>
    </w:p>
    <w:p>
      <w:pPr>
        <w:pStyle w:val="ListParagraph"/>
        <w:numPr>
          <w:ilvl w:val="0"/>
          <w:numId w:val="2"/>
        </w:numPr>
        <w:spacing w:after="80" w:line="280"/>
      </w:pPr>
      <w:r>
        <w:rPr>
          <w:rFonts w:ascii="Calibri" w:cs="Calibri" w:eastAsia="Calibri" w:hAnsi="Calibri"/>
          <w:sz w:val="22"/>
          <w:szCs w:val="22"/>
        </w:rPr>
        <w:t xml:space="preserve">Specific product lines that fit this account today: optics, memory, servers, power, TPM, professional services.</w:t>
      </w:r>
    </w:p>
    <w:p>
      <w:pPr>
        <w:pStyle w:val="ListParagraph"/>
        <w:numPr>
          <w:ilvl w:val="0"/>
          <w:numId w:val="2"/>
        </w:numPr>
        <w:spacing w:after="80" w:line="280"/>
      </w:pPr>
      <w:r>
        <w:rPr>
          <w:rFonts w:ascii="Calibri" w:cs="Calibri" w:eastAsia="Calibri" w:hAnsi="Calibri"/>
          <w:sz w:val="22"/>
          <w:szCs w:val="22"/>
        </w:rPr>
        <w:t xml:space="preserve">What the next deal looks like and what would unlock it.</w:t>
      </w:r>
    </w:p>
    <w:p>
      <w:pPr>
        <w:spacing w:after="100" w:before="200"/>
      </w:pPr>
      <w:r>
        <w:rPr>
          <w:rFonts w:ascii="Calibri" w:cs="Calibri" w:eastAsia="Calibri" w:hAnsi="Calibri"/>
          <w:b/>
          <w:bCs/>
          <w:sz w:val="22"/>
          <w:szCs w:val="22"/>
        </w:rPr>
        <w:t xml:space="preserve">Content angles</w:t>
      </w:r>
    </w:p>
    <w:p>
      <w:pPr>
        <w:pStyle w:val="ListParagraph"/>
        <w:numPr>
          <w:ilvl w:val="0"/>
          <w:numId w:val="2"/>
        </w:numPr>
        <w:spacing w:after="80" w:line="280"/>
      </w:pPr>
      <w:r>
        <w:rPr>
          <w:rFonts w:ascii="Calibri" w:cs="Calibri" w:eastAsia="Calibri" w:hAnsi="Calibri"/>
          <w:sz w:val="22"/>
          <w:szCs w:val="22"/>
        </w:rPr>
        <w:t xml:space="preserve">Three to five post angles that this account uniquely enables. Each one tagged to a pillar and a template.</w:t>
      </w:r>
    </w:p>
    <w:p>
      <w:pPr>
        <w:pStyle w:val="ListParagraph"/>
        <w:numPr>
          <w:ilvl w:val="0"/>
          <w:numId w:val="2"/>
        </w:numPr>
        <w:spacing w:after="80" w:line="280"/>
      </w:pPr>
      <w:r>
        <w:rPr>
          <w:rFonts w:ascii="Calibri" w:cs="Calibri" w:eastAsia="Calibri" w:hAnsi="Calibri"/>
          <w:sz w:val="22"/>
          <w:szCs w:val="22"/>
        </w:rPr>
        <w:t xml:space="preserve">Cross-account angles where this account is one of three or four examples that make the post stand up.</w:t>
      </w:r>
    </w:p>
    <w:p>
      <w:pPr>
        <w:spacing w:after="100" w:before="200"/>
      </w:pPr>
      <w:r>
        <w:rPr>
          <w:rFonts w:ascii="Calibri" w:cs="Calibri" w:eastAsia="Calibri" w:hAnsi="Calibri"/>
          <w:b/>
          <w:bCs/>
          <w:sz w:val="22"/>
          <w:szCs w:val="22"/>
        </w:rPr>
        <w:t xml:space="preserve">Risks</w:t>
      </w:r>
    </w:p>
    <w:p>
      <w:pPr>
        <w:pStyle w:val="ListParagraph"/>
        <w:numPr>
          <w:ilvl w:val="0"/>
          <w:numId w:val="2"/>
        </w:numPr>
        <w:spacing w:after="80" w:line="280"/>
      </w:pPr>
      <w:r>
        <w:rPr>
          <w:rFonts w:ascii="Calibri" w:cs="Calibri" w:eastAsia="Calibri" w:hAnsi="Calibri"/>
          <w:sz w:val="22"/>
          <w:szCs w:val="22"/>
        </w:rPr>
        <w:t xml:space="preserve">Brand-sensitivity: anything I should not say about this account in public content.</w:t>
      </w:r>
    </w:p>
    <w:p>
      <w:pPr>
        <w:pStyle w:val="ListParagraph"/>
        <w:numPr>
          <w:ilvl w:val="0"/>
          <w:numId w:val="2"/>
        </w:numPr>
        <w:spacing w:after="80" w:line="280"/>
      </w:pPr>
      <w:r>
        <w:rPr>
          <w:rFonts w:ascii="Calibri" w:cs="Calibri" w:eastAsia="Calibri" w:hAnsi="Calibri"/>
          <w:sz w:val="22"/>
          <w:szCs w:val="22"/>
        </w:rPr>
        <w:t xml:space="preserve">Competitive dynamics: who else is winning at this account, what the political layout looks like.</w:t>
      </w:r>
    </w:p>
    <w:p>
      <w:pPr>
        <w:pStyle w:val="ListParagraph"/>
        <w:numPr>
          <w:ilvl w:val="0"/>
          <w:numId w:val="2"/>
        </w:numPr>
        <w:spacing w:after="80" w:line="280"/>
      </w:pPr>
      <w:r>
        <w:rPr>
          <w:rFonts w:ascii="Calibri" w:cs="Calibri" w:eastAsia="Calibri" w:hAnsi="Calibri"/>
          <w:sz w:val="22"/>
          <w:szCs w:val="22"/>
        </w:rPr>
        <w:t xml:space="preserve">Engagement risks: people who would be unhappy if I named them or their work.</w:t>
      </w:r>
    </w:p>
    <w:p>
      <w:pPr>
        <w:spacing w:after="100" w:before="200"/>
      </w:pPr>
      <w:r>
        <w:rPr>
          <w:rFonts w:ascii="Calibri" w:cs="Calibri" w:eastAsia="Calibri" w:hAnsi="Calibri"/>
          <w:b/>
          <w:bCs/>
          <w:sz w:val="22"/>
          <w:szCs w:val="22"/>
        </w:rPr>
        <w:t xml:space="preserve">Warm-thread log (the closing of the loop)</w:t>
      </w:r>
    </w:p>
    <w:p>
      <w:pPr>
        <w:pStyle w:val="ListParagraph"/>
        <w:numPr>
          <w:ilvl w:val="0"/>
          <w:numId w:val="2"/>
        </w:numPr>
        <w:spacing w:after="80" w:line="280"/>
      </w:pPr>
      <w:r>
        <w:rPr>
          <w:rFonts w:ascii="Calibri" w:cs="Calibri" w:eastAsia="Calibri" w:hAnsi="Calibri"/>
          <w:sz w:val="22"/>
          <w:szCs w:val="22"/>
        </w:rPr>
        <w:t xml:space="preserve">Every time someone from this account or its peer-network engages a post, that goes here with a date and a note.</w:t>
      </w:r>
    </w:p>
    <w:p>
      <w:pPr>
        <w:pStyle w:val="ListParagraph"/>
        <w:numPr>
          <w:ilvl w:val="0"/>
          <w:numId w:val="2"/>
        </w:numPr>
        <w:spacing w:after="80" w:line="280"/>
      </w:pPr>
      <w:r>
        <w:rPr>
          <w:rFonts w:ascii="Calibri" w:cs="Calibri" w:eastAsia="Calibri" w:hAnsi="Calibri"/>
          <w:sz w:val="22"/>
          <w:szCs w:val="22"/>
        </w:rPr>
        <w:t xml:space="preserve">Updated weekly. Feeds the next round of post angles and the prospecting agent.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808080"/>
        <w:sz w:val="18"/>
        <w:szCs w:val="18"/>
      </w:rPr>
      <w:t xml:space="preserve">Brian Charrette  |  bc@osihardware.com</w:t>
    </w:r>
    <w:r>
      <w:t xml:space="preserve">	</w:t>
    </w: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08080"/>
        <w:sz w:val="18"/>
        <w:szCs w:val="18"/>
      </w:rPr>
      <w:t xml:space="preserve">OSI GLOBAL  |  REP-LED CONTENT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Brian Charrette Content Engine</dc:title>
  <dc:creator>Brian Charrette</dc:creator>
  <cp:lastModifiedBy>Un-named</cp:lastModifiedBy>
  <cp:revision>1</cp:revision>
  <dcterms:created xsi:type="dcterms:W3CDTF">2026-05-22T17:07:25.199Z</dcterms:created>
  <dcterms:modified xsi:type="dcterms:W3CDTF">2026-05-22T17:07:25.199Z</dcterms:modified>
</cp:coreProperties>
</file>

<file path=docProps/custom.xml><?xml version="1.0" encoding="utf-8"?>
<Properties xmlns="http://schemas.openxmlformats.org/officeDocument/2006/custom-properties" xmlns:vt="http://schemas.openxmlformats.org/officeDocument/2006/docPropsVTypes"/>
</file>