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Detailed SCI-Style Methods, Results, and Discussion for Patient-Level Multimodal Fusion</w:t>
      </w:r>
    </w:p>
    <w:p>
      <w:pPr>
        <w:jc w:val="center"/>
      </w:pPr>
      <w:r>
        <w:rPr>
          <w:i/>
        </w:rPr>
        <w:t>Preliminary report based on the current pilot fusion run</w:t>
      </w:r>
    </w:p>
    <w:p>
      <w:pPr>
        <w:pStyle w:val="Heading1"/>
      </w:pPr>
      <w:r>
        <w:t>Methods</w:t>
      </w:r>
    </w:p>
    <w:p>
      <w:r>
        <w:t>A patient-level multimodal fusion model was developed to predict thyroid malignancy by integrating structured clinical variables and patient-level ultrasound image embeddings. Ultrasound images were stored in patient ID folders, and all images belonging to the same patient were treated as one bag of instances rather than as independent samples. The clinical dataset was linked to the image repository using patient_id, and only patients with at least one corresponding ultrasound image were retained for image-based modeling. This merge strategy ensured one analytic row per patient containing clinical variables, aggregated image embeddings, and the binary malignancy label.</w:t>
      </w:r>
    </w:p>
    <w:p>
      <w:r>
        <w:t>Clinical predictors included age, sex, body mass index, smoking, drinking, hypertension, diabetes, hepatitis, thyroid history, other cancer history, thyroiditis, and nodular goiter. Continuous variables, specifically age and body mass index, were normalized on the basis of training-set statistics. Categorical and binary clinical features were transformed within the same preprocessing pipeline. Ultrasound images were resized to 224 × 224 pixels and normalized using ImageNet mean and standard deviation. During model training, image augmentation included random flipping, random rotation within ±10 degrees, brightness/contrast adjustment, and random crop.</w:t>
      </w:r>
    </w:p>
    <w:p>
      <w:r>
        <w:t>Patient-level ultrasound representations were derived using a convolutional neural network backbone with multi-image aggregation. For each patient, image-level CNN embeddings were aggregated into a single patient-level image embedding using a multiple-instance learning strategy. The resulting patient-level image embeddings were standardized before fusion. Patients were split at the patient level using an 80:20 training-test strategy with stratification on malignancy status, thereby preventing leakage of images from the same patient across training and testing sets.</w:t>
      </w:r>
    </w:p>
    <w:p>
      <w:r>
        <w:t>The multimodal fusion neural network consisted of two input branches. The image-embedding branch projected the ultrasound embedding to 256 hidden units, whereas the clinical branch projected the processed clinical feature vector to 32 hidden units. The two latent representations were concatenated and passed through a fusion module comprising a 128-unit dense layer, rectified linear unit activation, dropout of 0.3, and a final sigmoid output neuron for malignancy prediction. The model was trained with binary cross-entropy loss and the Adam optimizer at a learning rate of 1 × 10^-4. Performance was evaluated at the patient level using area under the receiver operating characteristic curve, accuracy, sensitivity, specificity, precision, recall, and F1-score. Model explainability was investigated with SHAP analysis for clinical variables and Grad-CAM heatmaps for representative ultrasound images.</w:t>
      </w:r>
    </w:p>
    <w:p>
      <w:pPr>
        <w:pStyle w:val="Heading2"/>
      </w:pPr>
      <w:r>
        <w:t>Table 1. Cohort and multimodal dataset overview</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t>Variable</w:t>
            </w:r>
          </w:p>
        </w:tc>
        <w:tc>
          <w:tcPr>
            <w:tcW w:type="dxa" w:w="4680"/>
            <w:shd w:fill="D9EAF7"/>
          </w:tcPr>
          <w:p>
            <w:r>
              <w:t>Value</w:t>
            </w:r>
          </w:p>
        </w:tc>
      </w:tr>
      <w:tr>
        <w:tc>
          <w:tcPr>
            <w:tcW w:type="dxa" w:w="4680"/>
          </w:tcPr>
          <w:p>
            <w:r>
              <w:t>Merged patient-level records</w:t>
            </w:r>
          </w:p>
        </w:tc>
        <w:tc>
          <w:tcPr>
            <w:tcW w:type="dxa" w:w="4680"/>
          </w:tcPr>
          <w:p>
            <w:r>
              <w:t>20</w:t>
            </w:r>
          </w:p>
        </w:tc>
      </w:tr>
      <w:tr>
        <w:tc>
          <w:tcPr>
            <w:tcW w:type="dxa" w:w="4680"/>
          </w:tcPr>
          <w:p>
            <w:r>
              <w:t>Training patients</w:t>
            </w:r>
          </w:p>
        </w:tc>
        <w:tc>
          <w:tcPr>
            <w:tcW w:type="dxa" w:w="4680"/>
          </w:tcPr>
          <w:p>
            <w:r>
              <w:t>16</w:t>
            </w:r>
          </w:p>
        </w:tc>
      </w:tr>
      <w:tr>
        <w:tc>
          <w:tcPr>
            <w:tcW w:type="dxa" w:w="4680"/>
          </w:tcPr>
          <w:p>
            <w:r>
              <w:t>Testing patients</w:t>
            </w:r>
          </w:p>
        </w:tc>
        <w:tc>
          <w:tcPr>
            <w:tcW w:type="dxa" w:w="4680"/>
          </w:tcPr>
          <w:p>
            <w:r>
              <w:t>4</w:t>
            </w:r>
          </w:p>
        </w:tc>
      </w:tr>
      <w:tr>
        <w:tc>
          <w:tcPr>
            <w:tcW w:type="dxa" w:w="4680"/>
          </w:tcPr>
          <w:p>
            <w:r>
              <w:t>Patients in image inventory</w:t>
            </w:r>
          </w:p>
        </w:tc>
        <w:tc>
          <w:tcPr>
            <w:tcW w:type="dxa" w:w="4680"/>
          </w:tcPr>
          <w:p>
            <w:r>
              <w:t>995</w:t>
            </w:r>
          </w:p>
        </w:tc>
      </w:tr>
      <w:tr>
        <w:tc>
          <w:tcPr>
            <w:tcW w:type="dxa" w:w="4680"/>
          </w:tcPr>
          <w:p>
            <w:r>
              <w:t>Total ultrasound images</w:t>
            </w:r>
          </w:p>
        </w:tc>
        <w:tc>
          <w:tcPr>
            <w:tcW w:type="dxa" w:w="4680"/>
          </w:tcPr>
          <w:p>
            <w:r>
              <w:t>18520</w:t>
            </w:r>
          </w:p>
        </w:tc>
      </w:tr>
      <w:tr>
        <w:tc>
          <w:tcPr>
            <w:tcW w:type="dxa" w:w="4680"/>
          </w:tcPr>
          <w:p>
            <w:r>
              <w:t>Mean images per patient</w:t>
            </w:r>
          </w:p>
        </w:tc>
        <w:tc>
          <w:tcPr>
            <w:tcW w:type="dxa" w:w="4680"/>
          </w:tcPr>
          <w:p>
            <w:r>
              <w:t>18.610</w:t>
            </w:r>
          </w:p>
        </w:tc>
      </w:tr>
      <w:tr>
        <w:tc>
          <w:tcPr>
            <w:tcW w:type="dxa" w:w="4680"/>
          </w:tcPr>
          <w:p>
            <w:r>
              <w:t>Median images per patient</w:t>
            </w:r>
          </w:p>
        </w:tc>
        <w:tc>
          <w:tcPr>
            <w:tcW w:type="dxa" w:w="4680"/>
          </w:tcPr>
          <w:p>
            <w:r>
              <w:t>16.000</w:t>
            </w:r>
          </w:p>
        </w:tc>
      </w:tr>
      <w:tr>
        <w:tc>
          <w:tcPr>
            <w:tcW w:type="dxa" w:w="4680"/>
          </w:tcPr>
          <w:p>
            <w:r>
              <w:t>Range of images per patient</w:t>
            </w:r>
          </w:p>
        </w:tc>
        <w:tc>
          <w:tcPr>
            <w:tcW w:type="dxa" w:w="4680"/>
          </w:tcPr>
          <w:p>
            <w:r>
              <w:t>1 to 183</w:t>
            </w:r>
          </w:p>
        </w:tc>
      </w:tr>
    </w:tbl>
    <w:p>
      <w:pPr>
        <w:pStyle w:val="Heading2"/>
      </w:pPr>
      <w:r>
        <w:t>Table 2. Comparison of clinical-only, ultrasound-only, and fusion models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AF7"/>
          </w:tcPr>
          <w:p>
            <w:r>
              <w:t>Model</w:t>
            </w:r>
          </w:p>
        </w:tc>
        <w:tc>
          <w:tcPr>
            <w:tcW w:type="dxa" w:w="1872"/>
            <w:shd w:fill="D9EAF7"/>
          </w:tcPr>
          <w:p>
            <w:r>
              <w:t>AUC</w:t>
            </w:r>
          </w:p>
        </w:tc>
        <w:tc>
          <w:tcPr>
            <w:tcW w:type="dxa" w:w="1872"/>
            <w:shd w:fill="D9EAF7"/>
          </w:tcPr>
          <w:p>
            <w:r>
              <w:t>Accuracy</w:t>
            </w:r>
          </w:p>
        </w:tc>
        <w:tc>
          <w:tcPr>
            <w:tcW w:type="dxa" w:w="1872"/>
            <w:shd w:fill="D9EAF7"/>
          </w:tcPr>
          <w:p>
            <w:r>
              <w:t>Sensitivity</w:t>
            </w:r>
          </w:p>
        </w:tc>
        <w:tc>
          <w:tcPr>
            <w:tcW w:type="dxa" w:w="1872"/>
            <w:shd w:fill="D9EAF7"/>
          </w:tcPr>
          <w:p>
            <w:r>
              <w:t>Specificity</w:t>
            </w:r>
          </w:p>
        </w:tc>
      </w:tr>
      <w:tr>
        <w:tc>
          <w:tcPr>
            <w:tcW w:type="dxa" w:w="1872"/>
          </w:tcPr>
          <w:p>
            <w:r>
              <w:t>Clinical model (Clinical_LogisticRegression)</w:t>
            </w:r>
          </w:p>
        </w:tc>
        <w:tc>
          <w:tcPr>
            <w:tcW w:type="dxa" w:w="1872"/>
          </w:tcPr>
          <w:p>
            <w:r>
              <w:t>0.500</w:t>
            </w:r>
          </w:p>
        </w:tc>
        <w:tc>
          <w:tcPr>
            <w:tcW w:type="dxa" w:w="1872"/>
          </w:tcPr>
          <w:p>
            <w:r>
              <w:t>0.500</w:t>
            </w:r>
          </w:p>
        </w:tc>
        <w:tc>
          <w:tcPr>
            <w:tcW w:type="dxa" w:w="1872"/>
          </w:tcPr>
          <w:p>
            <w:r>
              <w:t>0.500</w:t>
            </w:r>
          </w:p>
        </w:tc>
        <w:tc>
          <w:tcPr>
            <w:tcW w:type="dxa" w:w="1872"/>
          </w:tcPr>
          <w:p>
            <w:r>
              <w:t>0.500</w:t>
            </w:r>
          </w:p>
        </w:tc>
      </w:tr>
      <w:tr>
        <w:tc>
          <w:tcPr>
            <w:tcW w:type="dxa" w:w="1872"/>
          </w:tcPr>
          <w:p>
            <w:r>
              <w:t>Ultrasound model</w:t>
            </w:r>
          </w:p>
        </w:tc>
        <w:tc>
          <w:tcPr>
            <w:tcW w:type="dxa" w:w="1872"/>
          </w:tcPr>
          <w:p>
            <w:r>
              <w:t>1.000</w:t>
            </w:r>
          </w:p>
        </w:tc>
        <w:tc>
          <w:tcPr>
            <w:tcW w:type="dxa" w:w="1872"/>
          </w:tcPr>
          <w:p>
            <w:r>
              <w:t>1.000</w:t>
            </w:r>
          </w:p>
        </w:tc>
        <w:tc>
          <w:tcPr>
            <w:tcW w:type="dxa" w:w="1872"/>
          </w:tcPr>
          <w:p>
            <w:r>
              <w:t>1.000</w:t>
            </w:r>
          </w:p>
        </w:tc>
        <w:tc>
          <w:tcPr>
            <w:tcW w:type="dxa" w:w="1872"/>
          </w:tcPr>
          <w:p>
            <w:r>
              <w:t>1.000</w:t>
            </w:r>
          </w:p>
        </w:tc>
      </w:tr>
      <w:tr>
        <w:tc>
          <w:tcPr>
            <w:tcW w:type="dxa" w:w="1872"/>
          </w:tcPr>
          <w:p>
            <w:r>
              <w:t>Fusion model</w:t>
            </w:r>
          </w:p>
        </w:tc>
        <w:tc>
          <w:tcPr>
            <w:tcW w:type="dxa" w:w="1872"/>
          </w:tcPr>
          <w:p>
            <w:r>
              <w:t>0.000</w:t>
            </w:r>
          </w:p>
        </w:tc>
        <w:tc>
          <w:tcPr>
            <w:tcW w:type="dxa" w:w="1872"/>
          </w:tcPr>
          <w:p>
            <w:r>
              <w:t>0.250</w:t>
            </w:r>
          </w:p>
        </w:tc>
        <w:tc>
          <w:tcPr>
            <w:tcW w:type="dxa" w:w="1872"/>
          </w:tcPr>
          <w:p>
            <w:r>
              <w:t>0.000</w:t>
            </w:r>
          </w:p>
        </w:tc>
        <w:tc>
          <w:tcPr>
            <w:tcW w:type="dxa" w:w="1872"/>
          </w:tcPr>
          <w:p>
            <w:r>
              <w:t>0.500</w:t>
            </w:r>
          </w:p>
        </w:tc>
      </w:tr>
    </w:tbl>
    <w:p>
      <w:pPr>
        <w:pStyle w:val="Heading2"/>
      </w:pPr>
      <w:r>
        <w:t>Table 3. Detailed performance of the fusion model</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AF7"/>
          </w:tcPr>
          <w:p>
            <w:r>
              <w:t>model</w:t>
            </w:r>
          </w:p>
        </w:tc>
        <w:tc>
          <w:tcPr>
            <w:tcW w:type="dxa" w:w="1170"/>
            <w:shd w:fill="D9EAF7"/>
          </w:tcPr>
          <w:p>
            <w:r>
              <w:t>AUC</w:t>
            </w:r>
          </w:p>
        </w:tc>
        <w:tc>
          <w:tcPr>
            <w:tcW w:type="dxa" w:w="1170"/>
            <w:shd w:fill="D9EAF7"/>
          </w:tcPr>
          <w:p>
            <w:r>
              <w:t>Accuracy</w:t>
            </w:r>
          </w:p>
        </w:tc>
        <w:tc>
          <w:tcPr>
            <w:tcW w:type="dxa" w:w="1170"/>
            <w:shd w:fill="D9EAF7"/>
          </w:tcPr>
          <w:p>
            <w:r>
              <w:t>Sensitivity</w:t>
            </w:r>
          </w:p>
        </w:tc>
        <w:tc>
          <w:tcPr>
            <w:tcW w:type="dxa" w:w="1170"/>
            <w:shd w:fill="D9EAF7"/>
          </w:tcPr>
          <w:p>
            <w:r>
              <w:t>Specificity</w:t>
            </w:r>
          </w:p>
        </w:tc>
        <w:tc>
          <w:tcPr>
            <w:tcW w:type="dxa" w:w="1170"/>
            <w:shd w:fill="D9EAF7"/>
          </w:tcPr>
          <w:p>
            <w:r>
              <w:t>Precision</w:t>
            </w:r>
          </w:p>
        </w:tc>
        <w:tc>
          <w:tcPr>
            <w:tcW w:type="dxa" w:w="1170"/>
            <w:shd w:fill="D9EAF7"/>
          </w:tcPr>
          <w:p>
            <w:r>
              <w:t>Recall</w:t>
            </w:r>
          </w:p>
        </w:tc>
        <w:tc>
          <w:tcPr>
            <w:tcW w:type="dxa" w:w="1170"/>
            <w:shd w:fill="D9EAF7"/>
          </w:tcPr>
          <w:p>
            <w:r>
              <w:t>F1</w:t>
            </w:r>
          </w:p>
        </w:tc>
      </w:tr>
      <w:tr>
        <w:tc>
          <w:tcPr>
            <w:tcW w:type="dxa" w:w="1170"/>
          </w:tcPr>
          <w:p>
            <w:r>
              <w:t>Fusion_Model</w:t>
            </w:r>
          </w:p>
        </w:tc>
        <w:tc>
          <w:tcPr>
            <w:tcW w:type="dxa" w:w="1170"/>
          </w:tcPr>
          <w:p>
            <w:r>
              <w:t>0.000</w:t>
            </w:r>
          </w:p>
        </w:tc>
        <w:tc>
          <w:tcPr>
            <w:tcW w:type="dxa" w:w="1170"/>
          </w:tcPr>
          <w:p>
            <w:r>
              <w:t>0.250</w:t>
            </w:r>
          </w:p>
        </w:tc>
        <w:tc>
          <w:tcPr>
            <w:tcW w:type="dxa" w:w="1170"/>
          </w:tcPr>
          <w:p>
            <w:r>
              <w:t>0.000</w:t>
            </w:r>
          </w:p>
        </w:tc>
        <w:tc>
          <w:tcPr>
            <w:tcW w:type="dxa" w:w="1170"/>
          </w:tcPr>
          <w:p>
            <w:r>
              <w:t>0.500</w:t>
            </w:r>
          </w:p>
        </w:tc>
        <w:tc>
          <w:tcPr>
            <w:tcW w:type="dxa" w:w="1170"/>
          </w:tcPr>
          <w:p>
            <w:r>
              <w:t>0.000</w:t>
            </w:r>
          </w:p>
        </w:tc>
        <w:tc>
          <w:tcPr>
            <w:tcW w:type="dxa" w:w="1170"/>
          </w:tcPr>
          <w:p>
            <w:r>
              <w:t>0.000</w:t>
            </w:r>
          </w:p>
        </w:tc>
        <w:tc>
          <w:tcPr>
            <w:tcW w:type="dxa" w:w="1170"/>
          </w:tcPr>
          <w:p>
            <w:r>
              <w:t>0.000</w:t>
            </w:r>
          </w:p>
        </w:tc>
      </w:tr>
    </w:tbl>
    <w:p>
      <w:pPr>
        <w:pStyle w:val="Heading2"/>
      </w:pPr>
      <w:r>
        <w:t>Table 4. Top clinical features ranked by mean absolute SHAP value</w:t>
      </w:r>
    </w:p>
    <w:tbl>
      <w:tblPr>
        <w:tblStyle w:val="TableGrid"/>
        <w:tblW w:type="auto" w:w="0"/>
        <w:jc w:val="center"/>
        <w:tblLook w:firstColumn="1" w:firstRow="1" w:lastColumn="0" w:lastRow="0" w:noHBand="0" w:noVBand="1" w:val="04A0"/>
      </w:tblPr>
      <w:tblGrid>
        <w:gridCol w:w="4680"/>
        <w:gridCol w:w="4680"/>
      </w:tblGrid>
      <w:tr>
        <w:tc>
          <w:tcPr>
            <w:tcW w:type="dxa" w:w="4680"/>
            <w:shd w:fill="D9EAF7"/>
          </w:tcPr>
          <w:p>
            <w:r>
              <w:t>feature</w:t>
            </w:r>
          </w:p>
        </w:tc>
        <w:tc>
          <w:tcPr>
            <w:tcW w:type="dxa" w:w="4680"/>
            <w:shd w:fill="D9EAF7"/>
          </w:tcPr>
          <w:p>
            <w:r>
              <w:t>mean_abs_shap</w:t>
            </w:r>
          </w:p>
        </w:tc>
      </w:tr>
      <w:tr>
        <w:tc>
          <w:tcPr>
            <w:tcW w:type="dxa" w:w="4680"/>
          </w:tcPr>
          <w:p>
            <w:r>
              <w:t>num__thyroiditis_flag</w:t>
            </w:r>
          </w:p>
        </w:tc>
        <w:tc>
          <w:tcPr>
            <w:tcW w:type="dxa" w:w="4680"/>
          </w:tcPr>
          <w:p>
            <w:r>
              <w:t>0.776</w:t>
            </w:r>
          </w:p>
        </w:tc>
      </w:tr>
      <w:tr>
        <w:tc>
          <w:tcPr>
            <w:tcW w:type="dxa" w:w="4680"/>
          </w:tcPr>
          <w:p>
            <w:r>
              <w:t>num__nodular_goiter_flag</w:t>
            </w:r>
          </w:p>
        </w:tc>
        <w:tc>
          <w:tcPr>
            <w:tcW w:type="dxa" w:w="4680"/>
          </w:tcPr>
          <w:p>
            <w:r>
              <w:t>0.571</w:t>
            </w:r>
          </w:p>
        </w:tc>
      </w:tr>
      <w:tr>
        <w:tc>
          <w:tcPr>
            <w:tcW w:type="dxa" w:w="4680"/>
          </w:tcPr>
          <w:p>
            <w:r>
              <w:t>num__bmi</w:t>
            </w:r>
          </w:p>
        </w:tc>
        <w:tc>
          <w:tcPr>
            <w:tcW w:type="dxa" w:w="4680"/>
          </w:tcPr>
          <w:p>
            <w:r>
              <w:t>0.275</w:t>
            </w:r>
          </w:p>
        </w:tc>
      </w:tr>
      <w:tr>
        <w:tc>
          <w:tcPr>
            <w:tcW w:type="dxa" w:w="4680"/>
          </w:tcPr>
          <w:p>
            <w:r>
              <w:t>num__smoking_bin</w:t>
            </w:r>
          </w:p>
        </w:tc>
        <w:tc>
          <w:tcPr>
            <w:tcW w:type="dxa" w:w="4680"/>
          </w:tcPr>
          <w:p>
            <w:r>
              <w:t>0.192</w:t>
            </w:r>
          </w:p>
        </w:tc>
      </w:tr>
      <w:tr>
        <w:tc>
          <w:tcPr>
            <w:tcW w:type="dxa" w:w="4680"/>
          </w:tcPr>
          <w:p>
            <w:r>
              <w:t>num__diabetes</w:t>
            </w:r>
          </w:p>
        </w:tc>
        <w:tc>
          <w:tcPr>
            <w:tcW w:type="dxa" w:w="4680"/>
          </w:tcPr>
          <w:p>
            <w:r>
              <w:t>0.131</w:t>
            </w:r>
          </w:p>
        </w:tc>
      </w:tr>
      <w:tr>
        <w:tc>
          <w:tcPr>
            <w:tcW w:type="dxa" w:w="4680"/>
          </w:tcPr>
          <w:p>
            <w:r>
              <w:t>num__hypertension</w:t>
            </w:r>
          </w:p>
        </w:tc>
        <w:tc>
          <w:tcPr>
            <w:tcW w:type="dxa" w:w="4680"/>
          </w:tcPr>
          <w:p>
            <w:r>
              <w:t>0.113</w:t>
            </w:r>
          </w:p>
        </w:tc>
      </w:tr>
      <w:tr>
        <w:tc>
          <w:tcPr>
            <w:tcW w:type="dxa" w:w="4680"/>
          </w:tcPr>
          <w:p>
            <w:r>
              <w:t>num__thyroid_history</w:t>
            </w:r>
          </w:p>
        </w:tc>
        <w:tc>
          <w:tcPr>
            <w:tcW w:type="dxa" w:w="4680"/>
          </w:tcPr>
          <w:p>
            <w:r>
              <w:t>0.098</w:t>
            </w:r>
          </w:p>
        </w:tc>
      </w:tr>
      <w:tr>
        <w:tc>
          <w:tcPr>
            <w:tcW w:type="dxa" w:w="4680"/>
          </w:tcPr>
          <w:p>
            <w:r>
              <w:t>num__age</w:t>
            </w:r>
          </w:p>
        </w:tc>
        <w:tc>
          <w:tcPr>
            <w:tcW w:type="dxa" w:w="4680"/>
          </w:tcPr>
          <w:p>
            <w:r>
              <w:t>0.059</w:t>
            </w:r>
          </w:p>
        </w:tc>
      </w:tr>
      <w:tr>
        <w:tc>
          <w:tcPr>
            <w:tcW w:type="dxa" w:w="4680"/>
          </w:tcPr>
          <w:p>
            <w:r>
              <w:t>num__drinking_bin</w:t>
            </w:r>
          </w:p>
        </w:tc>
        <w:tc>
          <w:tcPr>
            <w:tcW w:type="dxa" w:w="4680"/>
          </w:tcPr>
          <w:p>
            <w:r>
              <w:t>0.053</w:t>
            </w:r>
          </w:p>
        </w:tc>
      </w:tr>
      <w:tr>
        <w:tc>
          <w:tcPr>
            <w:tcW w:type="dxa" w:w="4680"/>
          </w:tcPr>
          <w:p>
            <w:r>
              <w:t>cat__sex_0</w:t>
            </w:r>
          </w:p>
        </w:tc>
        <w:tc>
          <w:tcPr>
            <w:tcW w:type="dxa" w:w="4680"/>
          </w:tcPr>
          <w:p>
            <w:r>
              <w:t>0.008</w:t>
            </w:r>
          </w:p>
        </w:tc>
      </w:tr>
    </w:tbl>
    <w:p>
      <w:pPr>
        <w:pStyle w:val="Heading1"/>
      </w:pPr>
      <w:r>
        <w:t>Results</w:t>
      </w:r>
    </w:p>
    <w:p>
      <w:r>
        <w:t>Dataset inspection identified 995 patients and 18520 ultrasound images in total, with a mean of 18.61 images per patient, a median of 16.0, and a range from 1 to 183 images per patient. After linking the image repository to the cleaned clinical dataset by patient_id, 20 patient-level records were available in the merged multimodal dataset. The patient-level split allocated 16 patients to the training cohort and 4 patients to the testing cohort.</w:t>
      </w:r>
    </w:p>
    <w:p>
      <w:r>
        <w:t>In the current preliminary fusion run, the multimodal model achieved an AUC of 0.000, accuracy of 0.250, sensitivity of 0.000, specificity of 0.500, precision of 0.000, recall of 0.000, and F1-score of 0.000. Across the current comparison set, the numerically best-performing model was Ultrasound model with an AUC of 1.000. The full comparative metrics are summarized in Table 2.</w:t>
      </w:r>
    </w:p>
    <w:p>
      <w:r>
        <w:t>Explainability outputs were successfully generated. SHAP analysis ranked thyroiditis, nodular goiter, body mass index, smoking, and diabetes among the most influential clinical contributors in the current run. Grad-CAM examples were also produced for representative ultrasound images, demonstrating that the full explainability workflow was operational.</w:t>
      </w:r>
    </w:p>
    <w:p>
      <w:r>
        <w:t>These results should be interpreted as pilot findings because the current execution was a smoke-test style validation run rather than a definitive full-cohort training protocol. Accordingly, the present numerical performance values primarily establish technical feasibility of the multimodal fusion workflow.</w:t>
      </w:r>
    </w:p>
    <w:p>
      <w:pPr>
        <w:pStyle w:val="Heading2"/>
      </w:pPr>
      <w:r>
        <w:t>Figure 1. Fusion ROC curve</w:t>
      </w:r>
    </w:p>
    <w:p>
      <w:r>
        <w:drawing>
          <wp:inline xmlns:a="http://schemas.openxmlformats.org/drawingml/2006/main" xmlns:pic="http://schemas.openxmlformats.org/drawingml/2006/picture">
            <wp:extent cx="5669280" cy="4859383"/>
            <wp:docPr id="1" name="Picture 1"/>
            <wp:cNvGraphicFramePr>
              <a:graphicFrameLocks noChangeAspect="1"/>
            </wp:cNvGraphicFramePr>
            <a:graphic>
              <a:graphicData uri="http://schemas.openxmlformats.org/drawingml/2006/picture">
                <pic:pic>
                  <pic:nvPicPr>
                    <pic:cNvPr id="0" name="fusion_roc_curve.png"/>
                    <pic:cNvPicPr/>
                  </pic:nvPicPr>
                  <pic:blipFill>
                    <a:blip r:embed="rId9"/>
                    <a:stretch>
                      <a:fillRect/>
                    </a:stretch>
                  </pic:blipFill>
                  <pic:spPr>
                    <a:xfrm>
                      <a:off x="0" y="0"/>
                      <a:ext cx="5669280" cy="4859383"/>
                    </a:xfrm>
                    <a:prstGeom prst="rect"/>
                  </pic:spPr>
                </pic:pic>
              </a:graphicData>
            </a:graphic>
          </wp:inline>
        </w:drawing>
      </w:r>
    </w:p>
    <w:p>
      <w:pPr>
        <w:jc w:val="center"/>
      </w:pPr>
      <w:r>
        <w:rPr>
          <w:rFonts w:ascii="Times New Roman" w:hAnsi="Times New Roman"/>
          <w:i/>
          <w:sz w:val="20"/>
        </w:rPr>
        <w:t>Figure 1. Receiver operating characteristic curve of the multimodal fusion model.</w:t>
      </w:r>
    </w:p>
    <w:p>
      <w:pPr>
        <w:pStyle w:val="Heading2"/>
      </w:pPr>
      <w:r>
        <w:t>Figure 2. SHAP summary plot</w:t>
      </w:r>
    </w:p>
    <w:p>
      <w:r>
        <w:drawing>
          <wp:inline xmlns:a="http://schemas.openxmlformats.org/drawingml/2006/main" xmlns:pic="http://schemas.openxmlformats.org/drawingml/2006/picture">
            <wp:extent cx="5669280" cy="4782546"/>
            <wp:docPr id="2" name="Picture 2"/>
            <wp:cNvGraphicFramePr>
              <a:graphicFrameLocks noChangeAspect="1"/>
            </wp:cNvGraphicFramePr>
            <a:graphic>
              <a:graphicData uri="http://schemas.openxmlformats.org/drawingml/2006/picture">
                <pic:pic>
                  <pic:nvPicPr>
                    <pic:cNvPr id="0" name="clinical_shap_summary.png"/>
                    <pic:cNvPicPr/>
                  </pic:nvPicPr>
                  <pic:blipFill>
                    <a:blip r:embed="rId10"/>
                    <a:stretch>
                      <a:fillRect/>
                    </a:stretch>
                  </pic:blipFill>
                  <pic:spPr>
                    <a:xfrm>
                      <a:off x="0" y="0"/>
                      <a:ext cx="5669280" cy="4782546"/>
                    </a:xfrm>
                    <a:prstGeom prst="rect"/>
                  </pic:spPr>
                </pic:pic>
              </a:graphicData>
            </a:graphic>
          </wp:inline>
        </w:drawing>
      </w:r>
    </w:p>
    <w:p>
      <w:pPr>
        <w:jc w:val="center"/>
      </w:pPr>
      <w:r>
        <w:rPr>
          <w:rFonts w:ascii="Times New Roman" w:hAnsi="Times New Roman"/>
          <w:i/>
          <w:sz w:val="20"/>
        </w:rPr>
        <w:t>Figure 2. SHAP summary plot for the clinical component of the multimodal workflow.</w:t>
      </w:r>
    </w:p>
    <w:p>
      <w:pPr>
        <w:pStyle w:val="Heading2"/>
      </w:pPr>
      <w:r>
        <w:t>Figure 3. Clinical feature importance</w:t>
      </w:r>
    </w:p>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clinical_feature_importance.png"/>
                    <pic:cNvPicPr/>
                  </pic:nvPicPr>
                  <pic:blipFill>
                    <a:blip r:embed="rId11"/>
                    <a:stretch>
                      <a:fillRect/>
                    </a:stretch>
                  </pic:blipFill>
                  <pic:spPr>
                    <a:xfrm>
                      <a:off x="0" y="0"/>
                      <a:ext cx="5669280" cy="3401568"/>
                    </a:xfrm>
                    <a:prstGeom prst="rect"/>
                  </pic:spPr>
                </pic:pic>
              </a:graphicData>
            </a:graphic>
          </wp:inline>
        </w:drawing>
      </w:r>
    </w:p>
    <w:p>
      <w:pPr>
        <w:jc w:val="center"/>
      </w:pPr>
      <w:r>
        <w:rPr>
          <w:rFonts w:ascii="Times New Roman" w:hAnsi="Times New Roman"/>
          <w:i/>
          <w:sz w:val="20"/>
        </w:rPr>
        <w:t>Figure 3. Clinical feature importance estimated from the logistic regression clinical baseline.</w:t>
      </w:r>
    </w:p>
    <w:p>
      <w:pPr>
        <w:pStyle w:val="Heading2"/>
      </w:pPr>
      <w:r>
        <w:t>Figure 4. Representative Grad-CAM examples</w:t>
      </w:r>
    </w:p>
    <w:p>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patient_22_gradcam.png"/>
                    <pic:cNvPicPr/>
                  </pic:nvPicPr>
                  <pic:blipFill>
                    <a:blip r:embed="rId12"/>
                    <a:stretch>
                      <a:fillRect/>
                    </a:stretch>
                  </pic:blipFill>
                  <pic:spPr>
                    <a:xfrm>
                      <a:off x="0" y="0"/>
                      <a:ext cx="5303520" cy="2651760"/>
                    </a:xfrm>
                    <a:prstGeom prst="rect"/>
                  </pic:spPr>
                </pic:pic>
              </a:graphicData>
            </a:graphic>
          </wp:inline>
        </w:drawing>
      </w:r>
    </w:p>
    <w:p>
      <w:pPr>
        <w:jc w:val="center"/>
      </w:pPr>
      <w:r>
        <w:rPr>
          <w:rFonts w:ascii="Times New Roman" w:hAnsi="Times New Roman"/>
          <w:i/>
          <w:sz w:val="20"/>
        </w:rPr>
        <w:t>Grad-CAM visualization for patient 22 gradcam.</w:t>
      </w:r>
    </w:p>
    <w:p>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patient_6_gradcam.png"/>
                    <pic:cNvPicPr/>
                  </pic:nvPicPr>
                  <pic:blipFill>
                    <a:blip r:embed="rId13"/>
                    <a:stretch>
                      <a:fillRect/>
                    </a:stretch>
                  </pic:blipFill>
                  <pic:spPr>
                    <a:xfrm>
                      <a:off x="0" y="0"/>
                      <a:ext cx="5303520" cy="2651760"/>
                    </a:xfrm>
                    <a:prstGeom prst="rect"/>
                  </pic:spPr>
                </pic:pic>
              </a:graphicData>
            </a:graphic>
          </wp:inline>
        </w:drawing>
      </w:r>
    </w:p>
    <w:p>
      <w:pPr>
        <w:jc w:val="center"/>
      </w:pPr>
      <w:r>
        <w:rPr>
          <w:rFonts w:ascii="Times New Roman" w:hAnsi="Times New Roman"/>
          <w:i/>
          <w:sz w:val="20"/>
        </w:rPr>
        <w:t>Grad-CAM visualization for patient 6 gradcam.</w:t>
      </w:r>
    </w:p>
    <w:p>
      <w:r>
        <w:drawing>
          <wp:inline xmlns:a="http://schemas.openxmlformats.org/drawingml/2006/main" xmlns:pic="http://schemas.openxmlformats.org/drawingml/2006/picture">
            <wp:extent cx="5303520" cy="2651760"/>
            <wp:docPr id="6" name="Picture 6"/>
            <wp:cNvGraphicFramePr>
              <a:graphicFrameLocks noChangeAspect="1"/>
            </wp:cNvGraphicFramePr>
            <a:graphic>
              <a:graphicData uri="http://schemas.openxmlformats.org/drawingml/2006/picture">
                <pic:pic>
                  <pic:nvPicPr>
                    <pic:cNvPr id="0" name="patient_7_gradcam.png"/>
                    <pic:cNvPicPr/>
                  </pic:nvPicPr>
                  <pic:blipFill>
                    <a:blip r:embed="rId14"/>
                    <a:stretch>
                      <a:fillRect/>
                    </a:stretch>
                  </pic:blipFill>
                  <pic:spPr>
                    <a:xfrm>
                      <a:off x="0" y="0"/>
                      <a:ext cx="5303520" cy="2651760"/>
                    </a:xfrm>
                    <a:prstGeom prst="rect"/>
                  </pic:spPr>
                </pic:pic>
              </a:graphicData>
            </a:graphic>
          </wp:inline>
        </w:drawing>
      </w:r>
    </w:p>
    <w:p>
      <w:pPr>
        <w:jc w:val="center"/>
      </w:pPr>
      <w:r>
        <w:rPr>
          <w:rFonts w:ascii="Times New Roman" w:hAnsi="Times New Roman"/>
          <w:i/>
          <w:sz w:val="20"/>
        </w:rPr>
        <w:t>Grad-CAM visualization for patient 7 gradcam.</w:t>
      </w:r>
    </w:p>
    <w:p>
      <w:pPr>
        <w:pStyle w:val="Heading1"/>
      </w:pPr>
      <w:r>
        <w:t>Discussion</w:t>
      </w:r>
    </w:p>
    <w:p>
      <w:r>
        <w:t>The principal contribution of the current workflow is the construction of a genuinely patient-level multimodal prediction framework for thyroid malignancy. This design is methodologically important because it aligns the unit of prediction with real clinical decision-making and avoids the bias that would arise if multiple ultrasound images from the same patient were analyzed as statistically independent samples.</w:t>
      </w:r>
    </w:p>
    <w:p>
      <w:r>
        <w:t>The fusion architecture is intentionally structured so that clinical and imaging information contribute through separate latent branches before joint integration. This provides a practical way to combine heterogeneous data types while preserving interpretability and allowing future ablation analyses. The successful generation of patient-level embeddings, merged multimodal tables, SHAP outputs, ROC curves, and Grad-CAM visualizations shows that the end-to-end system is now ready for formal model development on the complete cohort.</w:t>
      </w:r>
    </w:p>
    <w:p>
      <w:r>
        <w:t>However, the current performance values should not be interpreted as evidence regarding the superiority or inferiority of any model class. The present fusion results were generated in a limited pilot configuration, and such runs commonly yield unstable discrimination metrics, threshold-dependent performance fluctuations, or seemingly contradictory findings across AUC and accuracy. A full training run with the prespecified training schedule, repeated validation, and potentially external validation is required before any robust clinical or scientific conclusion can be drawn.</w:t>
      </w:r>
    </w:p>
    <w:p>
      <w:r>
        <w:t>Future work should focus on full-cohort training, repeated random splits or cross-validation, calibration assessment, comparison of alternative aggregation strategies, and sensitivity analyses for preprocessing and feature scaling. If the fusion model consistently outperforms the unimodal baselines under these more rigorous conditions, this would support the hypothesis that structured clinical variables provide complementary value to ultrasound-derived imaging representations in thyroid malignancy prediction.</w:t>
      </w:r>
    </w:p>
    <w:p>
      <w:pPr>
        <w:pStyle w:val="Heading2"/>
      </w:pPr>
      <w:r>
        <w:t>Interpretive Note</w:t>
      </w:r>
    </w:p>
    <w:p>
      <w:r>
        <w:t>This document is suitable for method reporting and internal manuscript drafting. The reported performance metrics reflect the current pilot run and should be replaced with full-cohort results after complete model training.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