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market-analysis-—-public-dc-fast-charging-for-passenger-cars,-2026–2028" w:id="1"/>
      <w:r>
        <w:t xml:space="preserve">Market Analysis — Public DC Fast Charging for Passenger Cars, 2026–2028</w:t>
      </w:r>
      <w:bookmarkEnd w:id="1"/>
    </w:p>
    <w:p>
      <w:r>
        <w:rPr>
          <w:b/>
          <w:bCs/>
        </w:rPr>
        <w:t xml:space="preserve">Prepared for:</w:t>
      </w:r>
      <w:r>
        <w:t xml:space="preserve"> Leadership Team of a mid-size DC fast-charging operator
</w:t>
      </w:r>
      <w:r>
        <w:rPr>
          <w:b/>
          <w:bCs/>
        </w:rPr>
        <w:t xml:space="preserve">Date:</w:t>
      </w:r>
      <w:r>
        <w:t xml:space="preserve"> 26 September 2026
</w:t>
      </w:r>
      <w:r>
        <w:rPr>
          <w:b/>
          <w:bCs/>
        </w:rPr>
        <w:t xml:space="preserve">Scope:</w:t>
      </w:r>
      <w:r>
        <w:t xml:space="preserve"> Public DC fast charging for passenger cars — United Kingdom, United States, EU core (Germany and France)
</w:t>
      </w:r>
      <w:r>
        <w:rPr>
          <w:b/>
          <w:bCs/>
        </w:rPr>
        <w:t xml:space="preserve">Classification:</w:t>
      </w:r>
      <w:r>
        <w:t xml:space="preserve"> Internal</w:t>
      </w:r>
    </w:p>
    <w:p>
      <w:pPr>
        <w:pBdr>
          <w:top w:val="single" w:sz="6"/>
        </w:pBdr>
      </w:pPr>
    </w:p>
    <w:p>
      <w:pPr>
        <w:pStyle w:val="Heading1"/>
      </w:pPr>
      <w:bookmarkStart w:name="definitional-note" w:id="1"/>
      <w:r>
        <w:t xml:space="preserve">Definitional Note</w:t>
      </w:r>
      <w:bookmarkEnd w:id="1"/>
    </w:p>
    <w:p>
      <w:r>
        <w:t xml:space="preserve">The IEA dataset defines "fast" chargers as </w:t>
      </w:r>
      <w:r>
        <w:rPr>
          <w:b/>
          <w:bCs/>
        </w:rPr>
        <w:t xml:space="preserve">&gt;22 kW</w:t>
      </w:r>
      <w:r>
        <w:t xml:space="preserve">, which includes some AC Type 2 units. The UK research uses </w:t>
      </w:r>
      <w:r>
        <w:rPr>
          <w:b/>
          <w:bCs/>
        </w:rPr>
        <w:t xml:space="preserve">50 kW+</w:t>
      </w:r>
      <w:r>
        <w:t xml:space="preserve"> (DfT/Zapmap). The US research uses </w:t>
      </w:r>
      <w:r>
        <w:rPr>
          <w:b/>
          <w:bCs/>
        </w:rPr>
        <w:t xml:space="preserve">DC fast-charging ports</w:t>
      </w:r>
      <w:r>
        <w:t xml:space="preserve"> (broadly comparable to the IEA definition). The Germany/France research uses </w:t>
      </w:r>
      <w:r>
        <w:rPr>
          <w:b/>
          <w:bCs/>
        </w:rPr>
        <w:t xml:space="preserve">150 kW+ HPC</w:t>
      </w:r>
      <w:r>
        <w:t xml:space="preserve"> for France's latest count (Avere-France) while Germany's Bundesnetzagentur figure covers all DC fast chargers. These thresholds are </w:t>
      </w:r>
      <w:r>
        <w:rPr>
          <w:b/>
          <w:bCs/>
        </w:rPr>
        <w:t xml:space="preserve">not directly comparable</w:t>
      </w:r>
      <w:r>
        <w:t xml:space="preserve"> and are labelled separately throughout this document.</w:t>
      </w:r>
    </w:p>
    <w:p>
      <w:pPr>
        <w:pBdr>
          <w:top w:val="single" w:sz="6"/>
        </w:pBdr>
      </w:pPr>
    </w:p>
    <w:p>
      <w:pPr>
        <w:pStyle w:val="Heading1"/>
      </w:pPr>
      <w:bookmarkStart w:name="1-market-comparison-table-—-dataset-baseline-vs-latest-research" w:id="1"/>
      <w:r>
        <w:t xml:space="preserve">1. Market Comparison Table — Dataset Baseline vs. Latest Research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Germany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France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IEA 2023 BASELINE (&gt;22 kW)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t xml:space="preserve">EV car stock (BEV+PHEV+FCEV)</w:t>
            </w:r>
          </w:p>
        </w:tc>
        <w:tc>
          <w:tcPr>
            <w:tcW w:type="auto" w:w="100"/>
            <w:vAlign w:val="center"/>
          </w:tcPr>
          <w:p>
            <w:r>
              <w:t xml:space="preserve">~1,580,000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~4,800,000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~2,500,000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~1,570,000 [Dataset, 2023]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Public fast chargers (&gt;22 kW)</w:t>
            </w:r>
          </w:p>
        </w:tc>
        <w:tc>
          <w:tcPr>
            <w:tcW w:type="auto" w:w="100"/>
            <w:vAlign w:val="center"/>
          </w:tcPr>
          <w:p>
            <w:r>
              <w:t xml:space="preserve">~10,000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~43,000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~21,000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~20,000 [Dataset, 2023]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EVs per fast charger</w:t>
            </w:r>
          </w:p>
        </w:tc>
        <w:tc>
          <w:tcPr>
            <w:tcW w:type="auto" w:w="100"/>
            <w:vAlign w:val="center"/>
          </w:tcPr>
          <w:p>
            <w:r>
              <w:t xml:space="preserve">~158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~112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~119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~79 [Dataset, 2023]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 sales share (BEV+PHEV)</w:t>
            </w:r>
          </w:p>
        </w:tc>
        <w:tc>
          <w:tcPr>
            <w:tcW w:type="auto" w:w="100"/>
            <w:vAlign w:val="center"/>
          </w:tcPr>
          <w:p>
            <w:r>
              <w:t xml:space="preserve">24%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10%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24% [Dataset, 2023]</w:t>
            </w:r>
          </w:p>
        </w:tc>
        <w:tc>
          <w:tcPr>
            <w:tcW w:type="auto" w:w="100"/>
            <w:vAlign w:val="center"/>
          </w:tcPr>
          <w:p>
            <w:r>
              <w:t xml:space="preserve">25% [Dataset, 2023]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LATEST RESEARCH (2025–2026)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t xml:space="preserve">Latest fast-charger count</w:t>
            </w:r>
          </w:p>
        </w:tc>
        <w:tc>
          <w:tcPr>
            <w:tcW w:type="auto" w:w="100"/>
            <w:vAlign w:val="center"/>
          </w:tcPr>
          <w:p>
            <w:r>
              <w:t xml:space="preserve">28,887 (50 kW+, Jul 2026) [Research: UK report, DfT]</w:t>
            </w:r>
          </w:p>
        </w:tc>
        <w:tc>
          <w:tcPr>
            <w:tcW w:type="auto" w:w="100"/>
            <w:vAlign w:val="center"/>
          </w:tcPr>
          <w:p>
            <w:r>
              <w:t xml:space="preserve">75,000+ (DC fast, Jul 2026) [Research: US report, AFDC]</w:t>
            </w:r>
          </w:p>
        </w:tc>
        <w:tc>
          <w:tcPr>
            <w:tcW w:type="auto" w:w="100"/>
            <w:vAlign w:val="center"/>
          </w:tcPr>
          <w:p>
            <w:r>
              <w:t xml:space="preserve">54,341 (DC fast, Jul 2026) [Research: DE/FR report, Bundesnetzagentur]</w:t>
            </w:r>
          </w:p>
        </w:tc>
        <w:tc>
          <w:tcPr>
            <w:tcW w:type="auto" w:w="100"/>
            <w:vAlign w:val="center"/>
          </w:tcPr>
          <w:p>
            <w:r>
              <w:t xml:space="preserve">31,335 (150 kW+ HPC only, Feb 2025) [Research: DE/FR report, Avere-France]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Charger definition used</w:t>
            </w:r>
          </w:p>
        </w:tc>
        <w:tc>
          <w:tcPr>
            <w:tcW w:type="auto" w:w="100"/>
            <w:vAlign w:val="center"/>
          </w:tcPr>
          <w:p>
            <w:r>
              <w:t xml:space="preserve">50 kW+ (DfT)</w:t>
            </w:r>
          </w:p>
        </w:tc>
        <w:tc>
          <w:tcPr>
            <w:tcW w:type="auto" w:w="100"/>
            <w:vAlign w:val="center"/>
          </w:tcPr>
          <w:p>
            <w:r>
              <w:t xml:space="preserve">DC fast ports (AFDC)</w:t>
            </w:r>
          </w:p>
        </w:tc>
        <w:tc>
          <w:tcPr>
            <w:tcW w:type="auto" w:w="100"/>
            <w:vAlign w:val="center"/>
          </w:tcPr>
          <w:p>
            <w:r>
              <w:t xml:space="preserve">DC fast (Bundesnetzagentur)</w:t>
            </w:r>
          </w:p>
        </w:tc>
        <w:tc>
          <w:tcPr>
            <w:tcW w:type="auto" w:w="100"/>
            <w:vAlign w:val="center"/>
          </w:tcPr>
          <w:p>
            <w:r>
              <w:t xml:space="preserve">150 kW+ HPC (Avere-France)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Latest BEV sales share</w:t>
            </w:r>
          </w:p>
        </w:tc>
        <w:tc>
          <w:tcPr>
            <w:tcW w:type="auto" w:w="100"/>
            <w:vAlign w:val="center"/>
          </w:tcPr>
          <w:p>
            <w:r>
              <w:t xml:space="preserve">~25% YTD H1 2026; ~29.8% YTD Aug 2026 [Research: UK report, SMMT]</w:t>
            </w:r>
          </w:p>
        </w:tc>
        <w:tc>
          <w:tcPr>
            <w:tcW w:type="auto" w:w="100"/>
            <w:vAlign w:val="center"/>
          </w:tcPr>
          <w:p>
            <w:r>
              <w:t xml:space="preserve">~6–7% BEV mid-2026 [Research: US report]</w:t>
            </w:r>
          </w:p>
        </w:tc>
        <w:tc>
          <w:tcPr>
            <w:tcW w:type="auto" w:w="100"/>
            <w:vAlign w:val="center"/>
          </w:tcPr>
          <w:p>
            <w:r>
              <w:t xml:space="preserve">19.1% BEV (full-year 2025) [Research: DE/FR report]</w:t>
            </w:r>
          </w:p>
        </w:tc>
        <w:tc>
          <w:tcPr>
            <w:tcW w:type="auto" w:w="100"/>
            <w:vAlign w:val="center"/>
          </w:tcPr>
          <w:p>
            <w:r>
              <w:t xml:space="preserve">20.0% BEV (2025); +62.9% YoY H1 2026 [Research: DE/FR report, ACEA]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Utilisation signal</w:t>
            </w:r>
          </w:p>
        </w:tc>
        <w:tc>
          <w:tcPr>
            <w:tcW w:type="auto" w:w="100"/>
            <w:vAlign w:val="center"/>
          </w:tcPr>
          <w:p>
            <w:r>
              <w:t xml:space="preserve">~8% (~2 hrs/day) — Zapmap average for ALL UK public chargers, not rapid-only [Research: UK report]</w:t>
            </w:r>
          </w:p>
        </w:tc>
        <w:tc>
          <w:tcPr>
            <w:tcW w:type="auto" w:w="100"/>
            <w:vAlign w:val="center"/>
          </w:tcPr>
          <w:p>
            <w:r>
              <w:t xml:space="preserve">~16% (just above ~15% breakeven) — DC fast only [Research: US report]</w:t>
            </w:r>
          </w:p>
        </w:tc>
        <w:tc>
          <w:tcPr>
            <w:tcW w:type="auto" w:w="100"/>
            <w:vAlign w:val="center"/>
          </w:tcPr>
          <w:p>
            <w:r>
              <w:t xml:space="preserve">Not in my sources (payback est. 6–12 yrs)</w:t>
            </w:r>
          </w:p>
        </w:tc>
        <w:tc>
          <w:tcPr>
            <w:tcW w:type="auto" w:w="100"/>
            <w:vAlign w:val="center"/>
          </w:tcPr>
          <w:p>
            <w:r>
              <w:t xml:space="preserve">Not in my sources (payback est. 6–12 yrs)</w:t>
            </w:r>
          </w:p>
        </w:tc>
      </w:tr>
    </w:tbl>
    <w:p>
      <w:r>
        <w:rPr>
          <w:b/>
          <w:bCs/>
        </w:rPr>
        <w:t xml:space="preserve">Note:</w:t>
      </w:r>
      <w:r>
        <w:t xml:space="preserve"> The UK ~8% utilisation figure covers all public chargers (including slow and fast) and is </w:t>
      </w:r>
      <w:r>
        <w:rPr>
          <w:b/>
          <w:bCs/>
        </w:rPr>
        <w:t xml:space="preserve">not directly comparable</w:t>
      </w:r>
      <w:r>
        <w:t xml:space="preserve"> with the US ~16% figure, which covers DC fast chargers only.</w:t>
      </w:r>
    </w:p>
    <w:p>
      <w:pPr>
        <w:pBdr>
          <w:top w:val="single" w:sz="6"/>
        </w:pBdr>
      </w:pPr>
    </w:p>
    <w:p>
      <w:pPr>
        <w:pStyle w:val="Heading1"/>
      </w:pPr>
      <w:bookmarkStart w:name="2-competitive-landscape-summary" w:id="1"/>
      <w:r>
        <w:t xml:space="preserve">2. Competitive Landscape Summary</w:t>
      </w:r>
      <w:bookmarkEnd w:id="1"/>
    </w:p>
    <w:p>
      <w:pPr>
        <w:pStyle w:val="Heading2"/>
      </w:pPr>
      <w:bookmarkStart w:name="united-kingdom-(50-kw+,-mid-2026)" w:id="1"/>
      <w:r>
        <w:t xml:space="preserve">United Kingdom (50 kW+, mid-2026)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Fast Chargers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Approx. Share of 50 kW+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MFG EV Power</w:t>
            </w:r>
          </w:p>
        </w:tc>
        <w:tc>
          <w:tcPr>
            <w:tcW w:type="auto" w:w="100"/>
            <w:vAlign w:val="center"/>
          </w:tcPr>
          <w:p>
            <w:r>
              <w:t xml:space="preserve">~2,838 total</w:t>
            </w:r>
          </w:p>
        </w:tc>
        <w:tc>
          <w:tcPr>
            <w:tcW w:type="auto" w:w="100"/>
            <w:vAlign w:val="center"/>
          </w:tcPr>
          <w:p>
            <w:r>
              <w:t xml:space="preserve">~10%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InstaVolt</w:t>
            </w:r>
          </w:p>
        </w:tc>
        <w:tc>
          <w:tcPr>
            <w:tcW w:type="auto" w:w="100"/>
            <w:vAlign w:val="center"/>
          </w:tcPr>
          <w:p>
            <w:r>
              <w:t xml:space="preserve">~2,600+</w:t>
            </w:r>
          </w:p>
        </w:tc>
        <w:tc>
          <w:tcPr>
            <w:tcW w:type="auto" w:w="100"/>
            <w:vAlign w:val="center"/>
          </w:tcPr>
          <w:p>
            <w:r>
              <w:t xml:space="preserve">~9%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Tesla Supercharger</w:t>
            </w:r>
          </w:p>
        </w:tc>
        <w:tc>
          <w:tcPr>
            <w:tcW w:type="auto" w:w="100"/>
            <w:vAlign w:val="center"/>
          </w:tcPr>
          <w:p>
            <w:r>
              <w:t xml:space="preserve">~1,500–2,000</w:t>
            </w:r>
          </w:p>
        </w:tc>
        <w:tc>
          <w:tcPr>
            <w:tcW w:type="auto" w:w="100"/>
            <w:vAlign w:val="center"/>
          </w:tcPr>
          <w:p>
            <w:r>
              <w:t xml:space="preserve">~6–7%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Osprey</w:t>
            </w:r>
          </w:p>
        </w:tc>
        <w:tc>
          <w:tcPr>
            <w:tcW w:type="auto" w:w="100"/>
            <w:vAlign w:val="center"/>
          </w:tcPr>
          <w:p>
            <w:r>
              <w:t xml:space="preserve">~1,500+</w:t>
            </w:r>
          </w:p>
        </w:tc>
        <w:tc>
          <w:tcPr>
            <w:tcW w:type="auto" w:w="100"/>
            <w:vAlign w:val="center"/>
          </w:tcPr>
          <w:p>
            <w:r>
              <w:t xml:space="preserve">~5–6%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BP Pulse</w:t>
            </w:r>
          </w:p>
        </w:tc>
        <w:tc>
          <w:tcPr>
            <w:tcW w:type="auto" w:w="100"/>
            <w:vAlign w:val="center"/>
          </w:tcPr>
          <w:p>
            <w:r>
              <w:t xml:space="preserve">subset of 5,398 total</w:t>
            </w:r>
          </w:p>
        </w:tc>
        <w:tc>
          <w:tcPr>
            <w:tcW w:type="auto" w:w="100"/>
            <w:vAlign w:val="center"/>
          </w:tcPr>
          <w:p>
            <w:r>
              <w:t xml:space="preserve">~4–5%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Gridserve</w:t>
            </w:r>
          </w:p>
        </w:tc>
        <w:tc>
          <w:tcPr>
            <w:tcW w:type="auto" w:w="100"/>
            <w:vAlign w:val="center"/>
          </w:tcPr>
          <w:p>
            <w:r>
              <w:t xml:space="preserve">CMA undertaking expires Nov 2026</w:t>
            </w:r>
          </w:p>
        </w:tc>
        <w:tc>
          <w:tcPr>
            <w:tcW w:type="auto" w:w="100"/>
            <w:vAlign w:val="center"/>
          </w:tcPr>
          <w:p>
            <w:r>
              <w:t xml:space="preserve">~3–4%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Ionity</w:t>
            </w:r>
          </w:p>
        </w:tc>
        <w:tc>
          <w:tcPr>
            <w:tcW w:type="auto" w:w="100"/>
            <w:vAlign w:val="center"/>
          </w:tcPr>
          <w:p>
            <w:r>
              <w:t xml:space="preserve">ultra-rapid hubs</w:t>
            </w:r>
          </w:p>
        </w:tc>
        <w:tc>
          <w:tcPr>
            <w:tcW w:type="auto" w:w="100"/>
            <w:vAlign w:val="center"/>
          </w:tcPr>
          <w:p>
            <w:r>
              <w:t xml:space="preserve">~2%</w:t>
            </w:r>
          </w:p>
        </w:tc>
      </w:tr>
    </w:tbl>
    <w:p>
      <w:r>
        <w:t xml:space="preserve">100–150 CPOs are active but the market is consolidating toward 5–6 dominant players. The top 5 hold approximately one-third of the total public market; the top 15 hold 58%. Under a 2022 CMA undertaking, Gridserve will not enforce exclusive motorway service area rights after November 2026, covering approximately two-thirds of MSAs — opening premium sites to new entrants for the first time in years. [Research: UK report, mid-2026]</w:t>
      </w:r>
    </w:p>
    <w:p>
      <w:pPr>
        <w:pStyle w:val="Heading2"/>
      </w:pPr>
      <w:bookmarkStart w:name="united-states-(dc-fast,-sep-2026)" w:id="1"/>
      <w:r>
        <w:t xml:space="preserve">United States (DC fast, Sep 2026)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DC Fast Ports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Share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Tesla Supercharger</w:t>
            </w:r>
          </w:p>
        </w:tc>
        <w:tc>
          <w:tcPr>
            <w:tcW w:type="auto" w:w="100"/>
            <w:vAlign w:val="center"/>
          </w:tcPr>
          <w:p>
            <w:r>
              <w:t xml:space="preserve">37,995</w:t>
            </w:r>
          </w:p>
        </w:tc>
        <w:tc>
          <w:tcPr>
            <w:tcW w:type="auto" w:w="100"/>
            <w:vAlign w:val="center"/>
          </w:tcPr>
          <w:p>
            <w:r>
              <w:t xml:space="preserve">49.8%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Electrify America</w:t>
            </w:r>
          </w:p>
        </w:tc>
        <w:tc>
          <w:tcPr>
            <w:tcW w:type="auto" w:w="100"/>
            <w:vAlign w:val="center"/>
          </w:tcPr>
          <w:p>
            <w:r>
              <w:t xml:space="preserve">5,936</w:t>
            </w:r>
          </w:p>
        </w:tc>
        <w:tc>
          <w:tcPr>
            <w:tcW w:type="auto" w:w="100"/>
            <w:vAlign w:val="center"/>
          </w:tcPr>
          <w:p>
            <w:r>
              <w:t xml:space="preserve">7.8%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EVgo</w:t>
            </w:r>
          </w:p>
        </w:tc>
        <w:tc>
          <w:tcPr>
            <w:tcW w:type="auto" w:w="100"/>
            <w:vAlign w:val="center"/>
          </w:tcPr>
          <w:p>
            <w:r>
              <w:t xml:space="preserve">5,246</w:t>
            </w:r>
          </w:p>
        </w:tc>
        <w:tc>
          <w:tcPr>
            <w:tcW w:type="auto" w:w="100"/>
            <w:vAlign w:val="center"/>
          </w:tcPr>
          <w:p>
            <w:r>
              <w:t xml:space="preserve">6.9%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ChargePoint</w:t>
            </w:r>
          </w:p>
        </w:tc>
        <w:tc>
          <w:tcPr>
            <w:tcW w:type="auto" w:w="100"/>
            <w:vAlign w:val="center"/>
          </w:tcPr>
          <w:p>
            <w:r>
              <w:t xml:space="preserve">4,937</w:t>
            </w:r>
          </w:p>
        </w:tc>
        <w:tc>
          <w:tcPr>
            <w:tcW w:type="auto" w:w="100"/>
            <w:vAlign w:val="center"/>
          </w:tcPr>
          <w:p>
            <w:r>
              <w:t xml:space="preserve">6.5%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Red E Charge</w:t>
            </w:r>
          </w:p>
        </w:tc>
        <w:tc>
          <w:tcPr>
            <w:tcW w:type="auto" w:w="100"/>
            <w:vAlign w:val="center"/>
          </w:tcPr>
          <w:p>
            <w:r>
              <w:t xml:space="preserve">2,141</w:t>
            </w:r>
          </w:p>
        </w:tc>
        <w:tc>
          <w:tcPr>
            <w:tcW w:type="auto" w:w="100"/>
            <w:vAlign w:val="center"/>
          </w:tcPr>
          <w:p>
            <w:r>
              <w:t xml:space="preserve">2.8%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IONNA</w:t>
            </w:r>
          </w:p>
        </w:tc>
        <w:tc>
          <w:tcPr>
            <w:tcW w:type="auto" w:w="100"/>
            <w:vAlign w:val="center"/>
          </w:tcPr>
          <w:p>
            <w:r>
              <w:t xml:space="preserve">1,458</w:t>
            </w:r>
          </w:p>
        </w:tc>
        <w:tc>
          <w:tcPr>
            <w:tcW w:type="auto" w:w="100"/>
            <w:vAlign w:val="center"/>
          </w:tcPr>
          <w:p>
            <w:r>
              <w:t xml:space="preserve">1.9%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Other Networks</w:t>
            </w:r>
          </w:p>
        </w:tc>
        <w:tc>
          <w:tcPr>
            <w:tcW w:type="auto" w:w="100"/>
            <w:vAlign w:val="center"/>
          </w:tcPr>
          <w:p>
            <w:r>
              <w:t xml:space="preserve">12,382</w:t>
            </w:r>
          </w:p>
        </w:tc>
        <w:tc>
          <w:tcPr>
            <w:tcW w:type="auto" w:w="100"/>
            <w:vAlign w:val="center"/>
          </w:tcPr>
          <w:p>
            <w:r>
              <w:t xml:space="preserve">16.2%</w:t>
            </w:r>
          </w:p>
        </w:tc>
      </w:tr>
    </w:tbl>
    <w:p>
      <w:r>
        <w:t xml:space="preserve">Tesla dominates at ~50% but its share is declining (was 54.6% in Jul 2025). The "Other" category grew 44% YoY, indicating the market is fragmenting at the tail. The automaker-backed IONNA consortium is targeting 30,000 sites. [Research: US report, AFDC, Sep 2026]</w:t>
      </w:r>
    </w:p>
    <w:p>
      <w:pPr>
        <w:pStyle w:val="Heading2"/>
      </w:pPr>
      <w:bookmarkStart w:name="germany-(hpc,-end-2024)" w:id="1"/>
      <w:r>
        <w:t xml:space="preserve">Germany (HPC, end-2024)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HPC Points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EnBW</w:t>
            </w:r>
          </w:p>
        </w:tc>
        <w:tc>
          <w:tcPr>
            <w:tcW w:type="auto" w:w="100"/>
            <w:vAlign w:val="center"/>
          </w:tcPr>
          <w:p>
            <w:r>
              <w:t xml:space="preserve">6,005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Tesla</w:t>
            </w:r>
          </w:p>
        </w:tc>
        <w:tc>
          <w:tcPr>
            <w:tcW w:type="auto" w:w="100"/>
            <w:vAlign w:val="center"/>
          </w:tcPr>
          <w:p>
            <w:r>
              <w:t xml:space="preserve">3,110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Aral Pulse/bp</w:t>
            </w:r>
          </w:p>
        </w:tc>
        <w:tc>
          <w:tcPr>
            <w:tcW w:type="auto" w:w="100"/>
            <w:vAlign w:val="center"/>
          </w:tcPr>
          <w:p>
            <w:r>
              <w:t xml:space="preserve">2,317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Allego</w:t>
            </w:r>
          </w:p>
        </w:tc>
        <w:tc>
          <w:tcPr>
            <w:tcW w:type="auto" w:w="100"/>
            <w:vAlign w:val="center"/>
          </w:tcPr>
          <w:p>
            <w:r>
              <w:t xml:space="preserve">1,541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Ionity</w:t>
            </w:r>
          </w:p>
        </w:tc>
        <w:tc>
          <w:tcPr>
            <w:tcW w:type="auto" w:w="100"/>
            <w:vAlign w:val="center"/>
          </w:tcPr>
          <w:p>
            <w:r>
              <w:t xml:space="preserve">1,084</w:t>
            </w:r>
          </w:p>
        </w:tc>
      </w:tr>
    </w:tbl>
    <w:p>
      <w:r>
        <w:t xml:space="preserve">The top 5 hold a substantial majority of HPC capacity. Concentration is moderate-to-high. Allego was taken private by Meridiam for $1.5B, signalling consolidation favouring operators with scale. [Research: DE/FR report, end-2024]</w:t>
      </w:r>
    </w:p>
    <w:p>
      <w:pPr>
        <w:pStyle w:val="Heading2"/>
      </w:pPr>
      <w:bookmarkStart w:name="france-(hpc,-may-2025)" w:id="1"/>
      <w:r>
        <w:t xml:space="preserve">France (HPC, May 2025)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HPC Points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Tesla</w:t>
            </w:r>
          </w:p>
        </w:tc>
        <w:tc>
          <w:tcPr>
            <w:tcW w:type="auto" w:w="100"/>
            <w:vAlign w:val="center"/>
          </w:tcPr>
          <w:p>
            <w:r>
              <w:t xml:space="preserve">3,019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TotalEnergies</w:t>
            </w:r>
          </w:p>
        </w:tc>
        <w:tc>
          <w:tcPr>
            <w:tcW w:type="auto" w:w="100"/>
            <w:vAlign w:val="center"/>
          </w:tcPr>
          <w:p>
            <w:r>
              <w:t xml:space="preserve">1,543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Electra</w:t>
            </w:r>
          </w:p>
        </w:tc>
        <w:tc>
          <w:tcPr>
            <w:tcW w:type="auto" w:w="100"/>
            <w:vAlign w:val="center"/>
          </w:tcPr>
          <w:p>
            <w:r>
              <w:t xml:space="preserve">1,504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Ionity</w:t>
            </w:r>
          </w:p>
        </w:tc>
        <w:tc>
          <w:tcPr>
            <w:tcW w:type="auto" w:w="100"/>
            <w:vAlign w:val="center"/>
          </w:tcPr>
          <w:p>
            <w:r>
              <w:t xml:space="preserve">688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Fastned</w:t>
            </w:r>
          </w:p>
        </w:tc>
        <w:tc>
          <w:tcPr>
            <w:tcW w:type="auto" w:w="100"/>
            <w:vAlign w:val="center"/>
          </w:tcPr>
          <w:p>
            <w:r>
              <w:t xml:space="preserve">265</w:t>
            </w:r>
          </w:p>
        </w:tc>
      </w:tr>
    </w:tbl>
    <w:p>
      <w:r>
        <w:t xml:space="preserve">The French market is more fragmented than Germany's, segmented by location type (motorway vs. urban). TotalEnergies leads on motorways with 850 points and 380 MW of installed capacity. [Research: DE/FR report, May 2025]</w:t>
      </w:r>
    </w:p>
    <w:p>
      <w:pPr>
        <w:pBdr>
          <w:top w:val="single" w:sz="6"/>
        </w:pBdr>
      </w:pPr>
    </w:p>
    <w:p>
      <w:pPr>
        <w:pStyle w:val="Heading1"/>
      </w:pPr>
      <w:bookmarkStart w:name="3-key-trends-and-signals-—-where-research-confirms-or-contradicts-the-2023-dataset" w:id="1"/>
      <w:r>
        <w:t xml:space="preserve">3. Key Trends and Signals — Where Research Confirms or Contradicts the 2023 Dataset</w:t>
      </w:r>
      <w:bookmarkEnd w:id="1"/>
    </w:p>
    <w:p>
      <w:pPr>
        <w:pStyle w:val="Heading2"/>
      </w:pPr>
      <w:bookmarkStart w:name="demand-trajectory" w:id="1"/>
      <w:r>
        <w:t xml:space="preserve">Demand Trajectory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UK — Confirms and accelerates.</w:t>
      </w:r>
      <w:r>
        <w:t xml:space="preserve"> The dataset showed 24% EV sales share (BEV+PHEV) in 2023 [Dataset, 2023]. Research reports BEV-only share of 19.6% in 2024, 23.4% in 2025, and ~29.8% YTD through August 2026 [Research: UK report, SMMT]. Note: the dataset figure (24%, BEV+PHEV) and the research BEV-only figures cover different powertrain scopes and are not directly comparable. The ZEV mandate (52% by 2028, 100% by 2035) provides a regulatory demand floor, though actual BEV-only share is running 5–8 percentage points below mandate targets [Research: UK report, SMMT/UK Gov].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US — Contradicts.</w:t>
      </w:r>
      <w:r>
        <w:t xml:space="preserve"> The dataset showed 10% EV sales share (BEV+PHEV) in 2023 [Dataset, 2023], and the IEA STEPS scenario projected 20% by 2025. Actual 2025 BEV share was only 7.7–10% [Research: US report]. Following the expiration of the $7,500 federal tax credit in September 2025, BEV share collapsed to ~6–7% by mid-2026 — roughly half the IEA projection pace [Research: US report].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Germany — Volatile but recovering.</w:t>
      </w:r>
      <w:r>
        <w:t xml:space="preserve"> The dataset showed 24% EV sales share (BEV+PHEV) in 2023 [Dataset, 2023]. BEV-only share dipped to 13.5% in 2024 after the Umweltbonus subsidy ended, then rebounded to a record 19.1% in 2025 [Research: DE/FR report]. Note: the dataset and research figures use different powertrain scopes (BEV+PHEV vs. BEV-only) and are not directly comparable.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France — Confirms and accelerates.</w:t>
      </w:r>
      <w:r>
        <w:t xml:space="preserve"> The dataset showed 25% EV sales share (BEV+PHEV) in 2023 [Dataset, 2023]. BEV-only share reached 20.0% in 2025 and surged +62.9% YoY in H1 2026 [Research: DE/FR report, ACEA] — the strongest demand momentum of all four markets. Note: the dataset and research figures use different powertrain scopes.</w:t>
      </w:r>
    </w:p>
    <w:p>
      <w:pPr>
        <w:pStyle w:val="Heading2"/>
      </w:pPr>
      <w:bookmarkStart w:name="infrastructure-supply" w:id="1"/>
      <w:r>
        <w:t xml:space="preserve">Infrastructure Supply</w:t>
      </w:r>
      <w:bookmarkEnd w:id="1"/>
    </w:p>
    <w:p>
      <w:r>
        <w:t xml:space="preserve">All markets show charger deployment outpacing the 2023 dataset trajectory, but the EVs-per-charger ratio is falling in every market — good for drivers, challenging for operator utilisation: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UK:</w:t>
      </w:r>
      <w:r>
        <w:t xml:space="preserve"> 158 → ~66 BEVs per 50 kW+ charger (different definition from the IEA &gt;22 kW ratio — not directly comparable) [Research: UK report, DfT]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US:</w:t>
      </w:r>
      <w:r>
        <w:t xml:space="preserve"> 112 → ~96–106 [Research: US report, AFDC]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Germany:</w:t>
      </w:r>
      <w:r>
        <w:t xml:space="preserve"> 119 → ~71 [Research: DE/FR report, VDA/Bundesnetzagentur]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France:</w:t>
      </w:r>
      <w:r>
        <w:t xml:space="preserve"> 79 → ~46 (150 kW+ HPC only — stricter definition than IEA, so the true DC fast ratio is higher) [Research: DE/FR report, Avere-France]</w:t>
      </w:r>
    </w:p>
    <w:p>
      <w:pPr>
        <w:pStyle w:val="Heading2"/>
      </w:pPr>
      <w:bookmarkStart w:name="utilisation-and-economics" w:id="1"/>
      <w:r>
        <w:t xml:space="preserve">Utilisation and Economics</w:t>
      </w:r>
      <w:bookmarkEnd w:id="1"/>
    </w:p>
    <w:p>
      <w:r>
        <w:t xml:space="preserve">The Zapmap average for all UK public chargers (not rapid-only) is ~8% (~2 hours/day) [Research: UK report]. US DC fast utilisation is ~16%, reported as barely above the ~15% profitability threshold [Research: US report]. These two figures use different charger scopes and </w:t>
      </w:r>
      <w:r>
        <w:rPr>
          <w:b/>
          <w:bCs/>
        </w:rPr>
        <w:t xml:space="preserve">are not directly comparable</w:t>
      </w:r>
      <w:r>
        <w:t xml:space="preserve">. Germany and France utilisation data is not in my sources, but payback periods are estimated at 6–12 years [Research: DE/FR report].</w:t>
      </w:r>
    </w:p>
    <w:p>
      <w:pPr>
        <w:pBdr>
          <w:top w:val="single" w:sz="6"/>
        </w:pBdr>
      </w:pPr>
    </w:p>
    <w:p>
      <w:pPr>
        <w:pStyle w:val="Heading1"/>
      </w:pPr>
      <w:bookmarkStart w:name="4-opportunities-and-risks-per-market" w:id="1"/>
      <w:r>
        <w:t xml:space="preserve">4. Opportunities and Risks per Market</w:t>
      </w:r>
      <w:bookmarkEnd w:id="1"/>
    </w:p>
    <w:p>
      <w:pPr>
        <w:pStyle w:val="Heading2"/>
      </w:pPr>
      <w:bookmarkStart w:name="united-kingdom" w:id="1"/>
      <w:r>
        <w:t xml:space="preserve">United Kingdom</w:t>
      </w:r>
      <w:bookmarkEnd w:id="1"/>
    </w:p>
    <w:p>
      <w:r>
        <w:rPr>
          <w:b/>
          <w:bCs/>
        </w:rPr>
        <w:t xml:space="preserve">Opportunities: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ZEV mandate creates a regulatory demand floor to 2035, the strongest of any market in scope [Research: UK report, UK Gov]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2022 CMA undertaking means Gridserve will not enforce exclusive MSA rights after November 2026, covering approximately two-thirds of MSAs — a once-in-a-decade site-acquisition window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Underserved regions offer white space: Northern Ireland (19.3 rapid chargers per 100,000 people), London (27.9), Yorkshire and the Humber (36.6), and the North East (37.1), against a UK average of 41.7. Scotland is the best-served region at 59.1 [Research: UK report, DfT Jul 2026]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Government funding is itemised: LEVI £381M (mostly slow on-street charging), £400M from the 2025 Spending Review for strategic road network charging, plus Ofgem's separate £300M Green Recovery Scheme for network upgrades at 37 motorway service areas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Industry consolidation creates M&amp;A targets; £460M+ raised by top 3 independent operators [Research: UK report]</w:t>
      </w:r>
    </w:p>
    <w:p>
      <w:r>
        <w:rPr>
          <w:b/>
          <w:bCs/>
        </w:rPr>
        <w:t xml:space="preserve">Risks: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Utilisation ~8% across all public chargers (not rapid-only) — near-term revenue pressure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Grid connection queue averages 5.5 years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87× increase in grid standing charges since 2022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20% VAT vs 5% domestic rate; ~10× price premium over home charging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ZEV mandate under formal government review as of August 2026 — outcome unknown [Research: UK report]</w:t>
      </w:r>
    </w:p>
    <w:p>
      <w:pPr>
        <w:pStyle w:val="Heading2"/>
      </w:pPr>
      <w:bookmarkStart w:name="united-states" w:id="1"/>
      <w:r>
        <w:t xml:space="preserve">United States</w:t>
      </w:r>
      <w:bookmarkEnd w:id="1"/>
    </w:p>
    <w:p>
      <w:r>
        <w:rPr>
          <w:b/>
          <w:bCs/>
        </w:rPr>
        <w:t xml:space="preserve">Opportunities: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Largest absolute fleet: ~4.8M EVs in 2023 [Dataset, 2023]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Market fragmenting: "Other" networks grew 44% YoY vs 20% for top-10 [Research: US report, AFDC]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State-level funding: California ($55M+), New York ($28.5M+)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NACS standardisation simplifies the long-term connector landscape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Infrastructure still 32% below IEA target — a structural gap to fill [Research: US report]</w:t>
      </w:r>
    </w:p>
    <w:p>
      <w:r>
        <w:rPr>
          <w:b/>
          <w:bCs/>
        </w:rPr>
        <w:t xml:space="preserve">Risks: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Tax-credit expiration collapsed BEV share to ~6–7% by mid-2026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Tesla holds ~50% of DC fast ports with a sub-$45K/stall cost advantage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IONNA (automaker-backed) targeting 30,000 sites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Utilisation at ~16% barely above the ~15% breakeven threshold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Demand charges can consume &gt;90% of electricity costs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$504M in NEVI funds repurposed in March 2026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Dual-connector requirement (NACS+CCS1) adds capex [Research: US report]</w:t>
      </w:r>
    </w:p>
    <w:p>
      <w:pPr>
        <w:pStyle w:val="Heading2"/>
      </w:pPr>
      <w:bookmarkStart w:name="germany" w:id="1"/>
      <w:r>
        <w:t xml:space="preserve">Germany</w:t>
      </w:r>
      <w:bookmarkEnd w:id="1"/>
    </w:p>
    <w:p>
      <w:r>
        <w:rPr>
          <w:b/>
          <w:bCs/>
        </w:rPr>
        <w:t xml:space="preserve">Opportunities: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Largest EU BEV fleet: ~2.03M BEVs as of January 2026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Deutschlandnetz policy framework supports network buildout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Median ad-hoc price of €0.59/kWh provides revenue potential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DC fast share of total public charging rose from 13% to 26% [Research: DE/FR report]</w:t>
      </w:r>
    </w:p>
    <w:p>
      <w:r>
        <w:rPr>
          <w:b/>
          <w:bCs/>
        </w:rPr>
        <w:t xml:space="preserve">Risks: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EVs-per-charger ratio already at ~71 — the infrastructure gap is closing fast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EnBW and Tesla dominate the competitive landscape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Allego take-private signals consolidation favouring operators with scale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Grocery-retailer subsidised charging compresses margins [Research: DE/FR report]</w:t>
      </w:r>
    </w:p>
    <w:p>
      <w:pPr>
        <w:pStyle w:val="Heading2"/>
      </w:pPr>
      <w:bookmarkStart w:name="france" w:id="1"/>
      <w:r>
        <w:t xml:space="preserve">France</w:t>
      </w:r>
      <w:bookmarkEnd w:id="1"/>
    </w:p>
    <w:p>
      <w:r>
        <w:rPr>
          <w:b/>
          <w:bCs/>
        </w:rPr>
        <w:t xml:space="preserve">Opportunities: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Strongest BEV sales momentum of all four markets: +62.9% YoY in H1 2026 [Research: DE/FR report, ACEA]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More fragmented operator landscape than Germany — more room for a mid-size entrant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ADVENIR programme now runs to 2030 [Research: DE/FR report, Avere-France], plus France 2030 subsidies totalling &gt;€800M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Motorway master plan creates a concession pipeline [Research: DE/FR report]</w:t>
      </w:r>
    </w:p>
    <w:p>
      <w:r>
        <w:rPr>
          <w:b/>
          <w:bCs/>
        </w:rPr>
        <w:t xml:space="preserve">Risks: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TotalEnergies entrenched on motorways (850 points, 380 MW)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Lower absolute fleet size (~1.3M BEVs) than Germany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IEA baseline uses &gt;22 kW while French research data uses 150 kW+ HPC — the true DC fast charger stock is larger than the HPC-only count, so the ~46 EVs-per-charger ratio understates the competitive intensity [Research: DE/FR report, Avere-France]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t xml:space="preserve">Payback periods estimated at 6–12 years [Research: DE/FR report]</w:t>
      </w:r>
    </w:p>
    <w:p>
      <w:pPr>
        <w:pBdr>
          <w:top w:val="single" w:sz="6"/>
        </w:pBdr>
      </w:pPr>
    </w:p>
    <w:p>
      <w:pPr>
        <w:pStyle w:val="Heading1"/>
      </w:pPr>
      <w:bookmarkStart w:name="5-supporting-evidence" w:id="1"/>
      <w:r>
        <w:t xml:space="preserve">5. Supporting Evidence</w:t>
      </w:r>
      <w:bookmarkEnd w:id="1"/>
    </w:p>
    <w:p>
      <w:pPr>
        <w:pStyle w:val="Heading2"/>
      </w:pPr>
      <w:bookmarkStart w:name="dataset-evidence-(iea-global-ev-data-2024,-historical-through-2023)" w:id="1"/>
      <w:r>
        <w:t xml:space="preserve">Dataset Evidence (IEA Global EV Data 2024, historical through 2023)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</w:rPr>
        <w:t xml:space="preserve">UK:</w:t>
      </w:r>
      <w:r>
        <w:t xml:space="preserve"> ~1.58M EVs, ~10,000 fast chargers (&gt;22 kW), 158 EVs/charger, 24% sales share (BEV+PHEV) [Dataset, 2023]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</w:rPr>
        <w:t xml:space="preserve">US:</w:t>
      </w:r>
      <w:r>
        <w:t xml:space="preserve"> ~4.8M EVs, ~43,000 fast chargers (&gt;22 kW), 112 EVs/charger, 10% sales share (BEV+PHEV) [Dataset, 2023]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</w:rPr>
        <w:t xml:space="preserve">Germany:</w:t>
      </w:r>
      <w:r>
        <w:t xml:space="preserve"> ~2.5M EVs, ~21,000 fast chargers (&gt;22 kW), 119 EVs/charger, 24% sales share (BEV+PHEV) [Dataset, 2023]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</w:rPr>
        <w:t xml:space="preserve">France:</w:t>
      </w:r>
      <w:r>
        <w:t xml:space="preserve"> ~1.57M EVs, ~20,000 fast chargers (&gt;22 kW), 79 EVs/charger, 25% sales share (BEV+PHEV) [Dataset, 2023]</w:t>
      </w:r>
    </w:p>
    <w:p>
      <w:pPr>
        <w:pStyle w:val="Heading2"/>
      </w:pPr>
      <w:bookmarkStart w:name="external-research-evidence-(2025–2026)" w:id="1"/>
      <w:r>
        <w:t xml:space="preserve">External Research Evidence (2025–2026)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</w:rPr>
        <w:t xml:space="preserve">UK:</w:t>
      </w:r>
      <w:r>
        <w:t xml:space="preserve"> BEV parc grew to ~2.1M by mid-2026; 50 kW+ chargers reached 28,887; £460M+ raised by top 3 independent operators [Research: UK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</w:rPr>
        <w:t xml:space="preserve">US:</w:t>
      </w:r>
      <w:r>
        <w:t xml:space="preserve"> 75,000+ DC fast ports by mid-2026 but 32% below IEA target; Tesla share declining below 50%; national DC fast utilisation ~16% [Research: US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</w:rPr>
        <w:t xml:space="preserve">Germany:</w:t>
      </w:r>
      <w:r>
        <w:t xml:space="preserve"> DC fast chargers grew to 54,341 by Jul 2026; BEV share recovered to 19.1% in 2025 [Research: DE/FR report]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</w:rPr>
        <w:t xml:space="preserve">France:</w:t>
      </w:r>
      <w:r>
        <w:t xml:space="preserve"> 31,335 HPC points (150 kW+) by Feb 2025, +58% YoY; BEV sales +62.9% in H1 2026; ADVENIR programme extended to 2030 [Research: DE/FR report]</w:t>
      </w:r>
    </w:p>
    <w:p>
      <w:pPr>
        <w:pBdr>
          <w:top w:val="single" w:sz="6"/>
        </w:pBdr>
      </w:pPr>
    </w:p>
    <w:p>
      <w:pPr>
        <w:pStyle w:val="Heading1"/>
      </w:pPr>
      <w:bookmarkStart w:name="6-confidence-and-limitations" w:id="1"/>
      <w:r>
        <w:t xml:space="preserve">6. Confidence and Limitations</w:t>
      </w:r>
      <w:bookmarkEnd w:id="1"/>
    </w:p>
    <w:p>
      <w:r>
        <w:rPr>
          <w:b/>
          <w:bCs/>
        </w:rPr>
        <w:t xml:space="preserve">Confidence: Medium.</w:t>
      </w:r>
    </w:p>
    <w:p>
      <w:r>
        <w:t xml:space="preserve">The IEA 2023 baseline is robust and cross-validated by all three research reports, but the research reports rely on 2025–2026 sources that use different charger definitions across markets, making direct cross-market ratio comparisons imprecise.</w:t>
      </w:r>
    </w:p>
    <w:p>
      <w:r>
        <w:rPr>
          <w:b/>
          <w:bCs/>
        </w:rPr>
        <w:t xml:space="preserve">Limitations: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Charger definitions differ across sources.</w:t>
      </w:r>
      <w:r>
        <w:t xml:space="preserve"> The IEA uses &gt;22 kW; UK research uses 50 kW+; France research uses 150 kW+ HPC; US research uses DC fast ports. These cannot be compared directly — every ratio in this document is labelled with its definition.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Utilisation data is incomplete and not cross-comparable.</w:t>
      </w:r>
      <w:r>
        <w:t xml:space="preserve"> The UK figure (~8%) covers all public chargers (not rapid-only). The US figure (~16%) covers DC fast only. These use different scopes. Germany and France utilisation is not in my sources.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IEA projections for 2025+ are scenario projections</w:t>
      </w:r>
      <w:r>
        <w:t xml:space="preserve">, not forecasts, and predate the US tax-credit expiration (Sep 2025) and the German Umweltbonus cancellation (Dec 2023). Actual trajectories have diverged materially.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BEV+PHEV vs. BEV-only:</w:t>
      </w:r>
      <w:r>
        <w:t xml:space="preserve"> The dataset reports EV sales share as BEV+PHEV. Most research figures report BEV-only. These are not comparable and are labelled separately throughout.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Competitive landscape data is point-in-time</w:t>
      </w:r>
      <w:r>
        <w:t xml:space="preserve"> (UK mid-2026, US Sep 2026, Germany end-2024, France May 2025) and may not reflect the most recent M&amp;A or deployment changes.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This analysis does not cover</w:t>
      </w:r>
      <w:r>
        <w:t xml:space="preserve"> home/workplace charging, commercial vehicles, investment/financial modelling, or predictions beyond 2030.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2026-09-26T22:06:50.745Z</dcterms:created>
  <dcterms:modified xsi:type="dcterms:W3CDTF">2026-09-26T22:06:50.745Z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