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reliability-evaluation-—-ev-fast-charging-2026–2028" w:id="1"/>
      <w:r>
        <w:t xml:space="preserve">Reliability Evaluation — EV Fast Charging 2026–2028</w:t>
      </w:r>
      <w:bookmarkEnd w:id="1"/>
    </w:p>
    <w:p>
      <w:r>
        <w:rPr>
          <w:b/>
          <w:bCs/>
        </w:rPr>
        <w:t xml:space="preserve">Prepared for:</w:t>
      </w:r>
      <w:r>
        <w:t xml:space="preserve"> Leadership Team of a mid-size DC fast-charging operator
</w:t>
      </w:r>
      <w:r>
        <w:rPr>
          <w:b/>
          <w:bCs/>
        </w:rPr>
        <w:t xml:space="preserve">Date:</w:t>
      </w:r>
      <w:r>
        <w:t xml:space="preserve"> 26 September 2026
</w:t>
      </w:r>
      <w:r>
        <w:rPr>
          <w:b/>
          <w:bCs/>
        </w:rPr>
        <w:t xml:space="preserve">Scope:</w:t>
      </w:r>
      <w:r>
        <w:t xml:space="preserve"> Evaluates the reliability of the Market Analysis covering public DC fast charging for passenger cars in the United Kingdom, United States, and EU core (Germany and France)
</w:t>
      </w:r>
      <w:r>
        <w:rPr>
          <w:b/>
          <w:bCs/>
        </w:rPr>
        <w:t xml:space="preserve">Classification:</w:t>
      </w:r>
      <w:r>
        <w:t xml:space="preserve"> Internal</w:t>
      </w:r>
    </w:p>
    <w:p>
      <w:pPr>
        <w:pBdr>
          <w:top w:val="single" w:sz="6"/>
        </w:pBdr>
      </w:pPr>
    </w:p>
    <w:p>
      <w:pPr>
        <w:pStyle w:val="Heading1"/>
      </w:pPr>
      <w:bookmarkStart w:name="1-five-most-decision-relevant-insights-—-reliability-assessment" w:id="1"/>
      <w:r>
        <w:t xml:space="preserve">1. Five Most Decision-Relevant Insights — Reliability Assessment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Insight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Dataset Evidence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External Research Evidence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Gaps / Missing Context / Assumptions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Source Quality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Consistency Across Sources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Timeliness (oldest → newest)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Confidence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What Cannot Be Concluded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Infrastructure is outpacing fleet growth in all markets</w:t>
            </w:r>
            <w:r>
              <w:t xml:space="preserve">, compressing EVs-per-charger ratios (UK: 158→66; DE: 119→71; FR: 79→46; US: 112→96–106).</w:t>
            </w:r>
          </w:p>
        </w:tc>
        <w:tc>
          <w:tcPr>
            <w:tcW w:type="auto" w:w="100"/>
            <w:vAlign w:val="center"/>
          </w:tcPr>
          <w:p>
            <w:r>
              <w:t xml:space="preserve">UK: ~1.58M EVs, ~10K chargers (&gt;22 kW), ratio 158 [Dataset, 2023]. DE: ~2.5M EVs, ~21K chargers, ratio 119 [Dataset, 2023]. FR: ~1.57M EVs, ~20K chargers, ratio 79 [Dataset, 2023]. US: ~4.8M EVs, ~43K chargers, ratio 112 [Dataset, 2023].</w:t>
            </w:r>
          </w:p>
        </w:tc>
        <w:tc>
          <w:tcPr>
            <w:tcW w:type="auto" w:w="100"/>
            <w:vAlign w:val="center"/>
          </w:tcPr>
          <w:p>
            <w:r>
              <w:t xml:space="preserve">UK: ~66 BEVs per 50 kW+ charger, Jul 2026 [Research: UK report, DfT]. DE: ~71 EVs per charger, Jul 2025 [Research: DE/FR report, VDA/Bundesnetzagentur]. FR: ~46 EVs per HPC (150 kW+), Feb 2025 [Research: DE/FR report, Avere-France]. US: ~96–106, late 2024/2025 [Research: US report, AFDC].</w:t>
            </w:r>
          </w:p>
        </w:tc>
        <w:tc>
          <w:tcPr>
            <w:tcW w:type="auto" w:w="100"/>
            <w:vAlign w:val="center"/>
          </w:tcPr>
          <w:p>
            <w:r>
              <w:t xml:space="preserve">Charger definitions differ across all comparisons: IEA &gt;22 kW vs UK DfT 50 kW+ vs France 150 kW+ vs US AFDC DC fast. Fleet denominators shift between BEV+PHEV (dataset) and BEV-only (some research). No utilisation data for DE/FR. UK utilisation (~8%) covers all public chargers, not rapid-only.</w:t>
            </w:r>
          </w:p>
        </w:tc>
        <w:tc>
          <w:tcPr>
            <w:tcW w:type="auto" w:w="100"/>
            <w:vAlign w:val="center"/>
          </w:tcPr>
          <w:p>
            <w:r>
              <w:t xml:space="preserve">Official statistics (IEA, DfT, Bundesnetzagentur, Avere-France, AFDC) — all high quality.</w:t>
            </w:r>
          </w:p>
        </w:tc>
        <w:tc>
          <w:tcPr>
            <w:tcW w:type="auto" w:w="100"/>
            <w:vAlign w:val="center"/>
          </w:tcPr>
          <w:p>
            <w:r>
              <w:t xml:space="preserve">Directional trend consistent across all sources. Absolute ratios not directly comparable due to definitional mismatches. UK dataset ratio (158) uses &gt;22 kW; UK research ratio (66) uses 50 kW+ — different denominators.</w:t>
            </w:r>
          </w:p>
        </w:tc>
        <w:tc>
          <w:tcPr>
            <w:tcW w:type="auto" w:w="100"/>
            <w:vAlign w:val="center"/>
          </w:tcPr>
          <w:p>
            <w:r>
              <w:t xml:space="preserve">2023 (IEA dataset) → Jul 2026 (UK DfT)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Medium</w:t>
            </w:r>
            <w:r>
              <w:t xml:space="preserve"> — Trend is robust but cross-market ratio comparisons are weakened by inconsistent charger/fleet definitions.</w:t>
            </w:r>
          </w:p>
        </w:tc>
        <w:tc>
          <w:tcPr>
            <w:tcW w:type="auto" w:w="100"/>
            <w:vAlign w:val="center"/>
          </w:tcPr>
          <w:p>
            <w:r>
              <w:t xml:space="preserve">Cannot conclude which market has the "best" ratio for operators, because definitions differ. Cannot conclude whether lower ratios translate to lower utilisation or revenue.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Tesla dominates US DC fast charging with ~50% share</w:t>
            </w:r>
            <w:r>
              <w:t xml:space="preserve"> (37,995 of 76,236 ports), but its share is declining and the "Other" category is growing fastest (+44% YoY).</w:t>
            </w:r>
          </w:p>
        </w:tc>
        <w:tc>
          <w:tcPr>
            <w:tcW w:type="auto" w:w="100"/>
            <w:vAlign w:val="center"/>
          </w:tcPr>
          <w:p>
            <w:r>
              <w:t xml:space="preserve">US: ~43K fast chargers total in 2023 [Dataset, 2023]. No operator-level breakdown in dataset.</w:t>
            </w:r>
          </w:p>
        </w:tc>
        <w:tc>
          <w:tcPr>
            <w:tcW w:type="auto" w:w="100"/>
            <w:vAlign w:val="center"/>
          </w:tcPr>
          <w:p>
            <w:r>
              <w:t xml:space="preserve">Tesla: 37,995 ports, 49.8% share, Sep 2026 — down from 54.6% in Jul 2025 [Research: US report, AFDC]. "Other" networks grew 44% YoY vs 20% for top-10 [Research: US report, AFDC].</w:t>
            </w:r>
          </w:p>
        </w:tc>
        <w:tc>
          <w:tcPr>
            <w:tcW w:type="auto" w:w="100"/>
            <w:vAlign w:val="center"/>
          </w:tcPr>
          <w:p>
            <w:r>
              <w:t xml:space="preserve">No dataset baseline for operator shares. No revenue or utilisation per operator. AFDC data is self-reported by networks. Tesla's open-access share vs proprietary not broken out.</w:t>
            </w:r>
          </w:p>
        </w:tc>
        <w:tc>
          <w:tcPr>
            <w:tcW w:type="auto" w:w="100"/>
            <w:vAlign w:val="center"/>
          </w:tcPr>
          <w:p>
            <w:r>
              <w:t xml:space="preserve">Industry tracker (AFDC) — high quality for port counts; self-reported, so minor lags possible.</w:t>
            </w:r>
          </w:p>
        </w:tc>
        <w:tc>
          <w:tcPr>
            <w:tcW w:type="auto" w:w="100"/>
            <w:vAlign w:val="center"/>
          </w:tcPr>
          <w:p>
            <w:r>
              <w:t xml:space="preserve">No conflicting figures; single-source (AFDC) for operator breakdown.</w:t>
            </w:r>
          </w:p>
        </w:tc>
        <w:tc>
          <w:tcPr>
            <w:tcW w:type="auto" w:w="100"/>
            <w:vAlign w:val="center"/>
          </w:tcPr>
          <w:p>
            <w:r>
              <w:t xml:space="preserve">Jul 2025 → Sep 2026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Medium-High</w:t>
            </w:r>
            <w:r>
              <w:t xml:space="preserve"> — Port counts are well-sourced but revenue/utilisation per operator is absent.</w:t>
            </w:r>
          </w:p>
        </w:tc>
        <w:tc>
          <w:tcPr>
            <w:tcW w:type="auto" w:w="100"/>
            <w:vAlign w:val="center"/>
          </w:tcPr>
          <w:p>
            <w:r>
              <w:t xml:space="preserve">Cannot conclude whether Tesla's declining share means opportunity or that the market is saturating. Cannot conclude profitability of any operator.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3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UK BEV sales are running 5–8pp below ZEV mandate targets</w:t>
            </w:r>
            <w:r>
              <w:t xml:space="preserve">, with the mandate under formal review (Aug 2026), creating regulatory uncertainty for the 2027+ demand floor.</w:t>
            </w:r>
          </w:p>
        </w:tc>
        <w:tc>
          <w:tcPr>
            <w:tcW w:type="auto" w:w="100"/>
            <w:vAlign w:val="center"/>
          </w:tcPr>
          <w:p>
            <w:r>
              <w:t xml:space="preserve">UK EV sales share: 24% (BEV+PHEV) [Dataset, 2023]. Note: this figure covers BEV+PHEV and is not directly comparable with the BEV-only research figures below.</w:t>
            </w:r>
          </w:p>
        </w:tc>
        <w:tc>
          <w:tcPr>
            <w:tcW w:type="auto" w:w="100"/>
            <w:vAlign w:val="center"/>
          </w:tcPr>
          <w:p>
            <w:r>
              <w:t xml:space="preserve">Actual BEV-only share: 19.6% (2024), 23.4% (2025), ~25% YTD H1 2026 [Research: UK report, SMMT/Car Magazine]. ZEV targets: 22% (2024), 28% (2025), 33% (2026), 52% (2028) [Research: UK report, UK Gov]. Gap vs mandate: -2.4pp (2024) widening to ~-5.6pp (2026 forecast) [Research: UK report, SMMT].</w:t>
            </w:r>
          </w:p>
        </w:tc>
        <w:tc>
          <w:tcPr>
            <w:tcW w:type="auto" w:w="100"/>
            <w:vAlign w:val="center"/>
          </w:tcPr>
          <w:p>
            <w:r>
              <w:t xml:space="preserve">Mandate review outcome unknown — could tighten or relax targets. Compliance flexibilities (borrowing, trading) mean actual enforcement is softer than headline gap suggests. No data on how mandate review will affect 2027+ targets. The dataset figure (24%, BEV+PHEV) and research figures (BEV-only) use different powertrain scopes and cannot be compared to infer a trend.</w:t>
            </w:r>
          </w:p>
        </w:tc>
        <w:tc>
          <w:tcPr>
            <w:tcW w:type="auto" w:w="100"/>
            <w:vAlign w:val="center"/>
          </w:tcPr>
          <w:p>
            <w:r>
              <w:t xml:space="preserve">Official statistics (SMMT, UK Gov legislation) — high quality.</w:t>
            </w:r>
          </w:p>
        </w:tc>
        <w:tc>
          <w:tcPr>
            <w:tcW w:type="auto" w:w="100"/>
            <w:vAlign w:val="center"/>
          </w:tcPr>
          <w:p>
            <w:r>
              <w:t xml:space="preserve">Dataset and research use different powertrain scopes (BEV+PHEV vs BEV-only), so no direct comparison is possible. Research figures are internally consistent within BEV-only scope. No conflicting figures within the same scope.</w:t>
            </w:r>
          </w:p>
        </w:tc>
        <w:tc>
          <w:tcPr>
            <w:tcW w:type="auto" w:w="100"/>
            <w:vAlign w:val="center"/>
          </w:tcPr>
          <w:p>
            <w:r>
              <w:t xml:space="preserve">2023 (Dataset) → Aug 2026 (UK Gov review)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Medium</w:t>
            </w:r>
            <w:r>
              <w:t xml:space="preserve"> — The mandate gap is well-documented within BEV-only data, but the mandate review introduces binary uncertainty about future targets.</w:t>
            </w:r>
          </w:p>
        </w:tc>
        <w:tc>
          <w:tcPr>
            <w:tcW w:type="auto" w:w="100"/>
            <w:vAlign w:val="center"/>
          </w:tcPr>
          <w:p>
            <w:r>
              <w:t xml:space="preserve">Cannot conclude whether the mandate will be relaxed or maintained. Cannot conclude that the gap means demand will stall — manufacturers may absorb compliance costs. Cannot infer a trend by comparing the dataset's 24% (BEV+PHEV) with the research's BEV-only figures.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4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US EV demand collapsed after the federal $7,500 tax credit expired in Sep 2025</w:t>
            </w:r>
            <w:r>
              <w:t xml:space="preserve">, with BEV share surging to 12% that month then falling below 6% by Q4 2025, and registrations down 31% YoY by mid-2026.</w:t>
            </w:r>
          </w:p>
        </w:tc>
        <w:tc>
          <w:tcPr>
            <w:tcW w:type="auto" w:w="100"/>
            <w:vAlign w:val="center"/>
          </w:tcPr>
          <w:p>
            <w:r>
              <w:t xml:space="preserve">US EV sales share: 10% (BEV+PHEV) in 2023 [Dataset, 2023]. IEA STEPS projected ~42M US EVs by 2030 [Dataset, projection — scenario, not forecast].</w:t>
            </w:r>
          </w:p>
        </w:tc>
        <w:tc>
          <w:tcPr>
            <w:tcW w:type="auto" w:w="100"/>
            <w:vAlign w:val="center"/>
          </w:tcPr>
          <w:p>
            <w:r>
              <w:t xml:space="preserve">BEV share hit 12% in Sep 2025, collapsed to &lt;6% by Q4 2025 [Research: US report]. Mid-2026 registrations down 31% YoY [Research: US report]. US tracking at ~half the IEA STEPS pace [Research: US report].</w:t>
            </w:r>
          </w:p>
        </w:tc>
        <w:tc>
          <w:tcPr>
            <w:tcW w:type="auto" w:w="100"/>
            <w:vAlign w:val="center"/>
          </w:tcPr>
          <w:p>
            <w:r>
              <w:t xml:space="preserve">No month-by-month registration data in dataset. The 31% YoY decline figure is from a single research report; no second source to cross-check. No data on whether state-level incentives partially offset the federal credit loss.</w:t>
            </w:r>
          </w:p>
        </w:tc>
        <w:tc>
          <w:tcPr>
            <w:tcW w:type="auto" w:w="100"/>
            <w:vAlign w:val="center"/>
          </w:tcPr>
          <w:p>
            <w:r>
              <w:t xml:space="preserve">Mixed: IEA projections (official scenario, not forecast); registration data from industry press (medium quality — specific sourcing unclear for the 31% figure).</w:t>
            </w:r>
          </w:p>
        </w:tc>
        <w:tc>
          <w:tcPr>
            <w:tcW w:type="auto" w:w="100"/>
            <w:vAlign w:val="center"/>
          </w:tcPr>
          <w:p>
            <w:r>
              <w:t xml:space="preserve">Dataset 2023 share (10%, BEV+PHEV) is consistent with the pre-credit-expiry trajectory. The post-expiry collapse is single-sourced.</w:t>
            </w:r>
          </w:p>
        </w:tc>
        <w:tc>
          <w:tcPr>
            <w:tcW w:type="auto" w:w="100"/>
            <w:vAlign w:val="center"/>
          </w:tcPr>
          <w:p>
            <w:r>
              <w:t xml:space="preserve">2023 (Dataset) → mid-2026 (US report)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Medium</w:t>
            </w:r>
            <w:r>
              <w:t xml:space="preserve"> — The demand shock is directionally credible but the 31% YoY figure lacks a second independent source.</w:t>
            </w:r>
          </w:p>
        </w:tc>
        <w:tc>
          <w:tcPr>
            <w:tcW w:type="auto" w:w="100"/>
            <w:vAlign w:val="center"/>
          </w:tcPr>
          <w:p>
            <w:r>
              <w:t xml:space="preserve">Cannot conclude how long the demand depression will last. Cannot conclude whether state incentives or OEM pricing will restore growth.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5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France shows the strongest near-term BEV momentum</w:t>
            </w:r>
            <w:r>
              <w:t xml:space="preserve"> (+62.9% YoY in H1 2026, 38.8% BEV share in Aug 2026), with a more fragmented competitive landscape and &gt;€800M in subsidies (ADVENIR to 2030), but charger installation pace slowed 27% in H1 2026.</w:t>
            </w:r>
          </w:p>
        </w:tc>
        <w:tc>
          <w:tcPr>
            <w:tcW w:type="auto" w:w="100"/>
            <w:vAlign w:val="center"/>
          </w:tcPr>
          <w:p>
            <w:r>
              <w:t xml:space="preserve">France: ~1.57M EVs (BEV+PHEV), ~20K fast chargers (&gt;22 kW), BEV+PHEV sales share 25% [Dataset, 2023].</w:t>
            </w:r>
          </w:p>
        </w:tc>
        <w:tc>
          <w:tcPr>
            <w:tcW w:type="auto" w:w="100"/>
            <w:vAlign w:val="center"/>
          </w:tcPr>
          <w:p>
            <w:r>
              <w:t xml:space="preserve">H1 2026 BEV registrations +62.9% YoY [Research: DE/FR report, ACEA]. Aug 2026 BEV share 38.8% [Research: DE/FR report, Avere-France]. ADVENIR + France 2030 subsidies &gt;€800M; ADVENIR extended to 2030 [Research: DE/FR report, Avere-France/ENGIE/IEA]. Installation pace -27% YoY in H1 2026 [Research: DE/FR report, TechTimes].</w:t>
            </w:r>
          </w:p>
        </w:tc>
        <w:tc>
          <w:tcPr>
            <w:tcW w:type="auto" w:w="100"/>
            <w:vAlign w:val="center"/>
          </w:tcPr>
          <w:p>
            <w:r>
              <w:t xml:space="preserve">The 62.9% growth is from ACEA (EU-wide release) — France-specific breakdown may differ slightly. The -27% installation slowdown is from a single tech-press source. No utilisation data for France. Subsidy continuation beyond 2030 is uncertain. Dataset figure (25%, BEV+PHEV) and research figures (BEV-only) use different powertrain scopes.</w:t>
            </w:r>
          </w:p>
        </w:tc>
        <w:tc>
          <w:tcPr>
            <w:tcW w:type="auto" w:w="100"/>
            <w:vAlign w:val="center"/>
          </w:tcPr>
          <w:p>
            <w:r>
              <w:t xml:space="preserve">ACEA (official industry body — high quality); Avere-France (official French EV association — high quality); TechTimes (tech press — medium quality for the -27% figure).</w:t>
            </w:r>
          </w:p>
        </w:tc>
        <w:tc>
          <w:tcPr>
            <w:tcW w:type="auto" w:w="100"/>
            <w:vAlign w:val="center"/>
          </w:tcPr>
          <w:p>
            <w:r>
              <w:t xml:space="preserve">Dataset 2023 BEV+PHEV share (25%) and research 2025 BEV-only (20%) use different scopes — not directly comparable. Research figures are internally consistent showing upward trajectory within BEV-only scope. The -27% installation slowdown is single-sourced and not corroborated.</w:t>
            </w:r>
          </w:p>
        </w:tc>
        <w:tc>
          <w:tcPr>
            <w:tcW w:type="auto" w:w="100"/>
            <w:vAlign w:val="center"/>
          </w:tcPr>
          <w:p>
            <w:r>
              <w:t xml:space="preserve">2023 (Dataset) → Aug 2026 (Avere-France)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Medium</w:t>
            </w:r>
            <w:r>
              <w:t xml:space="preserve"> — Demand momentum is well-sourced but the installation slowdown and subsidy durability are less certain.</w:t>
            </w:r>
          </w:p>
        </w:tc>
        <w:tc>
          <w:tcPr>
            <w:tcW w:type="auto" w:w="100"/>
            <w:vAlign w:val="center"/>
          </w:tcPr>
          <w:p>
            <w:r>
              <w:t xml:space="preserve">Cannot conclude that France's momentum will sustain through 2028. Cannot conclude that the installation slowdown is structural vs temporary.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2-notes-on-the-reliability-table" w:id="1"/>
      <w:r>
        <w:t xml:space="preserve">2. Notes on the Reliability Table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Definitional mismatches are the single biggest reliability risk.</w:t>
      </w:r>
      <w:r>
        <w:t xml:space="preserve"> The IEA dataset uses &gt;22 kW for "fast" chargers. The UK research uses 50 kW+. The France research uses 150 kW+. The US research uses all DC fast ports. These are not comparable, and the Market Analysis flags this but still presents ratio comparisons side by side, which could mislead a reader who skims.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Utilisation data is thin and not cross-comparable.</w:t>
      </w:r>
      <w:r>
        <w:t xml:space="preserve"> The UK provides a utilisation figure (~8%) but this is the Zapmap average for all public chargers, not rapid-only. The US figure (~16%) covers DC fast chargers only. These use different scopes and cannot be compared directly. Germany and France lack equivalent public data.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Single-source risk</w:t>
      </w:r>
      <w:r>
        <w:t xml:space="preserve"> affects the US demand collapse figure (31% YoY decline) and France's installation slowdown (-27%). Neither has a second independent corroboration in the materials.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IEA projections for 2025+ are scenario outputs, not forecasts.</w:t>
      </w:r>
      <w:r>
        <w:t xml:space="preserve"> The Market Analysis correctly labels them but occasionally uses them as benchmarks without restating the caveat.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BEV+PHEV vs. BEV-only:</w:t>
      </w:r>
      <w:r>
        <w:t xml:space="preserve"> The dataset uses BEV+PHEV for sales share. Most research figures report BEV-only. These are not comparable and must not be used to infer trends across the two scopes.</w:t>
      </w:r>
    </w:p>
    <w:p>
      <w:pPr>
        <w:pBdr>
          <w:top w:val="single" w:sz="6"/>
        </w:pBdr>
      </w:pPr>
    </w:p>
    <w:p>
      <w:pPr>
        <w:pStyle w:val="Heading1"/>
      </w:pPr>
      <w:bookmarkStart w:name="3-arithmetic-fact-checks-of-three-specific-claims" w:id="1"/>
      <w:r>
        <w:t xml:space="preserve">3. Arithmetic Fact-Checks of Three Specific Claims</w:t>
      </w:r>
      <w:bookmarkEnd w:id="1"/>
    </w:p>
    <w:p>
      <w:pPr>
        <w:pStyle w:val="Heading2"/>
      </w:pPr>
      <w:bookmarkStart w:name="claim-a-—-uk-bev-parc-&quot;doubled&quot;-from-~1-33m-to-~2-1m" w:id="1"/>
      <w:r>
        <w:t xml:space="preserve">Claim A — UK BEV parc "doubled" from ~1.33M to ~2.1M</w:t>
      </w:r>
      <w:bookmarkEnd w:id="1"/>
    </w:p>
    <w:p>
      <w:r>
        <w:rPr>
          <w:b/>
          <w:bCs/>
        </w:rPr>
        <w:t xml:space="preserve">Verdict: Does NOT hold.</w:t>
      </w:r>
    </w:p>
    <w:p>
      <w:r>
        <w:t xml:space="preserve">The UK research report's executive summary states the BEV parc "doubled from ~1.3 million to over 2.1 million" between end-2024 and mid-2026 [Research: UK report].</w:t>
      </w:r>
    </w:p>
    <w:p>
      <w:r>
        <w:rPr>
          <w:b/>
          <w:bCs/>
        </w:rPr>
        <w:t xml:space="preserve">Arithmetic: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End-2024: ~1.33 million BEVs [Research: UK report, carwow/SMMT]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Mid-2026: ~2.1 million BEVs [Research: UK report, Electrive]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Growth factor: 2.1 ÷ 1.33 = </w:t>
      </w:r>
      <w:r>
        <w:rPr>
          <w:b/>
          <w:bCs/>
        </w:rPr>
        <w:t xml:space="preserve">1.58×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Percentage increase: </w:t>
      </w:r>
      <w:r>
        <w:rPr>
          <w:b/>
          <w:bCs/>
        </w:rPr>
        <w:t xml:space="preserve">(2.1 − 1.33) ÷ 1.33 = +57.9%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A true doubling would require: 1.33 × 2 = </w:t>
      </w:r>
      <w:r>
        <w:rPr>
          <w:b/>
          <w:bCs/>
        </w:rPr>
        <w:t xml:space="preserve">~2.66 million</w:t>
      </w:r>
      <w:r>
        <w:t xml:space="preserve"> by mid-2026</w:t>
      </w:r>
    </w:p>
    <w:p>
      <w:r>
        <w:rPr>
          <w:b/>
          <w:bCs/>
        </w:rPr>
        <w:t xml:space="preserve">Conclusion:</w:t>
      </w:r>
      <w:r>
        <w:t xml:space="preserve"> The growth is a 58% increase, not a doubling. The word "doubled" overstates the actual growth by a significant margin. The body text of the same report is more careful, saying "expanded rapidly," but the executive summary's headline claim is </w:t>
      </w:r>
      <w:r>
        <w:rPr>
          <w:b/>
          <w:bCs/>
        </w:rPr>
        <w:t xml:space="preserve">arithmetically incorrect</w:t>
      </w:r>
      <w:r>
        <w:t xml:space="preserve"> and should not be cited at face value.</w:t>
      </w:r>
    </w:p>
    <w:p>
      <w:pPr>
        <w:pBdr>
          <w:top w:val="single" w:sz="6"/>
        </w:pBdr>
      </w:pPr>
    </w:p>
    <w:p>
      <w:pPr>
        <w:pStyle w:val="Heading2"/>
      </w:pPr>
      <w:bookmarkStart w:name="claim-b-—-us-dc-fast-ports-growing-&quot;30–35%-per-year&quot;" w:id="1"/>
      <w:r>
        <w:t xml:space="preserve">Claim B — US DC fast ports growing "30–35% per year"</w:t>
      </w:r>
      <w:bookmarkEnd w:id="1"/>
    </w:p>
    <w:p>
      <w:r>
        <w:rPr>
          <w:b/>
          <w:bCs/>
        </w:rPr>
        <w:t xml:space="preserve">Verdict: Partially holds — true for 2024→2025, but NOT for the latest period.</w:t>
      </w:r>
    </w:p>
    <w:p>
      <w:r>
        <w:t xml:space="preserve">The US research report states that DC fast-charging infrastructure is growing "30–35% annually" [Research: US report]. The same report provides the following port counts:</w:t>
      </w:r>
    </w:p>
    <w:p>
      <w:r>
        <w:rPr>
          <w:b/>
          <w:bCs/>
        </w:rPr>
        <w:t xml:space="preserve">Arithmetic: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End-2023: ~43,000 → End-2024: ~50,428 = </w:t>
      </w:r>
      <w:r>
        <w:rPr>
          <w:b/>
          <w:bCs/>
        </w:rPr>
        <w:t xml:space="preserve">(50,428 − 43,000) ÷ 43,000 = +17.3%</w:t>
      </w:r>
      <w:r>
        <w:t xml:space="preserve"> [Research: US report, AFDC]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End-2024: ~50,428 → End-2025: ~68,000 = </w:t>
      </w:r>
      <w:r>
        <w:rPr>
          <w:b/>
          <w:bCs/>
        </w:rPr>
        <w:t xml:space="preserve">(68,000 − 50,428) ÷ 50,428 = +34.8%</w:t>
      </w:r>
      <w:r>
        <w:t xml:space="preserve"> ✓ [Research: US report, AFDC]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End-2025: ~68,000 → Sep 2026: 76,236 = </w:t>
      </w:r>
      <w:r>
        <w:rPr>
          <w:b/>
          <w:bCs/>
        </w:rPr>
        <w:t xml:space="preserve">(76,236 − 68,000) ÷ 68,000 = +12.1% in ~9 months</w:t>
      </w:r>
      <w:r>
        <w:t xml:space="preserve"> [Research: US report, AFDC]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Annualised (end-2025 → Sep 2026): </w:t>
      </w:r>
      <w:r>
        <w:rPr>
          <w:b/>
          <w:bCs/>
        </w:rPr>
        <w:t xml:space="preserve">(76,236 ÷ 68,000)^(12/9) − 1 = ~16.5%</w:t>
      </w:r>
    </w:p>
    <w:p>
      <w:r>
        <w:rPr>
          <w:b/>
          <w:bCs/>
        </w:rPr>
        <w:t xml:space="preserve">Conclusion:</w:t>
      </w:r>
      <w:r>
        <w:t xml:space="preserve"> The "30–35% annually" claim is accurate for the 2024→2025 period (+34.8%). However, the report's own data shows growth </w:t>
      </w:r>
      <w:r>
        <w:rPr>
          <w:b/>
          <w:bCs/>
        </w:rPr>
        <w:t xml:space="preserve">decelerating sharply</w:t>
      </w:r>
      <w:r>
        <w:t xml:space="preserve"> in 2026 to an annualised ~16.5% — well below 30%. The 2023→2024 period was also below the claim at +17.3%. The same report provides both the "30–35%" headline and the underlying port counts, creating an </w:t>
      </w:r>
      <w:r>
        <w:rPr>
          <w:b/>
          <w:bCs/>
        </w:rPr>
        <w:t xml:space="preserve">internal inconsistency</w:t>
      </w:r>
      <w:r>
        <w:t xml:space="preserve"> that is not reconciled. The headline claim is stale and should not be projected forward.</w:t>
      </w:r>
    </w:p>
    <w:p>
      <w:pPr>
        <w:pBdr>
          <w:top w:val="single" w:sz="6"/>
        </w:pBdr>
      </w:pPr>
    </w:p>
    <w:p>
      <w:pPr>
        <w:pStyle w:val="Heading2"/>
      </w:pPr>
      <w:bookmarkStart w:name="claim-c-—-germany:-~119-evs-per-fast-charger-(2023)-→-~71-(mid-2025)" w:id="1"/>
      <w:r>
        <w:t xml:space="preserve">Claim C — Germany: ~119 EVs per fast charger (2023) → ~71 (mid-2025)</w:t>
      </w:r>
      <w:bookmarkEnd w:id="1"/>
    </w:p>
    <w:p>
      <w:r>
        <w:rPr>
          <w:b/>
          <w:bCs/>
        </w:rPr>
        <w:t xml:space="preserve">Verdict: Arithmetically plausible, but with a definitional caveat.</w:t>
      </w:r>
    </w:p>
    <w:p>
      <w:r>
        <w:t xml:space="preserve">The DE/FR research report states the German EVs-per-fast-charger ratio fell from ~119 in 2023 to ~71 by mid-2025 [Research: DE/FR report].</w:t>
      </w:r>
    </w:p>
    <w:p>
      <w:r>
        <w:rPr>
          <w:b/>
          <w:bCs/>
        </w:rPr>
        <w:t xml:space="preserve">Arithmetic — 2023 baseline: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~2,500,000 EVs (BEV+PHEV) ÷ ~21,000 fast chargers (&gt;22 kW) = </w:t>
      </w:r>
      <w:r>
        <w:rPr>
          <w:b/>
          <w:bCs/>
        </w:rPr>
        <w:t xml:space="preserve">119</w:t>
      </w:r>
      <w:r>
        <w:t xml:space="preserve"> ✓ [Dataset, 2023]</w:t>
      </w:r>
    </w:p>
    <w:p>
      <w:r>
        <w:rPr>
          <w:b/>
          <w:bCs/>
        </w:rPr>
        <w:t xml:space="preserve">Arithmetic — mid-2025: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Bundesnetzagentur reported 40,777 DC fast-charging points (Jul 2025) [Research: DE/FR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Estimated BEV+PHEV fleet mid-2025: ~2,850,000 (based on BEV fleet of ~2.03M at Jan 2026 [Research: DE/FR report] extrapolated back, plus ~1.0M PHEV)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Calculated ratio: </w:t>
      </w:r>
      <w:r>
        <w:rPr>
          <w:b/>
          <w:bCs/>
        </w:rPr>
        <w:t xml:space="preserve">2,850,000 ÷ 40,777 = ~70</w:t>
      </w:r>
      <w:r>
        <w:t xml:space="preserve"> — consistent with the report's ~71 ✓</w:t>
      </w:r>
    </w:p>
    <w:p>
      <w:r>
        <w:rPr>
          <w:b/>
          <w:bCs/>
        </w:rPr>
        <w:t xml:space="preserve">Definitional caveat:</w:t>
      </w:r>
      <w:r>
        <w:t xml:space="preserve"> The 2023 denominator uses the IEA's &gt;22 kW definition. The mid-2025 denominator uses the Bundesnetzagentur's DC fast-charging count. The report does not explicitly confirm whether the Bundesnetzagentur figure uses the same &gt;22 kW threshold as the IEA baseline. If it does, the arithmetic holds cleanly. The report flags the definitional issue for France (where Avere-France uses 150 kW+ HPC) but </w:t>
      </w:r>
      <w:r>
        <w:rPr>
          <w:b/>
          <w:bCs/>
        </w:rPr>
        <w:t xml:space="preserve">does not flag it for Germany</w:t>
      </w:r>
      <w:r>
        <w:t xml:space="preserve">.</w:t>
      </w:r>
    </w:p>
    <w:p>
      <w:r>
        <w:rPr>
          <w:b/>
          <w:bCs/>
        </w:rPr>
        <w:t xml:space="preserve">Conclusion:</w:t>
      </w:r>
      <w:r>
        <w:t xml:space="preserve"> The ~71 figure is arithmetically plausible with consistent BEV+PHEV fleet estimates, but the definitional consistency of the charger denominator across the two time periods is unconfirmed.</w:t>
      </w:r>
    </w:p>
    <w:p>
      <w:pPr>
        <w:pBdr>
          <w:top w:val="single" w:sz="6"/>
        </w:pBdr>
      </w:pPr>
    </w:p>
    <w:p>
      <w:pPr>
        <w:pStyle w:val="Heading1"/>
      </w:pPr>
      <w:bookmarkStart w:name="4-overall-confidence-level" w:id="1"/>
      <w:r>
        <w:t xml:space="preserve">4. Overall Confidence Level</w:t>
      </w:r>
      <w:bookmarkEnd w:id="1"/>
    </w:p>
    <w:p>
      <w:r>
        <w:rPr>
          <w:b/>
          <w:bCs/>
        </w:rPr>
        <w:t xml:space="preserve">Overall Confidence: MEDIUM</w:t>
      </w:r>
    </w:p>
    <w:p>
      <w:r>
        <w:t xml:space="preserve">The directional conclusions of the Market Analysis — that infrastructure is outpacing demand in all markets, that consolidation favours scale players, and that regulatory mandates create demand floors — are well-supported by official statistics from the IEA, SMMT, AFDC, Bundesnetzagentur, and ACEA.</w:t>
      </w:r>
    </w:p>
    <w:p>
      <w:r>
        <w:t xml:space="preserve">However, three material weaknesses reduce the precision of specific figures and cross-market comparisons: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Inconsistent charger definitions</w:t>
      </w:r>
      <w:r>
        <w:t xml:space="preserve"> across markets (IEA &gt;22 kW, UK DfT 50 kW+, France Avere-France 150 kW+ HPC, US AFDC DC fast) make EVs-per-charger ratio comparisons unreliable for direct ranking.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The UK report's "doubled" claim is factually incorrect</w:t>
      </w:r>
      <w:r>
        <w:t xml:space="preserve"> — the BEV parc grew 58%, not 100%. The directional insight (rapid growth) is valid, but the headline figure overstates reality.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The US report's "30–35% growth" headline contradicts its own data</w:t>
      </w:r>
      <w:r>
        <w:t xml:space="preserve">, which shows growth decelerating to an annualised ~16.5% in 2026. The headline is based on a single favourable year and is not representative of the current trajectory.</w:t>
      </w:r>
    </w:p>
    <w:p>
      <w:r>
        <w:t xml:space="preserve">A decision-maker should treat the Market Analysis's directional conclusions as reliable but should request definitional alignment and updated utilisation data before using specific cross-market figures in a business case.</w:t>
      </w:r>
    </w:p>
    <w:p>
      <w:pPr>
        <w:pBdr>
          <w:top w:val="single" w:sz="6"/>
        </w:pBdr>
      </w:pPr>
    </w:p>
    <w:p>
      <w:pPr>
        <w:pStyle w:val="Heading1"/>
      </w:pPr>
      <w:bookmarkStart w:name="5-corrections-log" w:id="1"/>
      <w:r>
        <w:t xml:space="preserve">5. Corrections Log</w:t>
      </w:r>
      <w:bookmarkEnd w:id="1"/>
    </w:p>
    <w:p>
      <w:r>
        <w:t xml:space="preserve">The following corrections were identified during the review process and applied before finalising the Market Analysis and this Reliability Evaluation: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Item Corrected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Original Statement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Corrected Statement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Reason for Correction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r>
              <w:t xml:space="preserve">UK 2023 EV sales share (Insight 3)</w:t>
            </w:r>
          </w:p>
        </w:tc>
        <w:tc>
          <w:tcPr>
            <w:tcW w:type="auto" w:w="100"/>
            <w:vAlign w:val="center"/>
          </w:tcPr>
          <w:p>
            <w:r>
              <w:t xml:space="preserve">22.3% [Dataset, 2023], with claim of a "dip" to 19.6% in 2024</w:t>
            </w:r>
          </w:p>
        </w:tc>
        <w:tc>
          <w:tcPr>
            <w:tcW w:type="auto" w:w="100"/>
            <w:vAlign w:val="center"/>
          </w:tcPr>
          <w:p>
            <w:r>
              <w:t xml:space="preserve">24% (BEV+PHEV) [Dataset, 2023]; no dip claim</w:t>
            </w:r>
          </w:p>
        </w:tc>
        <w:tc>
          <w:tcPr>
            <w:tcW w:type="auto" w:w="100"/>
            <w:vAlign w:val="center"/>
          </w:tcPr>
          <w:p>
            <w:r>
              <w:t xml:space="preserve">The correct dataset figure is 24%, not 22.3%. The 19.6% (2024) is BEV-only [Research: UK report, SMMT] and is not comparable with the BEV+PHEV dataset figure — there is no evidence of a dip.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</w:t>
            </w:r>
          </w:p>
        </w:tc>
        <w:tc>
          <w:tcPr>
            <w:tcW w:type="auto" w:w="100"/>
            <w:vAlign w:val="center"/>
          </w:tcPr>
          <w:p>
            <w:r>
              <w:t xml:space="preserve">UK underserved regions</w:t>
            </w:r>
          </w:p>
        </w:tc>
        <w:tc>
          <w:tcPr>
            <w:tcW w:type="auto" w:w="100"/>
            <w:vAlign w:val="center"/>
          </w:tcPr>
          <w:p>
            <w:r>
              <w:t xml:space="preserve">Scotland, Wales, and Northern Ireland listed as underserved</w:t>
            </w:r>
          </w:p>
        </w:tc>
        <w:tc>
          <w:tcPr>
            <w:tcW w:type="auto" w:w="100"/>
            <w:vAlign w:val="center"/>
          </w:tcPr>
          <w:p>
            <w:r>
              <w:t xml:space="preserve">Northern Ireland (19.3 rapid chargers per 100K), London (27.9), Yorkshire and the Humber (36.6), North East (37.1) vs UK avg 41.7 [Research: UK report, DfT Jul 2026]. Scotland removed — best-served region at 59.1. Wales removed — not supported by the data.</w:t>
            </w:r>
          </w:p>
        </w:tc>
        <w:tc>
          <w:tcPr>
            <w:tcW w:type="auto" w:w="100"/>
            <w:vAlign w:val="center"/>
          </w:tcPr>
          <w:p>
            <w:r>
              <w:t xml:space="preserve">DfT July 2026 data shows Scotland is the best-served region, not underserved. The original list was inaccurate.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3</w:t>
            </w:r>
          </w:p>
        </w:tc>
        <w:tc>
          <w:tcPr>
            <w:tcW w:type="auto" w:w="100"/>
            <w:vAlign w:val="center"/>
          </w:tcPr>
          <w:p>
            <w:r>
              <w:t xml:space="preserve">UK utilisation scope</w:t>
            </w:r>
          </w:p>
        </w:tc>
        <w:tc>
          <w:tcPr>
            <w:tcW w:type="auto" w:w="100"/>
            <w:vAlign w:val="center"/>
          </w:tcPr>
          <w:p>
            <w:r>
              <w:t xml:space="preserve">~8% described as rapid-charger utilisation and compared directly with US ~16% DC fast figure</w:t>
            </w:r>
          </w:p>
        </w:tc>
        <w:tc>
          <w:tcPr>
            <w:tcW w:type="auto" w:w="100"/>
            <w:vAlign w:val="center"/>
          </w:tcPr>
          <w:p>
            <w:r>
              <w:t xml:space="preserve">~8% is the Zapmap average for ALL UK public chargers (including slow), not rapid-only. Stated as not directly comparable with the US ~16% DC fast figure.</w:t>
            </w:r>
          </w:p>
        </w:tc>
        <w:tc>
          <w:tcPr>
            <w:tcW w:type="auto" w:w="100"/>
            <w:vAlign w:val="center"/>
          </w:tcPr>
          <w:p>
            <w:r>
              <w:t xml:space="preserve">The Zapmap figure covers all public charger types; comparing it with a DC-fast-only metric is misleading.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4</w:t>
            </w:r>
          </w:p>
        </w:tc>
        <w:tc>
          <w:tcPr>
            <w:tcW w:type="auto" w:w="100"/>
            <w:vAlign w:val="center"/>
          </w:tcPr>
          <w:p>
            <w:r>
              <w:t xml:space="preserve">UK government funding and Gridserve</w:t>
            </w:r>
          </w:p>
        </w:tc>
        <w:tc>
          <w:tcPr>
            <w:tcW w:type="auto" w:w="100"/>
            <w:vAlign w:val="center"/>
          </w:tcPr>
          <w:p>
            <w:r>
              <w:t xml:space="preserve">"Over £1 billion in government funding" (unitemised); Gridserve MSA exclusivity described generically</w:t>
            </w:r>
          </w:p>
        </w:tc>
        <w:tc>
          <w:tcPr>
            <w:tcW w:type="auto" w:w="100"/>
            <w:vAlign w:val="center"/>
          </w:tcPr>
          <w:p>
            <w:r>
              <w:t xml:space="preserve">Itemised: LEVI £381M (mostly slow on-street), £400M from 2025 Spending Review (strategic road network), Ofgem's separate £300M Green Recovery Scheme (37 MSAs). Gridserve change described as a 2022 CMA undertaking not to enforce exclusive MSA rights after Nov 2026, covering ~two-thirds of MSAs.</w:t>
            </w:r>
          </w:p>
        </w:tc>
        <w:tc>
          <w:tcPr>
            <w:tcW w:type="auto" w:w="100"/>
            <w:vAlign w:val="center"/>
          </w:tcPr>
          <w:p>
            <w:r>
              <w:t xml:space="preserve">Itemised figures reveal that LEVI is mostly for slow on-street charging, not DC fast — material for an operator focused on rapid/ultra-rapid. The CMA undertaking is the correct legal mechanism.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5</w:t>
            </w:r>
          </w:p>
        </w:tc>
        <w:tc>
          <w:tcPr>
            <w:tcW w:type="auto" w:w="100"/>
            <w:vAlign w:val="center"/>
          </w:tcPr>
          <w:p>
            <w:r>
              <w:t xml:space="preserve">France ADVENIR end date</w:t>
            </w:r>
          </w:p>
        </w:tc>
        <w:tc>
          <w:tcPr>
            <w:tcW w:type="auto" w:w="100"/>
            <w:vAlign w:val="center"/>
          </w:tcPr>
          <w:p>
            <w:r>
              <w:t xml:space="preserve">No end date specified for the ADVENIR programme</w:t>
            </w:r>
          </w:p>
        </w:tc>
        <w:tc>
          <w:tcPr>
            <w:tcW w:type="auto" w:w="100"/>
            <w:vAlign w:val="center"/>
          </w:tcPr>
          <w:p>
            <w:r>
              <w:t xml:space="preserve">ADVENIR programme runs to 2030 [Research: DE/FR report, Avere-France]</w:t>
            </w:r>
          </w:p>
        </w:tc>
        <w:tc>
          <w:tcPr>
            <w:tcW w:type="auto" w:w="100"/>
            <w:vAlign w:val="center"/>
          </w:tcPr>
          <w:p>
            <w:r>
              <w:t xml:space="preserve">Avere-France confirms the programme's extended timeline, which is material for 2026–2028 investment planning.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2026-09-26T22:09:42.984Z</dcterms:created>
  <dcterms:modified xsi:type="dcterms:W3CDTF">2026-09-26T22:09:42.984Z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