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market-intelligence-brief-v2-—-dc-fast-charging-network-expansion-2026–2028" w:id="1"/>
      <w:r>
        <w:t xml:space="preserve">Market Intelligence Brief v2 — DC Fast-Charging Network Expansion 2026–2028</w:t>
      </w:r>
      <w:bookmarkEnd w:id="1"/>
    </w:p>
    <w:p>
      <w:r>
        <w:rPr>
          <w:b/>
          <w:bCs/>
        </w:rPr>
        <w:t xml:space="preserve">Prepared for:</w:t>
      </w:r>
      <w:r>
        <w:t xml:space="preserve"> Leadership Team | </w:t>
      </w:r>
      <w:r>
        <w:rPr>
          <w:b/>
          <w:bCs/>
        </w:rPr>
        <w:t xml:space="preserve">Date:</w:t>
      </w:r>
      <w:r>
        <w:t xml:space="preserve"> 26 September 2026 | </w:t>
      </w:r>
      <w:r>
        <w:rPr>
          <w:b/>
          <w:bCs/>
        </w:rPr>
        <w:t xml:space="preserve">Classification:</w:t>
      </w:r>
      <w:r>
        <w:t xml:space="preserve"> Internal</w:t>
      </w:r>
    </w:p>
    <w:p>
      <w:pPr>
        <w:pBdr>
          <w:top w:val="single" w:sz="6"/>
        </w:pBdr>
      </w:pPr>
    </w:p>
    <w:p>
      <w:r>
        <w:rPr>
          <w:b/>
          <w:bCs/>
        </w:rPr>
        <w:t xml:space="preserve">Bottom line: The UK offers the strongest risk-adjusted opportunity for a mid-size DC fast-charging operator's 2026–2028 expansion, driven by a binding ZEV mandate, a CMA-ordered motorway-site opening, and itemised government funding totalling over £1 billion — provided the operator can secure grid connections and tolerate low near-term utilisation.</w:t>
      </w:r>
    </w:p>
    <w:p>
      <w:pPr>
        <w:pStyle w:val="Heading1"/>
      </w:pPr>
      <w:bookmarkStart w:name="objective-and-scope" w:id="1"/>
      <w:r>
        <w:t xml:space="preserve">Objective and Scope</w:t>
      </w:r>
      <w:bookmarkEnd w:id="1"/>
    </w:p>
    <w:p>
      <w:r>
        <w:t xml:space="preserve">This brief synthesises the IEA Global EV Data 2024 dataset (historical through 2023, IEA scenario projections for 2025–2035) and three external research reports (UK, US, and Germany/France, dated 2025–2026) to recommend which market — the United Kingdom, the United States, or the EU core (Germany and France) — should be prioritised for public DC fast-charging network expansion in 2026–2028. Scope is limited to public DC fast charging for passenger cars.</w:t>
      </w:r>
    </w:p>
    <w:p>
      <w:pPr>
        <w:pStyle w:val="Heading1"/>
      </w:pPr>
      <w:bookmarkStart w:name="key-insights" w:id="1"/>
      <w:r>
        <w:t xml:space="preserve">Key Insights</w:t>
      </w:r>
      <w:bookmarkEnd w:id="1"/>
    </w:p>
    <w:p>
      <w:r>
        <w:rPr>
          <w:b/>
          <w:bCs/>
        </w:rPr>
        <w:t xml:space="preserve">1. Charger deployment is outpacing fleet growth everywhere, compressing utilisation.</w:t>
      </w:r>
      <w:r>
        <w:t xml:space="preserve"> EVs-per-fast-charger ratios are falling in all four markets. The Zapmap average for all UK public chargers (not rapid-only) is ~8% (~2 hrs/day) [Research: UK report]. US DC fast utilisation is ~16%, reported as barely above the ~15% breakeven threshold [Research: US report]. These two figures use different charger scopes and are not directly comparable. Germany and France utilisation data is not available in our sources. </w:t>
      </w:r>
      <w:r>
        <w:rPr>
          <w:i/>
          <w:iCs/>
        </w:rPr>
        <w:t xml:space="preserve">Why it matters:</w:t>
      </w:r>
      <w:r>
        <w:t xml:space="preserve"> Revenue per charger will remain under pressure. Site selection and cost discipline — not just network scale — will determine profitability. </w:t>
      </w:r>
      <w:r>
        <w:rPr>
          <w:b/>
          <w:bCs/>
        </w:rPr>
        <w:t xml:space="preserve">Confidence: Medium.</w:t>
      </w:r>
    </w:p>
    <w:p>
      <w:r>
        <w:rPr>
          <w:b/>
          <w:bCs/>
        </w:rPr>
        <w:t xml:space="preserve">2. The UK's regulatory framework creates the most durable demand floor, but it is under review.</w:t>
      </w:r>
      <w:r>
        <w:t xml:space="preserve"> The ZEV mandate requires 52% zero-emission new-car sales by 2028 and 100% by 2035. Actual BEV share is running 5–8pp below targets [Research: UK report, SMMT/UK Gov]. The mandate entered formal government review in August 2026. Government funding is itemised: £381M via LEVI (mostly slow on-street charging), £400M from the 2025 Spending Review for strategic road network charging, plus Ofgem's separate £300M Green Recovery Scheme for network upgrades at 37 motorway service areas [Research: UK report]. Under a 2022 CMA undertaking, Gridserve will not enforce exclusive motorway service area rights after November 2026, covering approximately two-thirds of MSAs — a once-in-a-decade site window [Research: UK report]. Underserved regions include Northern Ireland (19.3 rapid chargers per 100,000 people), London (27.9), Yorkshire and the Humber (36.6), and the North East (37.1), against a UK average of 41.7; Scotland is the best-served region at 59.1 [Research: UK report, DfT Jul 2026]. </w:t>
      </w:r>
      <w:r>
        <w:rPr>
          <w:i/>
          <w:iCs/>
        </w:rPr>
        <w:t xml:space="preserve">Why it matters:</w:t>
      </w:r>
      <w:r>
        <w:t xml:space="preserve"> The mandate provides a demand floor no other market matches, and the MSA opening creates a time-limited site-acquisition window. </w:t>
      </w:r>
      <w:r>
        <w:rPr>
          <w:b/>
          <w:bCs/>
        </w:rPr>
        <w:t xml:space="preserve">Confidence: Medium</w:t>
      </w:r>
      <w:r>
        <w:t xml:space="preserve"> — the mandate exists in law but the review outcome introduces binary uncertainty.</w:t>
      </w:r>
    </w:p>
    <w:p>
      <w:r>
        <w:rPr>
          <w:b/>
          <w:bCs/>
        </w:rPr>
        <w:t xml:space="preserve">3. US demand has weakened sharply following the federal tax-credit expiration.</w:t>
      </w:r>
      <w:r>
        <w:t xml:space="preserve"> BEV share surged to 12% in September 2025, then collapsed below 6% by Q4 2025 [Research: US report]. Mid-2026 registrations are down ~31% YoY. Tesla holds ~50% of DC fast ports, and the automaker-backed IONNA consortium is targeting 30,000 sites. </w:t>
      </w:r>
      <w:r>
        <w:rPr>
          <w:i/>
          <w:iCs/>
        </w:rPr>
        <w:t xml:space="preserve">Why it matters:</w:t>
      </w:r>
      <w:r>
        <w:t xml:space="preserve"> A mid-size entrant faces both a demand headwind and entrenched, well-capitalised competitors. </w:t>
      </w:r>
      <w:r>
        <w:rPr>
          <w:b/>
          <w:bCs/>
        </w:rPr>
        <w:t xml:space="preserve">Confidence: Medium</w:t>
      </w:r>
      <w:r>
        <w:t xml:space="preserve"> — the demand shock is directionally credible but the 31% decline figure is single-sourced.</w:t>
      </w:r>
    </w:p>
    <w:p>
      <w:r>
        <w:rPr>
          <w:b/>
          <w:bCs/>
        </w:rPr>
        <w:t xml:space="preserve">4. France shows the strongest BEV momentum; Germany offers the largest fleet.</w:t>
      </w:r>
      <w:r>
        <w:t xml:space="preserve"> France's BEV registrations grew +62.9% YoY in H1 2026 [Research: DE/FR report, ACEA], with a more fragmented operator landscape. The ADVENIR subsidy programme now runs to 2030 [Research: DE/FR report, Avere-France]. Germany has the EU's largest BEV fleet (~2.03M, Jan 2026) but higher competitive concentration. </w:t>
      </w:r>
      <w:r>
        <w:rPr>
          <w:i/>
          <w:iCs/>
        </w:rPr>
        <w:t xml:space="preserve">Why it matters:</w:t>
      </w:r>
      <w:r>
        <w:t xml:space="preserve"> The EU core is attractive as a combined play but lacks the UK's regulatory demand guarantee. </w:t>
      </w:r>
      <w:r>
        <w:rPr>
          <w:b/>
          <w:bCs/>
        </w:rPr>
        <w:t xml:space="preserve">Confidence: Medium.</w:t>
      </w:r>
    </w:p>
    <w:p>
      <w:pPr>
        <w:pStyle w:val="Heading1"/>
      </w:pPr>
      <w:bookmarkStart w:name="recommended-market-priority-(2026–2028)" w:id="1"/>
      <w:r>
        <w:t xml:space="preserve">Recommended Market Priority (2026–2028)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Rank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Market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United Kingdom</w:t>
            </w:r>
          </w:p>
        </w:tc>
        <w:tc>
          <w:tcPr>
            <w:tcW w:type="auto" w:w="100"/>
            <w:vAlign w:val="center"/>
          </w:tcPr>
          <w:p>
            <w:r>
              <w:t xml:space="preserve">Binding ZEV mandate + CMA-ordered MSA site window + £1.08B in itemised public funding. Low utilisation is a near-term risk but reflects an early-mover window.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EU Core (France then Germany)</w:t>
            </w:r>
          </w:p>
        </w:tc>
        <w:tc>
          <w:tcPr>
            <w:tcW w:type="auto" w:w="100"/>
            <w:vAlign w:val="center"/>
          </w:tcPr>
          <w:p>
            <w:r>
              <w:t xml:space="preserve">France's demand momentum, ADVENIR to 2030, and fragmented landscape suit a mid-size entrant; Germany adds fleet scale. No single regulatory catalyst as strong as the UK mandate.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United States</w:t>
            </w:r>
          </w:p>
        </w:tc>
        <w:tc>
          <w:tcPr>
            <w:tcW w:type="auto" w:w="100"/>
            <w:vAlign w:val="center"/>
          </w:tcPr>
          <w:p>
            <w:r>
              <w:t xml:space="preserve">Largest absolute market but weakest demand trajectory, Tesla's ~50% dominance, and policy uncertainty post-credit expiration make this the hardest market for a mid-size operator.</w:t>
            </w:r>
          </w:p>
        </w:tc>
      </w:tr>
    </w:tbl>
    <w:p>
      <w:pPr>
        <w:pStyle w:val="Heading1"/>
      </w:pPr>
      <w:bookmarkStart w:name="confidence-and-limitations-summary" w:id="1"/>
      <w:r>
        <w:t xml:space="preserve">Confidence and Limitations Summary</w:t>
      </w:r>
      <w:bookmarkEnd w:id="1"/>
    </w:p>
    <w:p>
      <w:r>
        <w:rPr>
          <w:b/>
          <w:bCs/>
        </w:rPr>
        <w:t xml:space="preserve">Overall confidence: Medium.</w:t>
      </w:r>
      <w:r>
        <w:t xml:space="preserve"> Directional conclusions are supported by official statistics (IEA, SMMT, AFDC, Bundesnetzagentur, ACEA). Three material issues reduce precision: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The UK research report claims the BEV parc "doubled" from ~1.33M to ~2.1M; arithmetic shows a 58% increase (1.58×), not a doubling. The growth is rapid but the headline overstates it.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The US research report states DC fast ports are growing "30–35% per year" but its own data shows growth decelerating from ~35% (2024→2025) to an annualised ~16.5% (end-2025→Sep 2026). The headline claim is stale.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Charger definitions differ across all sources (IEA &gt;22 kW, UK DfT 50 kW+, France 150 kW+ HPC), and the UK utilisation figure covers all public chargers, not rapid-only — making cross-market comparisons imprecise.</w:t>
      </w:r>
    </w:p>
    <w:p>
      <w:pPr>
        <w:pStyle w:val="Heading1"/>
      </w:pPr>
      <w:bookmarkStart w:name="strategic-implications-and-recommended-next-steps" w:id="1"/>
      <w:r>
        <w:t xml:space="preserve">Strategic Implications and Recommended Next Steps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Commission a UK site-acquisition study</w:t>
      </w:r>
      <w:r>
        <w:t xml:space="preserve"> focused on the November 2026 CMA-ordered MSA opening (~two-thirds of MSAs) and underserved regions (Northern Ireland, London, Yorkshire and the Humber, North East).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Request grid-connection feasibility assessments</w:t>
      </w:r>
      <w:r>
        <w:t xml:space="preserve"> — the average 5.5-year queue is the single biggest execution risk.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Monitor the UK ZEV mandate review outcome</w:t>
      </w:r>
      <w:r>
        <w:t xml:space="preserve"> (expected late 2026/early 2027) before committing capital beyond initial site options.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Scope a France entry as a second phase</w:t>
      </w:r>
      <w:r>
        <w:t xml:space="preserve">, targeting corridors where TotalEnergies and Tesla are less dominant, leveraging ADVENIR funding through 2030.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Defer US entry</w:t>
      </w:r>
      <w:r>
        <w:t xml:space="preserve"> until demand trajectory stabilises and the policy environment clarifies.</w:t>
      </w:r>
    </w:p>
    <w:p>
      <w:pPr>
        <w:pStyle w:val="Heading1"/>
      </w:pPr>
      <w:bookmarkStart w:name="what-leadership-should-not-conclude" w:id="1"/>
      <w:r>
        <w:t xml:space="preserve">What Leadership Should NOT Conclude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Do not conclude that low utilisation means the UK is unprofitable.</w:t>
      </w:r>
      <w:r>
        <w:t xml:space="preserve"> Utilisation is a lagging indicator where charger deployment deliberately runs ahead of fleet growth. Whether utilisation rises fast enough to meet the operator's cost of capital requires financial modelling beyond this analysis.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Do not conclude that the US market is permanently unattractive.</w:t>
      </w:r>
      <w:r>
        <w:t xml:space="preserve"> The current weakness is policy-driven and could reverse with new incentives. A mid-size operator with patient capital could find the US attractive in a later cycle (2029+).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2026-09-26T21:47:27.386Z</dcterms:created>
  <dcterms:modified xsi:type="dcterms:W3CDTF">2026-09-26T21:47:27.386Z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