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spacing w:after="280" w:before="400"/>
      </w:pPr>
      <w:r>
        <w:rPr>
          <w:b/>
          <w:bCs/>
          <w:color w:val="1A3A5C"/>
          <w:sz w:val="48"/>
          <w:szCs w:val="48"/>
        </w:rPr>
        <w:t xml:space="preserve">Market Analysis and Reliability Evaluation</w:t>
      </w:r>
    </w:p>
    <w:p>
      <w:pPr>
        <w:pStyle w:val="DocTitle"/>
        <w:spacing w:after="360" w:before="0"/>
      </w:pPr>
      <w:r>
        <w:rPr>
          <w:b/>
          <w:bCs/>
          <w:color w:val="2E5B8A"/>
          <w:sz w:val="42"/>
          <w:szCs w:val="42"/>
        </w:rPr>
        <w:t xml:space="preserve">EV Fast Charging 2026–2028</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bCs/>
                <w:color w:val="2C3E50"/>
                <w:sz w:val="20"/>
                <w:szCs w:val="20"/>
              </w:rPr>
              <w:t xml:space="preserve">Prepared for:</w:t>
            </w:r>
          </w:p>
        </w:tc>
        <w:tc>
          <w:tcPr>
            <w:tcW w:type="dxa" w:w="676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val="false"/>
                <w:bCs w:val="false"/>
                <w:color w:val="2C3E50"/>
                <w:sz w:val="20"/>
                <w:szCs w:val="20"/>
              </w:rPr>
              <w:t xml:space="preserve">Leadership Team — Mid-Size DC Fast-Charging Operator</w:t>
            </w:r>
          </w:p>
        </w:tc>
      </w:tr>
      <w:tr>
        <w:tc>
          <w:tcPr>
            <w:tcW w:type="dxa" w:w="2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Date:</w:t>
            </w:r>
          </w:p>
        </w:tc>
        <w:tc>
          <w:tcPr>
            <w:tcW w:type="dxa" w:w="67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26 September 2026</w:t>
            </w:r>
          </w:p>
        </w:tc>
      </w:tr>
      <w:tr>
        <w:tc>
          <w:tcPr>
            <w:tcW w:type="dxa" w:w="260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bCs/>
                <w:color w:val="2C3E50"/>
                <w:sz w:val="20"/>
                <w:szCs w:val="20"/>
              </w:rPr>
              <w:t xml:space="preserve">Classification:</w:t>
            </w:r>
          </w:p>
        </w:tc>
        <w:tc>
          <w:tcPr>
            <w:tcW w:type="dxa" w:w="676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val="false"/>
                <w:bCs w:val="false"/>
                <w:color w:val="2C3E50"/>
                <w:sz w:val="20"/>
                <w:szCs w:val="20"/>
              </w:rPr>
              <w:t xml:space="preserve">Internal</w:t>
            </w:r>
          </w:p>
        </w:tc>
      </w:tr>
      <w:tr>
        <w:tc>
          <w:tcPr>
            <w:tcW w:type="dxa" w:w="2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Scope:</w:t>
            </w:r>
          </w:p>
        </w:tc>
        <w:tc>
          <w:tcPr>
            <w:tcW w:type="dxa" w:w="67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Public DC fast charging for passenger cars — United Kingdom, United States, EU Core (Germany and France)</w:t>
            </w:r>
          </w:p>
        </w:tc>
      </w:tr>
      <w:tr>
        <w:tc>
          <w:tcPr>
            <w:tcW w:type="dxa" w:w="260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bCs/>
                <w:color w:val="2C3E50"/>
                <w:sz w:val="20"/>
                <w:szCs w:val="20"/>
              </w:rPr>
              <w:t xml:space="preserve">Sources:</w:t>
            </w:r>
          </w:p>
        </w:tc>
        <w:tc>
          <w:tcPr>
            <w:tcW w:type="dxa" w:w="676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val="false"/>
                <w:bCs w:val="false"/>
                <w:color w:val="2C3E50"/>
                <w:sz w:val="20"/>
                <w:szCs w:val="20"/>
              </w:rPr>
              <w:t xml:space="preserve">IEA Global EV Data 2024 [Dataset, 2023]; UK Public Rapid and Ultra-Rapid DC Fast-Charging Market Report [Research: UK report]; US Public DC Fast-Charging Market Attractiveness for Mid-Size Entrants [Research: US report]; Market Attractiveness and Competitive Intensity: Germany and France High-Power DC Charging [Research: DE/FR report]</w:t>
            </w:r>
          </w:p>
        </w:tc>
      </w:tr>
    </w:tbl>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0FF" w:sz="12"/>
              <w:left w:val="none" w:color="FFFFFF" w:sz="0"/>
              <w:bottom w:val="none" w:color="FFFFFF" w:sz="0"/>
              <w:right w:val="none" w:color="FFFFFF" w:sz="0"/>
            </w:tcBorders>
            <w:shd w:fill="F0F7FF" w:val="clear"/>
          </w:tcPr>
          <w:p>
            <w:pPr>
              <w:spacing w:after="80" w:before="160"/>
            </w:pPr>
            <w:r>
              <w:rPr>
                <w:rFonts w:ascii="Arial" w:cs="Arial" w:eastAsia="Arial" w:hAnsi="Arial"/>
                <w:b/>
                <w:bCs/>
                <w:color w:val="1A3A5C"/>
                <w:sz w:val="24"/>
                <w:szCs w:val="24"/>
              </w:rPr>
              <w:t xml:space="preserve">Bottom Line</w:t>
            </w:r>
          </w:p>
          <w:p>
            <w:pPr>
              <w:spacing w:after="160" w:before="0"/>
            </w:pPr>
            <w:r>
              <w:rPr>
                <w:rFonts w:ascii="Arial" w:cs="Arial" w:eastAsia="Arial" w:hAnsi="Arial"/>
                <w:color w:val="2C3E50"/>
                <w:sz w:val="22"/>
                <w:szCs w:val="22"/>
              </w:rPr>
              <w:t xml:space="preserve">The UK offers the strongest risk-adjusted opportunity for a mid-size DC fast-charging operator’s 2026–2028 expansion, driven by a binding ZEV mandate, a CMA-ordered motorway-site opening, and itemised government funding totalling over £1 billion — provided the operator can secure grid connections and tolerate low near-term utilisation.</w:t>
            </w:r>
          </w:p>
        </w:tc>
      </w:tr>
    </w:tbl>
    <w:p>
      <w:pPr>
        <w:pStyle w:val="BodyText"/>
      </w:pPr>
      <w:r>
        <w:t xml:space="preserve"/>
      </w:r>
    </w:p>
    <w:p>
      <w:pPr>
        <w:pBdr>
          <w:bottom w:val="single" w:color="1A3A5C" w:sz="6"/>
        </w:pBdr>
        <w:spacing w:after="200" w:before="200"/>
      </w:pPr>
      <w:r>
        <w:t xml:space="preserve"/>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Pr>
          <w:p>
            <w:pPr>
              <w:spacing w:after="160" w:before="160"/>
              <w:jc w:val="center"/>
            </w:pPr>
            <w:r>
              <w:rPr>
                <w:rFonts w:ascii="Arial" w:cs="Arial" w:eastAsia="Arial" w:hAnsi="Arial"/>
                <w:b/>
                <w:bCs/>
                <w:color w:val="FFFFFF"/>
                <w:sz w:val="30"/>
                <w:szCs w:val="30"/>
              </w:rPr>
              <w:t xml:space="preserve">SECTION A: MARKET ANALYSIS</w:t>
            </w:r>
          </w:p>
        </w:tc>
      </w:tr>
    </w:tbl>
    <w:p>
      <w:pPr>
        <w:pStyle w:val="BodyText"/>
      </w:pPr>
      <w:r>
        <w:t xml:space="preserve"/>
      </w:r>
    </w:p>
    <w:p>
      <w:pPr>
        <w:pStyle w:val="Heading1"/>
      </w:pPr>
      <w:r>
        <w:t xml:space="preserve">A.1  Definitional Note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47" w:sz="10"/>
              <w:left w:val="single" w:color="FFB347" w:sz="10"/>
              <w:bottom w:val="none" w:color="FFFFFF" w:sz="0"/>
              <w:right w:val="none" w:color="FFFFFF" w:sz="0"/>
            </w:tcBorders>
            <w:shd w:fill="FFFAF0" w:val="clear"/>
          </w:tcPr>
          <w:p>
            <w:pPr>
              <w:spacing w:after="80" w:before="120"/>
            </w:pPr>
            <w:r>
              <w:rPr>
                <w:rFonts w:ascii="Arial" w:cs="Arial" w:eastAsia="Arial" w:hAnsi="Arial"/>
                <w:b/>
                <w:bCs/>
                <w:color w:val="1A3A5C"/>
                <w:sz w:val="22"/>
                <w:szCs w:val="22"/>
              </w:rPr>
              <w:t xml:space="preserve">⚠️  Definition Mismatch Warning</w:t>
            </w:r>
          </w:p>
          <w:p>
            <w:pPr>
              <w:spacing w:after="100" w:before="0"/>
            </w:pPr>
            <w:r>
              <w:rPr>
                <w:rFonts w:ascii="Arial" w:cs="Arial" w:eastAsia="Arial" w:hAnsi="Arial"/>
                <w:i/>
                <w:iCs/>
                <w:color w:val="2C3E50"/>
                <w:sz w:val="20"/>
                <w:szCs w:val="20"/>
              </w:rPr>
              <w:t xml:space="preserve">Charger definitions differ across all sources and are not directly comparable. Each figure is labelled with its threshold throughout this document.</w:t>
            </w:r>
          </w:p>
        </w:tc>
      </w:tr>
    </w:tbl>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Source</w:t>
            </w:r>
          </w:p>
        </w:tc>
        <w:tc>
          <w:tcPr>
            <w:tcW w:type="dxa" w:w="356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Definition Used</w:t>
            </w:r>
          </w:p>
        </w:tc>
        <w:tc>
          <w:tcPr>
            <w:tcW w:type="dxa" w:w="36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Coverage</w:t>
            </w:r>
          </w:p>
        </w:tc>
      </w:tr>
      <w:tr>
        <w:tc>
          <w:tcPr>
            <w:tcW w:type="dxa" w:w="22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IEA Global EV Data 2024</w:t>
            </w:r>
          </w:p>
        </w:tc>
        <w:tc>
          <w:tcPr>
            <w:tcW w:type="dxa" w:w="35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&gt;22 kW (includes some AC Type 2 units)</w:t>
            </w:r>
          </w:p>
        </w:tc>
        <w:tc>
          <w:tcPr>
            <w:tcW w:type="dxa" w:w="3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Dataset baseline [Dataset, 2023]</w:t>
            </w:r>
          </w:p>
        </w:tc>
      </w:tr>
      <w:tr>
        <w:tc>
          <w:tcPr>
            <w:tcW w:type="dxa" w:w="220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bCs/>
                <w:color w:val="2C3E50"/>
                <w:sz w:val="20"/>
                <w:szCs w:val="20"/>
              </w:rPr>
              <w:t xml:space="preserve">UK DfT / Zapmap</w:t>
            </w:r>
          </w:p>
        </w:tc>
        <w:tc>
          <w:tcPr>
            <w:tcW w:type="dxa" w:w="356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val="false"/>
                <w:bCs w:val="false"/>
                <w:color w:val="2C3E50"/>
                <w:sz w:val="20"/>
                <w:szCs w:val="20"/>
              </w:rPr>
              <w:t xml:space="preserve">50 kW+</w:t>
            </w:r>
          </w:p>
        </w:tc>
        <w:tc>
          <w:tcPr>
            <w:tcW w:type="dxa" w:w="360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val="false"/>
                <w:bCs w:val="false"/>
                <w:color w:val="2C3E50"/>
                <w:sz w:val="20"/>
                <w:szCs w:val="20"/>
              </w:rPr>
              <w:t xml:space="preserve">UK research [Research: UK report, Jul 2026]</w:t>
            </w:r>
          </w:p>
        </w:tc>
      </w:tr>
      <w:tr>
        <w:tc>
          <w:tcPr>
            <w:tcW w:type="dxa" w:w="22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US AFDC</w:t>
            </w:r>
          </w:p>
        </w:tc>
        <w:tc>
          <w:tcPr>
            <w:tcW w:type="dxa" w:w="35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DC fast-charging ports (broadly comparable to IEA)</w:t>
            </w:r>
          </w:p>
        </w:tc>
        <w:tc>
          <w:tcPr>
            <w:tcW w:type="dxa" w:w="3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US research [Research: US report, Sep 2026]</w:t>
            </w:r>
          </w:p>
        </w:tc>
      </w:tr>
      <w:tr>
        <w:tc>
          <w:tcPr>
            <w:tcW w:type="dxa" w:w="220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bCs/>
                <w:color w:val="2C3E50"/>
                <w:sz w:val="20"/>
                <w:szCs w:val="20"/>
              </w:rPr>
              <w:t xml:space="preserve">Germany Bundesnetzagentur</w:t>
            </w:r>
          </w:p>
        </w:tc>
        <w:tc>
          <w:tcPr>
            <w:tcW w:type="dxa" w:w="356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val="false"/>
                <w:bCs w:val="false"/>
                <w:color w:val="2C3E50"/>
                <w:sz w:val="20"/>
                <w:szCs w:val="20"/>
              </w:rPr>
              <w:t xml:space="preserve">All DC fast chargers</w:t>
            </w:r>
          </w:p>
        </w:tc>
        <w:tc>
          <w:tcPr>
            <w:tcW w:type="dxa" w:w="360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val="false"/>
                <w:bCs w:val="false"/>
                <w:color w:val="2C3E50"/>
                <w:sz w:val="20"/>
                <w:szCs w:val="20"/>
              </w:rPr>
              <w:t xml:space="preserve">DE/FR research [Research: DE/FR report, Jul 2026]</w:t>
            </w:r>
          </w:p>
        </w:tc>
      </w:tr>
      <w:tr>
        <w:tc>
          <w:tcPr>
            <w:tcW w:type="dxa" w:w="22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France Avere-France</w:t>
            </w:r>
          </w:p>
        </w:tc>
        <w:tc>
          <w:tcPr>
            <w:tcW w:type="dxa" w:w="35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150 kW+ HPC only</w:t>
            </w:r>
          </w:p>
        </w:tc>
        <w:tc>
          <w:tcPr>
            <w:tcW w:type="dxa" w:w="3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DE/FR research [Research: DE/FR report, Feb 2025]</w:t>
            </w:r>
          </w:p>
        </w:tc>
      </w:tr>
    </w:tbl>
    <w:p>
      <w:pPr>
        <w:pStyle w:val="Heading1"/>
      </w:pPr>
      <w:r>
        <w:t xml:space="preserve">A.2  Market Comparison Table — Dataset Baseline vs. Latest Research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780"/>
        <w:gridCol w:w="1780"/>
        <w:gridCol w:w="1780"/>
        <w:gridCol w:w="1820"/>
      </w:tblGrid>
      <w:tr>
        <w:trPr>
          <w:tblHeader/>
        </w:trPr>
        <w:tc>
          <w:tcPr>
            <w:tcW w:type="dxa" w:w="22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Metric</w:t>
            </w:r>
          </w:p>
        </w:tc>
        <w:tc>
          <w:tcPr>
            <w:tcW w:type="dxa" w:w="178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United Kingdom</w:t>
            </w:r>
          </w:p>
        </w:tc>
        <w:tc>
          <w:tcPr>
            <w:tcW w:type="dxa" w:w="178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United States</w:t>
            </w:r>
          </w:p>
        </w:tc>
        <w:tc>
          <w:tcPr>
            <w:tcW w:type="dxa" w:w="178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Germany</w:t>
            </w:r>
          </w:p>
        </w:tc>
        <w:tc>
          <w:tcPr>
            <w:tcW w:type="dxa" w:w="182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France</w:t>
            </w:r>
          </w:p>
        </w:tc>
      </w:tr>
      <w:tr>
        <w:tc>
          <w:tcPr>
            <w:tcW w:type="dxa" w:w="2200"/>
            <w:gridSpan w:val="5"/>
            <w:tcBorders>
              <w:top w:val="single" w:color="BDD7EE" w:sz="4"/>
              <w:left w:val="single" w:color="BDD7EE" w:sz="4"/>
              <w:bottom w:val="single" w:color="BDD7EE" w:sz="4"/>
              <w:right w:val="single" w:color="BDD7EE" w:sz="4"/>
            </w:tcBorders>
            <w:shd w:fill="2E5B8A" w:val="clear"/>
            <w:vAlign w:val="center"/>
          </w:tcPr>
          <w:p>
            <w:pPr>
              <w:spacing w:after="50" w:before="50"/>
              <w:jc w:val="center"/>
            </w:pPr>
            <w:r>
              <w:rPr>
                <w:rFonts w:ascii="Arial" w:cs="Arial" w:eastAsia="Arial" w:hAnsi="Arial"/>
                <w:b/>
                <w:bCs/>
                <w:i/>
                <w:iCs/>
                <w:color w:val="FFFFFF"/>
                <w:sz w:val="19"/>
                <w:szCs w:val="19"/>
              </w:rPr>
              <w:t xml:space="preserve">IEA 2023 BASELINE (Dataset, &gt;22 kW)</w:t>
            </w:r>
          </w:p>
        </w:tc>
      </w:tr>
      <w:tr>
        <w:tc>
          <w:tcPr>
            <w:tcW w:type="dxa" w:w="22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EV car stock (BEV+PHEV+FCEV)</w:t>
            </w:r>
          </w:p>
        </w:tc>
        <w:tc>
          <w:tcPr>
            <w:tcW w:type="dxa" w:w="17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~1,580,000</w:t>
            </w:r>
          </w:p>
        </w:tc>
        <w:tc>
          <w:tcPr>
            <w:tcW w:type="dxa" w:w="17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~4,800,000</w:t>
            </w:r>
          </w:p>
        </w:tc>
        <w:tc>
          <w:tcPr>
            <w:tcW w:type="dxa" w:w="17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~2,500,000</w:t>
            </w:r>
          </w:p>
        </w:tc>
        <w:tc>
          <w:tcPr>
            <w:tcW w:type="dxa" w:w="182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~1,570,000</w:t>
            </w:r>
          </w:p>
        </w:tc>
      </w:tr>
      <w:tr>
        <w:tc>
          <w:tcPr>
            <w:tcW w:type="dxa" w:w="22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Public fast chargers (&gt;22 kW)</w:t>
            </w:r>
          </w:p>
        </w:tc>
        <w:tc>
          <w:tcPr>
            <w:tcW w:type="dxa" w:w="17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~10,000</w:t>
            </w:r>
          </w:p>
        </w:tc>
        <w:tc>
          <w:tcPr>
            <w:tcW w:type="dxa" w:w="17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~43,000</w:t>
            </w:r>
          </w:p>
        </w:tc>
        <w:tc>
          <w:tcPr>
            <w:tcW w:type="dxa" w:w="17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~21,000</w:t>
            </w:r>
          </w:p>
        </w:tc>
        <w:tc>
          <w:tcPr>
            <w:tcW w:type="dxa" w:w="182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~20,000</w:t>
            </w:r>
          </w:p>
        </w:tc>
      </w:tr>
      <w:tr>
        <w:tc>
          <w:tcPr>
            <w:tcW w:type="dxa" w:w="22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EVs per fast charger</w:t>
            </w:r>
          </w:p>
        </w:tc>
        <w:tc>
          <w:tcPr>
            <w:tcW w:type="dxa" w:w="17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158</w:t>
            </w:r>
          </w:p>
        </w:tc>
        <w:tc>
          <w:tcPr>
            <w:tcW w:type="dxa" w:w="17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112</w:t>
            </w:r>
          </w:p>
        </w:tc>
        <w:tc>
          <w:tcPr>
            <w:tcW w:type="dxa" w:w="17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119</w:t>
            </w:r>
          </w:p>
        </w:tc>
        <w:tc>
          <w:tcPr>
            <w:tcW w:type="dxa" w:w="182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79</w:t>
            </w:r>
          </w:p>
        </w:tc>
      </w:tr>
      <w:tr>
        <w:tc>
          <w:tcPr>
            <w:tcW w:type="dxa" w:w="22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EV sales share (all plug-ins)</w:t>
            </w:r>
          </w:p>
        </w:tc>
        <w:tc>
          <w:tcPr>
            <w:tcW w:type="dxa" w:w="17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24%</w:t>
            </w:r>
          </w:p>
        </w:tc>
        <w:tc>
          <w:tcPr>
            <w:tcW w:type="dxa" w:w="17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10%</w:t>
            </w:r>
          </w:p>
        </w:tc>
        <w:tc>
          <w:tcPr>
            <w:tcW w:type="dxa" w:w="17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24%</w:t>
            </w:r>
          </w:p>
        </w:tc>
        <w:tc>
          <w:tcPr>
            <w:tcW w:type="dxa" w:w="182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25%</w:t>
            </w:r>
          </w:p>
        </w:tc>
      </w:tr>
      <w:tr>
        <w:tc>
          <w:tcPr>
            <w:tcW w:type="dxa" w:w="2200"/>
            <w:gridSpan w:val="5"/>
            <w:tcBorders>
              <w:top w:val="single" w:color="BDD7EE" w:sz="4"/>
              <w:left w:val="single" w:color="BDD7EE" w:sz="4"/>
              <w:bottom w:val="single" w:color="BDD7EE" w:sz="4"/>
              <w:right w:val="single" w:color="BDD7EE" w:sz="4"/>
            </w:tcBorders>
            <w:shd w:fill="2E5B8A" w:val="clear"/>
            <w:vAlign w:val="center"/>
          </w:tcPr>
          <w:p>
            <w:pPr>
              <w:spacing w:after="50" w:before="50"/>
              <w:jc w:val="center"/>
            </w:pPr>
            <w:r>
              <w:rPr>
                <w:rFonts w:ascii="Arial" w:cs="Arial" w:eastAsia="Arial" w:hAnsi="Arial"/>
                <w:b/>
                <w:bCs/>
                <w:i/>
                <w:iCs/>
                <w:color w:val="FFFFFF"/>
                <w:sz w:val="19"/>
                <w:szCs w:val="19"/>
              </w:rPr>
              <w:t xml:space="preserve">LATEST RESEARCH (2025–2026)</w:t>
            </w:r>
          </w:p>
        </w:tc>
      </w:tr>
      <w:tr>
        <w:tc>
          <w:tcPr>
            <w:tcW w:type="dxa" w:w="22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Latest fast-charger count</w:t>
            </w:r>
          </w:p>
        </w:tc>
        <w:tc>
          <w:tcPr>
            <w:tcW w:type="dxa" w:w="17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28,887 (50 kW+, Jul 2026)</w:t>
            </w:r>
          </w:p>
        </w:tc>
        <w:tc>
          <w:tcPr>
            <w:tcW w:type="dxa" w:w="17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75,000+ (DC fast, Jul 2026)</w:t>
            </w:r>
          </w:p>
        </w:tc>
        <w:tc>
          <w:tcPr>
            <w:tcW w:type="dxa" w:w="17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54,341 (DC fast, Jul 2026)</w:t>
            </w:r>
          </w:p>
        </w:tc>
        <w:tc>
          <w:tcPr>
            <w:tcW w:type="dxa" w:w="182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31,335 (150 kW+ HPC only, Feb 2025)</w:t>
            </w:r>
          </w:p>
        </w:tc>
      </w:tr>
      <w:tr>
        <w:tc>
          <w:tcPr>
            <w:tcW w:type="dxa" w:w="22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Charger definition used</w:t>
            </w:r>
          </w:p>
        </w:tc>
        <w:tc>
          <w:tcPr>
            <w:tcW w:type="dxa" w:w="17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50 kW+ (DfT)</w:t>
            </w:r>
          </w:p>
        </w:tc>
        <w:tc>
          <w:tcPr>
            <w:tcW w:type="dxa" w:w="17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DC fast ports (AFDC)</w:t>
            </w:r>
          </w:p>
        </w:tc>
        <w:tc>
          <w:tcPr>
            <w:tcW w:type="dxa" w:w="17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DC fast (Bundesnetzagentur)</w:t>
            </w:r>
          </w:p>
        </w:tc>
        <w:tc>
          <w:tcPr>
            <w:tcW w:type="dxa" w:w="182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150 kW+ HPC (Avere-France)</w:t>
            </w:r>
          </w:p>
        </w:tc>
      </w:tr>
      <w:tr>
        <w:tc>
          <w:tcPr>
            <w:tcW w:type="dxa" w:w="22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Latest BEV sales share</w:t>
            </w:r>
          </w:p>
        </w:tc>
        <w:tc>
          <w:tcPr>
            <w:tcW w:type="dxa" w:w="17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~25% YTD H1 2026;
~29.8% YTD Aug 2026</w:t>
            </w:r>
          </w:p>
        </w:tc>
        <w:tc>
          <w:tcPr>
            <w:tcW w:type="dxa" w:w="17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~6–7% BEV mid-2026</w:t>
            </w:r>
          </w:p>
        </w:tc>
        <w:tc>
          <w:tcPr>
            <w:tcW w:type="dxa" w:w="17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19.1% BEV (full-year 2025)</w:t>
            </w:r>
          </w:p>
        </w:tc>
        <w:tc>
          <w:tcPr>
            <w:tcW w:type="dxa" w:w="182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20.0% BEV (2025); +62.9% YoY H1 2026</w:t>
            </w:r>
          </w:p>
        </w:tc>
      </w:tr>
      <w:tr>
        <w:tc>
          <w:tcPr>
            <w:tcW w:type="dxa" w:w="22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Utilisation signal</w:t>
            </w:r>
          </w:p>
        </w:tc>
        <w:tc>
          <w:tcPr>
            <w:tcW w:type="dxa" w:w="1780"/>
            <w:tcBorders>
              <w:top w:val="single" w:color="BDD7EE" w:sz="4"/>
              <w:left w:val="single" w:color="BDD7EE" w:sz="4"/>
              <w:bottom w:val="single" w:color="BDD7EE" w:sz="4"/>
              <w:right w:val="single" w:color="BDD7EE" w:sz="4"/>
            </w:tcBorders>
            <w:shd w:fill="FFF8E7" w:val="clear"/>
          </w:tcPr>
          <w:p>
            <w:pPr>
              <w:spacing w:after="60" w:before="60"/>
            </w:pPr>
            <w:r>
              <w:rPr>
                <w:rFonts w:ascii="Arial" w:cs="Arial" w:eastAsia="Arial" w:hAnsi="Arial"/>
                <w:color w:val="2C3E50"/>
                <w:sz w:val="20"/>
                <w:szCs w:val="20"/>
              </w:rPr>
              <w:t xml:space="preserve">~8% (~2 hrs/day) — Zapmap avg for ALL UK public chargers (not rapid-only). </w:t>
            </w:r>
            <w:r>
              <w:rPr>
                <w:rFonts w:ascii="Arial" w:cs="Arial" w:eastAsia="Arial" w:hAnsi="Arial"/>
                <w:i/>
                <w:iCs/>
                <w:color w:val="B5570E"/>
                <w:sz w:val="20"/>
                <w:szCs w:val="20"/>
              </w:rPr>
              <w:t xml:space="preserve">Not directly comparable with US figure.</w:t>
            </w:r>
          </w:p>
        </w:tc>
        <w:tc>
          <w:tcPr>
            <w:tcW w:type="dxa" w:w="17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~16% (just above ~15% breakeven)</w:t>
            </w:r>
          </w:p>
        </w:tc>
        <w:tc>
          <w:tcPr>
            <w:tcW w:type="dxa" w:w="17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Not available in sources (payback est. 6–12 yrs)</w:t>
            </w:r>
          </w:p>
        </w:tc>
        <w:tc>
          <w:tcPr>
            <w:tcW w:type="dxa" w:w="182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Not available in sources (payback est. 6–12 yrs)</w:t>
            </w:r>
          </w:p>
        </w:tc>
      </w:tr>
    </w:tbl>
    <w:p>
      <w:pPr>
        <w:pStyle w:val="Caption"/>
      </w:pPr>
      <w:r>
        <w:rPr>
          <w:i/>
          <w:iCs/>
          <w:color w:val="546E7A"/>
          <w:sz w:val="18"/>
          <w:szCs w:val="18"/>
        </w:rPr>
        <w:t xml:space="preserve">Table 1: Market Comparison — IEA 2023 Baseline [Dataset, 2023] vs. Latest Research. Charger definitions differ across columns and are not directly comparable. UK utilisation figure covers all public chargers, not rapid-only.</w:t>
      </w:r>
    </w:p>
    <w:p>
      <w:pPr>
        <w:pStyle w:val="BodyText"/>
      </w:pPr>
      <w:r>
        <w:t xml:space="preserve"/>
      </w:r>
    </w:p>
    <w:p>
      <w:pPr>
        <w:jc w:val="center"/>
      </w:pPr>
      <w:r>
        <w:drawing>
          <wp:inline distT="0" distB="0" distL="0" distR="0">
            <wp:extent cx="5715000" cy="3048000"/>
            <wp:effectExtent t="0" r="0" b="0" l="0"/>
            <wp:docPr id="1" name="chart1" descr="Clustered bar chart comparing EVs per fast charger 2023 vs latest" title="EVs per Fast Charge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Caption"/>
      </w:pPr>
      <w:r>
        <w:rPr>
          <w:i/>
          <w:iCs/>
          <w:color w:val="546E7A"/>
          <w:sz w:val="18"/>
          <w:szCs w:val="18"/>
        </w:rPr>
        <w:t xml:space="preserve">Figure 1: EVs per Fast Charger — 2023 Baseline vs. Latest Research. Note: Charger definitions differ across markets — ratios are directionally indicative only. Sources: [Dataset, 2023]; [Research: UK report, Jul 2026]; [Research: US report, 2025–26]; [Research: DE/FR report, 2025–26].</w:t>
      </w:r>
    </w:p>
    <w:p>
      <w:pPr>
        <w:pStyle w:val="BodyText"/>
      </w:pPr>
      <w:r>
        <w:t xml:space="preserve"/>
      </w:r>
    </w:p>
    <w:p>
      <w:pPr>
        <w:jc w:val="center"/>
      </w:pPr>
      <w:r>
        <w:drawing>
          <wp:inline distT="0" distB="0" distL="0" distR="0">
            <wp:extent cx="5715000" cy="2924175"/>
            <wp:effectExtent t="0" r="0" b="0" l="0"/>
            <wp:docPr id="1" name="chart2" descr="Bar chart showing latest BEV sales share by market" title="BEV Sales Shar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24175"/>
                    </a:xfrm>
                    <a:prstGeom prst="rect">
                      <a:avLst/>
                    </a:prstGeom>
                  </pic:spPr>
                </pic:pic>
              </a:graphicData>
            </a:graphic>
          </wp:inline>
        </w:drawing>
      </w:r>
    </w:p>
    <w:p>
      <w:pPr>
        <w:pStyle w:val="Caption"/>
      </w:pPr>
      <w:r>
        <w:rPr>
          <w:i/>
          <w:iCs/>
          <w:color w:val="546E7A"/>
          <w:sz w:val="18"/>
          <w:szCs w:val="18"/>
        </w:rPr>
        <w:t xml:space="preserve">Figure 2: Latest BEV Sales Share by Market. UK: ~25% YTD H1 2026 [Research: UK report, SMMT, Aug 2026]; US: ~6–7% mid-2026 [Research: US report]; Germany: 19.1% full-year 2025 [Research: DE/FR report]; France: 38.8% Aug 2026 [Research: DE/FR report, Avere-France].</w:t>
      </w:r>
    </w:p>
    <w:p>
      <w:pPr>
        <w:pStyle w:val="Heading1"/>
      </w:pPr>
      <w:r>
        <w:t xml:space="preserve">A.3  Competitive Landscape Summary</w:t>
      </w:r>
    </w:p>
    <w:p>
      <w:pPr>
        <w:pStyle w:val="BodyText"/>
      </w:pPr>
      <w:r>
        <w:rPr>
          <w:color w:val="2C3E50"/>
        </w:rPr>
        <w:t xml:space="preserve">The following table summarises the leading operators in each market, ranked by fast-charger count with their approximate share or absolute port total. All figures are point-in-time: UK mid-2026, US September 2026, Germany end-2024, France May 2025. M&amp;A activity since these dates may have altered rankings.</w:t>
      </w:r>
    </w:p>
    <w:p>
      <w:pPr>
        <w:pStyle w:val="Heading2"/>
      </w:pPr>
      <w:r>
        <w:t xml:space="preserve">United Kingdom (50 kW+, mid-2026) — [Research: UK report, mid-2026]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Operator</w:t>
            </w:r>
          </w:p>
        </w:tc>
        <w:tc>
          <w:tcPr>
            <w:tcW w:type="dxa" w:w="18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Fast Chargers</w:t>
            </w:r>
          </w:p>
        </w:tc>
        <w:tc>
          <w:tcPr>
            <w:tcW w:type="dxa" w:w="18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Approx. Share</w:t>
            </w:r>
          </w:p>
        </w:tc>
        <w:tc>
          <w:tcPr>
            <w:tcW w:type="dxa" w:w="316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Notes</w:t>
            </w:r>
          </w:p>
        </w:tc>
      </w:tr>
      <w:tr>
        <w:tc>
          <w:tcPr>
            <w:tcW w:type="dxa" w:w="2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MFG EV Power</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~2,838 total</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~10%</w:t>
            </w:r>
          </w:p>
        </w:tc>
        <w:tc>
          <w:tcPr>
            <w:tcW w:type="dxa" w:w="31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Largest by 50 kW+ count</w:t>
            </w:r>
          </w:p>
        </w:tc>
      </w:tr>
      <w:tr>
        <w:tc>
          <w:tcPr>
            <w:tcW w:type="dxa" w:w="2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InstaVolt</w:t>
            </w:r>
          </w:p>
        </w:tc>
        <w:tc>
          <w:tcPr>
            <w:tcW w:type="dxa" w:w="1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~2,600+</w:t>
            </w:r>
          </w:p>
        </w:tc>
        <w:tc>
          <w:tcPr>
            <w:tcW w:type="dxa" w:w="1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~9%</w:t>
            </w:r>
          </w:p>
        </w:tc>
        <w:tc>
          <w:tcPr>
            <w:tcW w:type="dxa" w:w="31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Rapid expansion; £460M+ raised by top 3 independents</w:t>
            </w:r>
          </w:p>
        </w:tc>
      </w:tr>
      <w:tr>
        <w:tc>
          <w:tcPr>
            <w:tcW w:type="dxa" w:w="2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Tesla Supercharger</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~1,500–2,000</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~6–7%</w:t>
            </w:r>
          </w:p>
        </w:tc>
        <w:tc>
          <w:tcPr>
            <w:tcW w:type="dxa" w:w="31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Ultra-rapid; partially open to non-Tesla</w:t>
            </w:r>
          </w:p>
        </w:tc>
      </w:tr>
      <w:tr>
        <w:tc>
          <w:tcPr>
            <w:tcW w:type="dxa" w:w="2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Osprey</w:t>
            </w:r>
          </w:p>
        </w:tc>
        <w:tc>
          <w:tcPr>
            <w:tcW w:type="dxa" w:w="1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~1,500+</w:t>
            </w:r>
          </w:p>
        </w:tc>
        <w:tc>
          <w:tcPr>
            <w:tcW w:type="dxa" w:w="1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~5–6%</w:t>
            </w:r>
          </w:p>
        </w:tc>
        <w:tc>
          <w:tcPr>
            <w:tcW w:type="dxa" w:w="31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
            </w:r>
          </w:p>
        </w:tc>
      </w:tr>
      <w:tr>
        <w:tc>
          <w:tcPr>
            <w:tcW w:type="dxa" w:w="2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BP Pulse</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Subset of 5,398 total</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~4–5%</w:t>
            </w:r>
          </w:p>
        </w:tc>
        <w:tc>
          <w:tcPr>
            <w:tcW w:type="dxa" w:w="31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Mixed speed portfolio</w:t>
            </w:r>
          </w:p>
        </w:tc>
      </w:tr>
      <w:tr>
        <w:tc>
          <w:tcPr>
            <w:tcW w:type="dxa" w:w="2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Gridserve</w:t>
            </w:r>
          </w:p>
        </w:tc>
        <w:tc>
          <w:tcPr>
            <w:tcW w:type="dxa" w:w="1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w:t>
            </w:r>
          </w:p>
        </w:tc>
        <w:tc>
          <w:tcPr>
            <w:tcW w:type="dxa" w:w="1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~3–4%</w:t>
            </w:r>
          </w:p>
        </w:tc>
        <w:tc>
          <w:tcPr>
            <w:tcW w:type="dxa" w:w="31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2022 CMA undertaking: exclusive MSA rights not enforceable after Nov 2026 (~two-thirds of MSAs)</w:t>
            </w:r>
          </w:p>
        </w:tc>
      </w:tr>
      <w:tr>
        <w:tc>
          <w:tcPr>
            <w:tcW w:type="dxa" w:w="2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Ionity</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~2%</w:t>
            </w:r>
          </w:p>
        </w:tc>
        <w:tc>
          <w:tcPr>
            <w:tcW w:type="dxa" w:w="31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Ultra-rapid hubs; premium positioning</w:t>
            </w:r>
          </w:p>
        </w:tc>
      </w:tr>
      <w:tr>
        <w:tc>
          <w:tcPr>
            <w:tcW w:type="dxa" w:w="260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bCs/>
                <w:color w:val="1A3A5C"/>
                <w:sz w:val="20"/>
                <w:szCs w:val="20"/>
              </w:rPr>
              <w:t xml:space="preserve">Concentration signal</w:t>
            </w:r>
          </w:p>
        </w:tc>
        <w:tc>
          <w:tcPr>
            <w:tcW w:type="dxa" w:w="6760"/>
            <w:gridSpan w:val="3"/>
            <w:tcBorders>
              <w:top w:val="single" w:color="BDD7EE" w:sz="4"/>
              <w:left w:val="single" w:color="BDD7EE" w:sz="4"/>
              <w:bottom w:val="single" w:color="BDD7EE" w:sz="4"/>
              <w:right w:val="single" w:color="BDD7EE" w:sz="4"/>
            </w:tcBorders>
            <w:shd w:fill="EBF3FB" w:val="clear"/>
          </w:tcPr>
          <w:p>
            <w:pPr>
              <w:spacing w:after="60" w:before="60"/>
            </w:pPr>
            <w:r>
              <w:rPr>
                <w:rFonts w:ascii="Arial" w:cs="Arial" w:eastAsia="Arial" w:hAnsi="Arial"/>
                <w:color w:val="2C3E50"/>
                <w:sz w:val="20"/>
                <w:szCs w:val="20"/>
              </w:rPr>
              <w:t xml:space="preserve">100–150 CPOs, consolidating. Top 5 hold ~⅓ of total public market; top 15 hold 58%.</w:t>
            </w:r>
          </w:p>
        </w:tc>
      </w:tr>
    </w:tbl>
    <w:p>
      <w:pPr>
        <w:pStyle w:val="Heading2"/>
        <w:spacing w:before="280"/>
      </w:pPr>
      <w:r>
        <w:t xml:space="preserve">United States (DC Fast, Sep 2026) — [Research: US report, AFDC, Sep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60"/>
        <w:gridCol w:w="3600"/>
      </w:tblGrid>
      <w:tr>
        <w:trPr>
          <w:tblHeader/>
        </w:trPr>
        <w:tc>
          <w:tcPr>
            <w:tcW w:type="dxa" w:w="26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Operator</w:t>
            </w:r>
          </w:p>
        </w:tc>
        <w:tc>
          <w:tcPr>
            <w:tcW w:type="dxa" w:w="16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Ports</w:t>
            </w:r>
          </w:p>
        </w:tc>
        <w:tc>
          <w:tcPr>
            <w:tcW w:type="dxa" w:w="156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Share</w:t>
            </w:r>
          </w:p>
        </w:tc>
        <w:tc>
          <w:tcPr>
            <w:tcW w:type="dxa" w:w="36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Notes</w:t>
            </w:r>
          </w:p>
        </w:tc>
      </w:tr>
      <w:tr>
        <w:tc>
          <w:tcPr>
            <w:tcW w:type="dxa" w:w="2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Tesla Supercharger</w:t>
            </w:r>
          </w:p>
        </w:tc>
        <w:tc>
          <w:tcPr>
            <w:tcW w:type="dxa" w:w="1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37,995</w:t>
            </w:r>
          </w:p>
        </w:tc>
        <w:tc>
          <w:tcPr>
            <w:tcW w:type="dxa" w:w="15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49.8%</w:t>
            </w:r>
          </w:p>
        </w:tc>
        <w:tc>
          <w:tcPr>
            <w:tcW w:type="dxa" w:w="3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Down from 54.6% (Jul 2025); sub-$45K/stall cost advantage</w:t>
            </w:r>
          </w:p>
        </w:tc>
      </w:tr>
      <w:tr>
        <w:tc>
          <w:tcPr>
            <w:tcW w:type="dxa" w:w="2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Electrify America</w:t>
            </w:r>
          </w:p>
        </w:tc>
        <w:tc>
          <w:tcPr>
            <w:tcW w:type="dxa" w:w="1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5,936</w:t>
            </w:r>
          </w:p>
        </w:tc>
        <w:tc>
          <w:tcPr>
            <w:tcW w:type="dxa" w:w="15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7.8%</w:t>
            </w:r>
          </w:p>
        </w:tc>
        <w:tc>
          <w:tcPr>
            <w:tcW w:type="dxa" w:w="3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VW-backed; national footprint</w:t>
            </w:r>
          </w:p>
        </w:tc>
      </w:tr>
      <w:tr>
        <w:tc>
          <w:tcPr>
            <w:tcW w:type="dxa" w:w="2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EVgo</w:t>
            </w:r>
          </w:p>
        </w:tc>
        <w:tc>
          <w:tcPr>
            <w:tcW w:type="dxa" w:w="1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5,246</w:t>
            </w:r>
          </w:p>
        </w:tc>
        <w:tc>
          <w:tcPr>
            <w:tcW w:type="dxa" w:w="15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6.9%</w:t>
            </w:r>
          </w:p>
        </w:tc>
        <w:tc>
          <w:tcPr>
            <w:tcW w:type="dxa" w:w="3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Urban focus</w:t>
            </w:r>
          </w:p>
        </w:tc>
      </w:tr>
      <w:tr>
        <w:tc>
          <w:tcPr>
            <w:tcW w:type="dxa" w:w="2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ChargePoint</w:t>
            </w:r>
          </w:p>
        </w:tc>
        <w:tc>
          <w:tcPr>
            <w:tcW w:type="dxa" w:w="1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4,937</w:t>
            </w:r>
          </w:p>
        </w:tc>
        <w:tc>
          <w:tcPr>
            <w:tcW w:type="dxa" w:w="15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6.5%</w:t>
            </w:r>
          </w:p>
        </w:tc>
        <w:tc>
          <w:tcPr>
            <w:tcW w:type="dxa" w:w="3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Network platform model</w:t>
            </w:r>
          </w:p>
        </w:tc>
      </w:tr>
      <w:tr>
        <w:tc>
          <w:tcPr>
            <w:tcW w:type="dxa" w:w="2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Red E Charge</w:t>
            </w:r>
          </w:p>
        </w:tc>
        <w:tc>
          <w:tcPr>
            <w:tcW w:type="dxa" w:w="1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2,141</w:t>
            </w:r>
          </w:p>
        </w:tc>
        <w:tc>
          <w:tcPr>
            <w:tcW w:type="dxa" w:w="15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2.8%</w:t>
            </w:r>
          </w:p>
        </w:tc>
        <w:tc>
          <w:tcPr>
            <w:tcW w:type="dxa" w:w="3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
            </w:r>
          </w:p>
        </w:tc>
      </w:tr>
      <w:tr>
        <w:tc>
          <w:tcPr>
            <w:tcW w:type="dxa" w:w="2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IONNA</w:t>
            </w:r>
          </w:p>
        </w:tc>
        <w:tc>
          <w:tcPr>
            <w:tcW w:type="dxa" w:w="1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1,458</w:t>
            </w:r>
          </w:p>
        </w:tc>
        <w:tc>
          <w:tcPr>
            <w:tcW w:type="dxa" w:w="15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1.9%</w:t>
            </w:r>
          </w:p>
        </w:tc>
        <w:tc>
          <w:tcPr>
            <w:tcW w:type="dxa" w:w="36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Automaker-backed consortium; targeting 30,000 sites</w:t>
            </w:r>
          </w:p>
        </w:tc>
      </w:tr>
      <w:tr>
        <w:tc>
          <w:tcPr>
            <w:tcW w:type="dxa" w:w="2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Other Networks</w:t>
            </w:r>
          </w:p>
        </w:tc>
        <w:tc>
          <w:tcPr>
            <w:tcW w:type="dxa" w:w="1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12,382</w:t>
            </w:r>
          </w:p>
        </w:tc>
        <w:tc>
          <w:tcPr>
            <w:tcW w:type="dxa" w:w="15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16.2%</w:t>
            </w:r>
          </w:p>
        </w:tc>
        <w:tc>
          <w:tcPr>
            <w:tcW w:type="dxa" w:w="36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Grew +44% YoY — market fragmenting</w:t>
            </w:r>
          </w:p>
        </w:tc>
      </w:tr>
      <w:tr>
        <w:tc>
          <w:tcPr>
            <w:tcW w:type="dxa" w:w="260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bCs/>
                <w:color w:val="1A3A5C"/>
                <w:sz w:val="20"/>
                <w:szCs w:val="20"/>
              </w:rPr>
              <w:t xml:space="preserve">Concentration signal</w:t>
            </w:r>
          </w:p>
        </w:tc>
        <w:tc>
          <w:tcPr>
            <w:tcW w:type="dxa" w:w="6760"/>
            <w:gridSpan w:val="3"/>
            <w:tcBorders>
              <w:top w:val="single" w:color="BDD7EE" w:sz="4"/>
              <w:left w:val="single" w:color="BDD7EE" w:sz="4"/>
              <w:bottom w:val="single" w:color="BDD7EE" w:sz="4"/>
              <w:right w:val="single" w:color="BDD7EE" w:sz="4"/>
            </w:tcBorders>
            <w:shd w:fill="EBF3FB" w:val="clear"/>
          </w:tcPr>
          <w:p>
            <w:pPr>
              <w:spacing w:after="60" w:before="60"/>
            </w:pPr>
            <w:r>
              <w:rPr>
                <w:rFonts w:ascii="Arial" w:cs="Arial" w:eastAsia="Arial" w:hAnsi="Arial"/>
                <w:color w:val="2C3E50"/>
                <w:sz w:val="20"/>
                <w:szCs w:val="20"/>
              </w:rPr>
              <w:t xml:space="preserve">Tesla ~50% but declining. “Other” category grew 44% YoY vs 20% for top-10 — market fragmenting.</w:t>
            </w:r>
          </w:p>
        </w:tc>
      </w:tr>
    </w:tbl>
    <w:p>
      <w:pPr>
        <w:pStyle w:val="Heading2"/>
        <w:spacing w:before="280"/>
      </w:pPr>
      <w:r>
        <w:t xml:space="preserve">Germany (HPC, end-2024) — [Research: DE/FR report, end-2024]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Operator</w:t>
            </w:r>
          </w:p>
        </w:tc>
        <w:tc>
          <w:tcPr>
            <w:tcW w:type="dxa" w:w="18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HPC Points</w:t>
            </w:r>
          </w:p>
        </w:tc>
        <w:tc>
          <w:tcPr>
            <w:tcW w:type="dxa" w:w="476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Notes</w:t>
            </w:r>
          </w:p>
        </w:tc>
      </w:tr>
      <w:tr>
        <w:tc>
          <w:tcPr>
            <w:tcW w:type="dxa" w:w="2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EnBW</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6,005</w:t>
            </w:r>
          </w:p>
        </w:tc>
        <w:tc>
          <w:tcPr>
            <w:tcW w:type="dxa" w:w="47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Market leader</w:t>
            </w:r>
          </w:p>
        </w:tc>
      </w:tr>
      <w:tr>
        <w:tc>
          <w:tcPr>
            <w:tcW w:type="dxa" w:w="2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Tesla</w:t>
            </w:r>
          </w:p>
        </w:tc>
        <w:tc>
          <w:tcPr>
            <w:tcW w:type="dxa" w:w="1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3,110</w:t>
            </w:r>
          </w:p>
        </w:tc>
        <w:tc>
          <w:tcPr>
            <w:tcW w:type="dxa" w:w="47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
            </w:r>
          </w:p>
        </w:tc>
      </w:tr>
      <w:tr>
        <w:tc>
          <w:tcPr>
            <w:tcW w:type="dxa" w:w="2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Aral Pulse / bp</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2,317</w:t>
            </w:r>
          </w:p>
        </w:tc>
        <w:tc>
          <w:tcPr>
            <w:tcW w:type="dxa" w:w="47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Petrol-station network leverage</w:t>
            </w:r>
          </w:p>
        </w:tc>
      </w:tr>
      <w:tr>
        <w:tc>
          <w:tcPr>
            <w:tcW w:type="dxa" w:w="2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Allego</w:t>
            </w:r>
          </w:p>
        </w:tc>
        <w:tc>
          <w:tcPr>
            <w:tcW w:type="dxa" w:w="1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1,541</w:t>
            </w:r>
          </w:p>
        </w:tc>
        <w:tc>
          <w:tcPr>
            <w:tcW w:type="dxa" w:w="47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Taken private by Meridiam for $1.5B; consolidation signal</w:t>
            </w:r>
          </w:p>
        </w:tc>
      </w:tr>
      <w:tr>
        <w:tc>
          <w:tcPr>
            <w:tcW w:type="dxa" w:w="2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Ionity</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1,084</w:t>
            </w:r>
          </w:p>
        </w:tc>
        <w:tc>
          <w:tcPr>
            <w:tcW w:type="dxa" w:w="47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Motorway hubs; automaker-backed</w:t>
            </w:r>
          </w:p>
        </w:tc>
      </w:tr>
      <w:tr>
        <w:tc>
          <w:tcPr>
            <w:tcW w:type="dxa" w:w="280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bCs/>
                <w:color w:val="1A3A5C"/>
                <w:sz w:val="20"/>
                <w:szCs w:val="20"/>
              </w:rPr>
              <w:t xml:space="preserve">Concentration signal</w:t>
            </w:r>
          </w:p>
        </w:tc>
        <w:tc>
          <w:tcPr>
            <w:tcW w:type="dxa" w:w="6560"/>
            <w:gridSpan w:val="2"/>
            <w:tcBorders>
              <w:top w:val="single" w:color="BDD7EE" w:sz="4"/>
              <w:left w:val="single" w:color="BDD7EE" w:sz="4"/>
              <w:bottom w:val="single" w:color="BDD7EE" w:sz="4"/>
              <w:right w:val="single" w:color="BDD7EE" w:sz="4"/>
            </w:tcBorders>
            <w:shd w:fill="EBF3FB" w:val="clear"/>
          </w:tcPr>
          <w:p>
            <w:pPr>
              <w:spacing w:after="60" w:before="60"/>
            </w:pPr>
            <w:r>
              <w:rPr>
                <w:rFonts w:ascii="Arial" w:cs="Arial" w:eastAsia="Arial" w:hAnsi="Arial"/>
                <w:color w:val="2C3E50"/>
                <w:sz w:val="20"/>
                <w:szCs w:val="20"/>
              </w:rPr>
              <w:t xml:space="preserve">Moderate-to-high concentration; top 5 hold substantial majority. Grocery-retailer subsidised charging compresses margins.</w:t>
            </w:r>
          </w:p>
        </w:tc>
      </w:tr>
    </w:tbl>
    <w:p>
      <w:pPr>
        <w:pStyle w:val="Heading2"/>
        <w:spacing w:before="280"/>
      </w:pPr>
      <w:r>
        <w:t xml:space="preserve">France (HPC, May 2025) — [Research: DE/FR report, May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Operator</w:t>
            </w:r>
          </w:p>
        </w:tc>
        <w:tc>
          <w:tcPr>
            <w:tcW w:type="dxa" w:w="18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HPC Points</w:t>
            </w:r>
          </w:p>
        </w:tc>
        <w:tc>
          <w:tcPr>
            <w:tcW w:type="dxa" w:w="476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Notes</w:t>
            </w:r>
          </w:p>
        </w:tc>
      </w:tr>
      <w:tr>
        <w:tc>
          <w:tcPr>
            <w:tcW w:type="dxa" w:w="2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Tesla</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3,019</w:t>
            </w:r>
          </w:p>
        </w:tc>
        <w:tc>
          <w:tcPr>
            <w:tcW w:type="dxa" w:w="47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
            </w:r>
          </w:p>
        </w:tc>
      </w:tr>
      <w:tr>
        <w:tc>
          <w:tcPr>
            <w:tcW w:type="dxa" w:w="2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TotalEnergies</w:t>
            </w:r>
          </w:p>
        </w:tc>
        <w:tc>
          <w:tcPr>
            <w:tcW w:type="dxa" w:w="1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1,543</w:t>
            </w:r>
          </w:p>
        </w:tc>
        <w:tc>
          <w:tcPr>
            <w:tcW w:type="dxa" w:w="47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Leads on motorways: 850 pts, 380 MW capacity</w:t>
            </w:r>
          </w:p>
        </w:tc>
      </w:tr>
      <w:tr>
        <w:tc>
          <w:tcPr>
            <w:tcW w:type="dxa" w:w="2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Electra</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1,504</w:t>
            </w:r>
          </w:p>
        </w:tc>
        <w:tc>
          <w:tcPr>
            <w:tcW w:type="dxa" w:w="47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Urban/commercial hubs</w:t>
            </w:r>
          </w:p>
        </w:tc>
      </w:tr>
      <w:tr>
        <w:tc>
          <w:tcPr>
            <w:tcW w:type="dxa" w:w="2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Ionity</w:t>
            </w:r>
          </w:p>
        </w:tc>
        <w:tc>
          <w:tcPr>
            <w:tcW w:type="dxa" w:w="1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688</w:t>
            </w:r>
          </w:p>
        </w:tc>
        <w:tc>
          <w:tcPr>
            <w:tcW w:type="dxa" w:w="476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Motorway hubs</w:t>
            </w:r>
          </w:p>
        </w:tc>
      </w:tr>
      <w:tr>
        <w:tc>
          <w:tcPr>
            <w:tcW w:type="dxa" w:w="2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Fastned</w:t>
            </w:r>
          </w:p>
        </w:tc>
        <w:tc>
          <w:tcPr>
            <w:tcW w:type="dxa" w:w="18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265</w:t>
            </w:r>
          </w:p>
        </w:tc>
        <w:tc>
          <w:tcPr>
            <w:tcW w:type="dxa" w:w="476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Highway focus; Dutch origin</w:t>
            </w:r>
          </w:p>
        </w:tc>
      </w:tr>
      <w:tr>
        <w:tc>
          <w:tcPr>
            <w:tcW w:type="dxa" w:w="2800"/>
            <w:tcBorders>
              <w:top w:val="single" w:color="BDD7EE" w:sz="4"/>
              <w:left w:val="single" w:color="BDD7EE" w:sz="4"/>
              <w:bottom w:val="single" w:color="BDD7EE" w:sz="4"/>
              <w:right w:val="single" w:color="BDD7EE" w:sz="4"/>
            </w:tcBorders>
            <w:shd w:fill="EBF3FB" w:val="clear"/>
            <w:vAlign w:val="center"/>
          </w:tcPr>
          <w:p>
            <w:pPr>
              <w:spacing w:after="60" w:before="60"/>
              <w:jc w:val="left"/>
            </w:pPr>
            <w:r>
              <w:rPr>
                <w:rFonts w:ascii="Arial" w:cs="Arial" w:eastAsia="Arial" w:hAnsi="Arial"/>
                <w:b/>
                <w:bCs/>
                <w:color w:val="1A3A5C"/>
                <w:sz w:val="20"/>
                <w:szCs w:val="20"/>
              </w:rPr>
              <w:t xml:space="preserve">Concentration signal</w:t>
            </w:r>
          </w:p>
        </w:tc>
        <w:tc>
          <w:tcPr>
            <w:tcW w:type="dxa" w:w="6560"/>
            <w:gridSpan w:val="2"/>
            <w:tcBorders>
              <w:top w:val="single" w:color="BDD7EE" w:sz="4"/>
              <w:left w:val="single" w:color="BDD7EE" w:sz="4"/>
              <w:bottom w:val="single" w:color="BDD7EE" w:sz="4"/>
              <w:right w:val="single" w:color="BDD7EE" w:sz="4"/>
            </w:tcBorders>
            <w:shd w:fill="EBF3FB" w:val="clear"/>
          </w:tcPr>
          <w:p>
            <w:pPr>
              <w:spacing w:after="60" w:before="60"/>
            </w:pPr>
            <w:r>
              <w:rPr>
                <w:rFonts w:ascii="Arial" w:cs="Arial" w:eastAsia="Arial" w:hAnsi="Arial"/>
                <w:color w:val="2C3E50"/>
                <w:sz w:val="20"/>
                <w:szCs w:val="20"/>
              </w:rPr>
              <w:t xml:space="preserve">More fragmented than Germany. Segmented by location (motorway vs. urban). TotalEnergies dominant on motorways; urban corridors more open.</w:t>
            </w:r>
          </w:p>
        </w:tc>
      </w:tr>
    </w:tbl>
    <w:p>
      <w:pPr>
        <w:pStyle w:val="BodyText"/>
      </w:pPr>
      <w:r>
        <w:t xml:space="preserve"/>
      </w:r>
    </w:p>
    <w:p>
      <w:pPr>
        <w:jc w:val="center"/>
      </w:pPr>
      <w:r>
        <w:drawing>
          <wp:inline distT="0" distB="0" distL="0" distR="0">
            <wp:extent cx="5715000" cy="3171825"/>
            <wp:effectExtent t="0" r="0" b="0" l="0"/>
            <wp:docPr id="1" name="chart4" descr="Donut chart of US DC fast charging market share by operator" title="US Market Shar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pStyle w:val="Caption"/>
      </w:pPr>
      <w:r>
        <w:rPr>
          <w:i/>
          <w:iCs/>
          <w:color w:val="546E7A"/>
          <w:sz w:val="18"/>
          <w:szCs w:val="18"/>
        </w:rPr>
        <w:t xml:space="preserve">Figure 3: US DC Fast-Charging Market Share by Operator (Sep 2026). Source: [Research: US report, AFDC, Sep 2026]</w:t>
      </w:r>
    </w:p>
    <w:p>
      <w:pPr>
        <w:pStyle w:val="Heading1"/>
      </w:pPr>
      <w:r>
        <w:t xml:space="preserve">A.4  Key Trends and Signals</w:t>
      </w:r>
    </w:p>
    <w:p>
      <w:pPr>
        <w:pStyle w:val="BodyText"/>
      </w:pPr>
      <w:r>
        <w:rPr>
          <w:color w:val="2C3E50"/>
        </w:rPr>
        <w:t xml:space="preserve">This section examines where the 2024–2026 research confirms or contradicts the 2023 IEA dataset. Each observation is labelled with its source.</w:t>
      </w:r>
    </w:p>
    <w:p>
      <w:pPr>
        <w:pStyle w:val="Heading2"/>
      </w:pPr>
      <w:r>
        <w:t xml:space="preserve">Demand Trajectory</w:t>
      </w:r>
    </w:p>
    <w:p>
      <w:pPr>
        <w:pStyle w:val="Heading3"/>
      </w:pPr>
      <w:r>
        <w:t xml:space="preserve">United Kingdom — Confirms and Accelerates</w:t>
      </w:r>
    </w:p>
    <w:p>
      <w:pPr>
        <w:pStyle w:val="BodyText"/>
      </w:pPr>
      <w:r>
        <w:rPr>
          <w:color w:val="2C3E50"/>
        </w:rPr>
        <w:t xml:space="preserve">The dataset recorded a 24% all-plug-in EV sales share in 2023 [Dataset, 2023], covering BEV+PHEV. Research confirms continued acceleration: 19.6% BEV-only in 2024, 23.4% BEV-only in 2025, and ~25% YTD through H1 2026, reaching ~29.8% YTD through August 2026 [Research: UK report, SMMT/Car Magazine]. </w:t>
      </w:r>
      <w:r>
        <w:rPr>
          <w:b/>
          <w:bCs/>
          <w:color w:val="1A3A5C"/>
        </w:rPr>
        <w:t xml:space="preserve">Note:</w:t>
      </w:r>
      <w:r>
        <w:rPr>
          <w:color w:val="2C3E50"/>
        </w:rPr>
        <w:t xml:space="preserve"> The dataset figure (24%, BEV+PHEV) and research figures (BEV-only) cover different powertrains and are not directly comparable. Both show strong demand.</w:t>
      </w:r>
    </w:p>
    <w:p>
      <w:pPr>
        <w:pStyle w:val="BodyText"/>
        <w:numPr>
          <w:ilvl w:val="0"/>
          <w:numId w:val="2"/>
        </w:numPr>
        <w:spacing w:after="100"/>
      </w:pPr>
      <w:r>
        <w:rPr>
          <w:color w:val="2C3E50"/>
        </w:rPr>
        <w:t xml:space="preserve">The ZEV mandate requires 52% zero-emission new-car sales by 2028 and 100% by 2035, providing a regulatory demand floor [Research: UK report, UK Gov].</w:t>
      </w:r>
    </w:p>
    <w:p>
      <w:pPr>
        <w:pStyle w:val="BodyText"/>
        <w:numPr>
          <w:ilvl w:val="0"/>
          <w:numId w:val="2"/>
        </w:numPr>
        <w:spacing w:after="100"/>
      </w:pPr>
      <w:r>
        <w:rPr>
          <w:color w:val="2C3E50"/>
        </w:rPr>
        <w:t xml:space="preserve">Actual BEV share is running 5–8 percentage points below mandate targets; the mandate entered formal government review in August 2026 [Research: UK report, SMMT/UK Gov].</w:t>
      </w:r>
    </w:p>
    <w:p>
      <w:pPr>
        <w:pStyle w:val="Heading3"/>
      </w:pPr>
      <w:r>
        <w:t xml:space="preserve">United States — Contradicts IEA Projections</w:t>
      </w:r>
    </w:p>
    <w:p>
      <w:pPr>
        <w:pStyle w:val="BodyText"/>
      </w:pPr>
      <w:r>
        <w:rPr>
          <w:color w:val="2C3E50"/>
        </w:rPr>
        <w:t xml:space="preserve">The dataset showed 10% EV sales share in 2023 [Dataset, 2023]. The IEA STEPS scenario projected ~20% by 2025. Actual 2025 BEV share was only 7.7–10%. Following the expiration of the $7,500 federal tax credit in September 2025, BEV share surged to 12% in September 2025 (pre-expiry rush), then collapsed to &lt;6% by Q4 2025. Mid-2026 registrations are down ~31% YoY — roughly half the IEA STEPS projection pace [Research: US report].</w:t>
      </w:r>
    </w:p>
    <w:p>
      <w:pPr>
        <w:pStyle w:val="Heading3"/>
      </w:pPr>
      <w:r>
        <w:t xml:space="preserve">Germany — Volatile but Recovering</w:t>
      </w:r>
    </w:p>
    <w:p>
      <w:pPr>
        <w:pStyle w:val="BodyText"/>
      </w:pPr>
      <w:r>
        <w:rPr>
          <w:color w:val="2C3E50"/>
        </w:rPr>
        <w:t xml:space="preserve">The dataset showed 24% all-plug-in EV sales share in 2023 [Dataset, 2023]. BEV share dipped to 13.5% in 2024 after the Umweltbonus subsidy ended abruptly in December 2023, then rebounded to a record 19.1% BEV-only in 2025 [Research: DE/FR report, VDA].</w:t>
      </w:r>
    </w:p>
    <w:p>
      <w:pPr>
        <w:pStyle w:val="Heading3"/>
      </w:pPr>
      <w:r>
        <w:t xml:space="preserve">France — Confirms and Accelerates Strongly</w:t>
      </w:r>
    </w:p>
    <w:p>
      <w:pPr>
        <w:pStyle w:val="BodyText"/>
      </w:pPr>
      <w:r>
        <w:rPr>
          <w:color w:val="2C3E50"/>
        </w:rPr>
        <w:t xml:space="preserve">The dataset showed 25% all-plug-in EV sales share in 2023 [Dataset, 2023]. BEV share reached 20.0% in 2025 and BEV registrations surged +62.9% YoY in H1 2026 [Research: DE/FR report, ACEA], the strongest demand momentum of all four markets. BEV share hit 38.8% in August 2026 [Research: DE/FR report, Avere-France].</w:t>
      </w:r>
    </w:p>
    <w:p>
      <w:pPr>
        <w:pStyle w:val="Heading2"/>
      </w:pPr>
      <w:r>
        <w:t xml:space="preserve">Infrastructure Supply — All Markets Outpacing 2023 Trajectory</w:t>
      </w:r>
    </w:p>
    <w:p>
      <w:pPr>
        <w:pStyle w:val="BodyText"/>
      </w:pPr>
      <w:r>
        <w:rPr>
          <w:color w:val="2C3E50"/>
        </w:rPr>
        <w:t xml:space="preserve">Charger deployment has outpaced fleet growth in all four markets, compressing EVs-per-charger ratios. This is positive for drivers but creates utilisation pressure for operators. The ratios below are </w:t>
      </w:r>
      <w:r>
        <w:rPr>
          <w:b/>
          <w:bCs/>
          <w:i/>
          <w:iCs/>
          <w:color w:val="1A3A5C"/>
        </w:rPr>
        <w:t xml:space="preserve">directionally indicative only</w:t>
      </w:r>
      <w:r>
        <w:rPr>
          <w:color w:val="2C3E50"/>
        </w:rPr>
        <w:t xml:space="preserve"> because the 2023 and latest-research denominators use different charger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3680"/>
      </w:tblGrid>
      <w:tr>
        <w:trPr>
          <w:tblHeader/>
        </w:trPr>
        <w:tc>
          <w:tcPr>
            <w:tcW w:type="dxa" w:w="20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Market</w:t>
            </w:r>
          </w:p>
        </w:tc>
        <w:tc>
          <w:tcPr>
            <w:tcW w:type="dxa" w:w="184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2023 Ratio
(&gt;22 kW)</w:t>
            </w:r>
          </w:p>
        </w:tc>
        <w:tc>
          <w:tcPr>
            <w:tcW w:type="dxa" w:w="184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Latest Ratio
(definition varies)</w:t>
            </w:r>
          </w:p>
        </w:tc>
        <w:tc>
          <w:tcPr>
            <w:tcW w:type="dxa" w:w="368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Notes</w:t>
            </w:r>
          </w:p>
        </w:tc>
      </w:tr>
      <w:tr>
        <w:tc>
          <w:tcPr>
            <w:tcW w:type="dxa" w:w="20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United Kingdom</w:t>
            </w:r>
          </w:p>
        </w:tc>
        <w:tc>
          <w:tcPr>
            <w:tcW w:type="dxa" w:w="184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158 EVs/charger</w:t>
            </w:r>
          </w:p>
        </w:tc>
        <w:tc>
          <w:tcPr>
            <w:tcW w:type="dxa" w:w="184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~66 BEVs/50 kW+
(Jul 2026)</w:t>
            </w:r>
          </w:p>
        </w:tc>
        <w:tc>
          <w:tcPr>
            <w:tcW w:type="dxa" w:w="36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Different definitions: IEA &gt;22 kW vs DfT 50 kW+</w:t>
            </w:r>
          </w:p>
        </w:tc>
      </w:tr>
      <w:tr>
        <w:tc>
          <w:tcPr>
            <w:tcW w:type="dxa" w:w="20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United States</w:t>
            </w:r>
          </w:p>
        </w:tc>
        <w:tc>
          <w:tcPr>
            <w:tcW w:type="dxa" w:w="184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112 EVs/charger</w:t>
            </w:r>
          </w:p>
        </w:tc>
        <w:tc>
          <w:tcPr>
            <w:tcW w:type="dxa" w:w="184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~96–106 (2024–25)</w:t>
            </w:r>
          </w:p>
        </w:tc>
        <w:tc>
          <w:tcPr>
            <w:tcW w:type="dxa" w:w="36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DC fast definitions broadly comparable</w:t>
            </w:r>
          </w:p>
        </w:tc>
      </w:tr>
      <w:tr>
        <w:tc>
          <w:tcPr>
            <w:tcW w:type="dxa" w:w="20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Germany</w:t>
            </w:r>
          </w:p>
        </w:tc>
        <w:tc>
          <w:tcPr>
            <w:tcW w:type="dxa" w:w="184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119 EVs/charger</w:t>
            </w:r>
          </w:p>
        </w:tc>
        <w:tc>
          <w:tcPr>
            <w:tcW w:type="dxa" w:w="184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~71 (Jul 2025)</w:t>
            </w:r>
          </w:p>
        </w:tc>
        <w:tc>
          <w:tcPr>
            <w:tcW w:type="dxa" w:w="36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Both use DC fast; Bundesnetzagentur threshold not confirmed vs IEA</w:t>
            </w:r>
          </w:p>
        </w:tc>
      </w:tr>
      <w:tr>
        <w:tc>
          <w:tcPr>
            <w:tcW w:type="dxa" w:w="20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France</w:t>
            </w:r>
          </w:p>
        </w:tc>
        <w:tc>
          <w:tcPr>
            <w:tcW w:type="dxa" w:w="184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79 EVs/charger</w:t>
            </w:r>
          </w:p>
        </w:tc>
        <w:tc>
          <w:tcPr>
            <w:tcW w:type="dxa" w:w="184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~46 (Feb 2025)</w:t>
            </w:r>
          </w:p>
        </w:tc>
        <w:tc>
          <w:tcPr>
            <w:tcW w:type="dxa" w:w="36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Stricter definition: IEA &gt;22 kW vs Avere-France 150 kW+ HPC only — ratios not comparable</w:t>
            </w:r>
          </w:p>
        </w:tc>
      </w:tr>
    </w:tbl>
    <w:p>
      <w:pPr>
        <w:pStyle w:val="Caption"/>
      </w:pPr>
      <w:r>
        <w:rPr>
          <w:i/>
          <w:iCs/>
          <w:color w:val="546E7A"/>
          <w:sz w:val="18"/>
          <w:szCs w:val="18"/>
        </w:rPr>
        <w:t xml:space="preserve">Table 2: EVs per Fast Charger — 2023 Baseline vs. Latest Research. Sources: [Dataset, 2023]; [Research: UK report, DfT, Jul 2026]; [Research: US report, AFDC]; [Research: DE/FR report, Bundesnetzagentur/Avere-France].</w:t>
      </w:r>
    </w:p>
    <w:p>
      <w:pPr>
        <w:pStyle w:val="Heading2"/>
      </w:pPr>
      <w:r>
        <w:t xml:space="preserve">Utilisation and Economics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0FF" w:sz="8"/>
              <w:left w:val="single" w:color="1E90FF" w:sz="8"/>
              <w:bottom w:val="none" w:color="FFFFFF" w:sz="0"/>
              <w:right w:val="none" w:color="FFFFFF" w:sz="0"/>
            </w:tcBorders>
            <w:shd w:fill="F0F7FF" w:val="clear"/>
          </w:tcPr>
          <w:p>
            <w:pPr>
              <w:spacing w:after="60" w:before="100"/>
            </w:pPr>
            <w:r>
              <w:rPr>
                <w:rFonts w:ascii="Arial" w:cs="Arial" w:eastAsia="Arial" w:hAnsi="Arial"/>
                <w:b/>
                <w:bCs/>
                <w:color w:val="1A3A5C"/>
                <w:sz w:val="21"/>
                <w:szCs w:val="21"/>
              </w:rPr>
              <w:t xml:space="preserve">UK:</w:t>
            </w:r>
            <w:r>
              <w:rPr>
                <w:rFonts w:ascii="Arial" w:cs="Arial" w:eastAsia="Arial" w:hAnsi="Arial"/>
                <w:color w:val="2C3E50"/>
                <w:sz w:val="21"/>
                <w:szCs w:val="21"/>
              </w:rPr>
              <w:t xml:space="preserve"> The Zapmap average for </w:t>
            </w:r>
            <w:r>
              <w:rPr>
                <w:rFonts w:ascii="Arial" w:cs="Arial" w:eastAsia="Arial" w:hAnsi="Arial"/>
                <w:b/>
                <w:bCs/>
                <w:i/>
                <w:iCs/>
                <w:color w:val="1A3A5C"/>
                <w:sz w:val="21"/>
                <w:szCs w:val="21"/>
              </w:rPr>
              <w:t xml:space="preserve">all UK public chargers</w:t>
            </w:r>
            <w:r>
              <w:rPr>
                <w:rFonts w:ascii="Arial" w:cs="Arial" w:eastAsia="Arial" w:hAnsi="Arial"/>
                <w:color w:val="2C3E50"/>
                <w:sz w:val="21"/>
                <w:szCs w:val="21"/>
              </w:rPr>
              <w:t xml:space="preserve"> (not rapid-only) is ~8% (~2 hrs/day) [Research: UK report, Zapmap]. This figure is </w:t>
            </w:r>
            <w:r>
              <w:rPr>
                <w:rFonts w:ascii="Arial" w:cs="Arial" w:eastAsia="Arial" w:hAnsi="Arial"/>
                <w:b/>
                <w:bCs/>
                <w:color w:val="B5570E"/>
                <w:sz w:val="21"/>
                <w:szCs w:val="21"/>
              </w:rPr>
              <w:t xml:space="preserve">not directly comparable</w:t>
            </w:r>
            <w:r>
              <w:rPr>
                <w:rFonts w:ascii="Arial" w:cs="Arial" w:eastAsia="Arial" w:hAnsi="Arial"/>
                <w:color w:val="2C3E50"/>
                <w:sz w:val="21"/>
                <w:szCs w:val="21"/>
              </w:rPr>
              <w:t xml:space="preserve"> with the US DC fast utilisation figure.</w:t>
            </w:r>
          </w:p>
          <w:p>
            <w:pPr>
              <w:spacing w:after="100" w:before="60"/>
            </w:pPr>
            <w:r>
              <w:rPr>
                <w:rFonts w:ascii="Arial" w:cs="Arial" w:eastAsia="Arial" w:hAnsi="Arial"/>
                <w:b/>
                <w:bCs/>
                <w:color w:val="1A3A5C"/>
                <w:sz w:val="21"/>
                <w:szCs w:val="21"/>
              </w:rPr>
              <w:t xml:space="preserve">US:</w:t>
            </w:r>
            <w:r>
              <w:rPr>
                <w:rFonts w:ascii="Arial" w:cs="Arial" w:eastAsia="Arial" w:hAnsi="Arial"/>
                <w:color w:val="2C3E50"/>
                <w:sz w:val="21"/>
                <w:szCs w:val="21"/>
              </w:rPr>
              <w:t xml:space="preserve"> DC fast utilisation is ~16%, reported as barely above the ~15% breakeven threshold [Research: US report].</w:t>
            </w:r>
          </w:p>
          <w:p>
            <w:pPr>
              <w:spacing w:after="100" w:before="0"/>
            </w:pPr>
            <w:r>
              <w:rPr>
                <w:rFonts w:ascii="Arial" w:cs="Arial" w:eastAsia="Arial" w:hAnsi="Arial"/>
                <w:b/>
                <w:bCs/>
                <w:color w:val="1A3A5C"/>
                <w:sz w:val="21"/>
                <w:szCs w:val="21"/>
              </w:rPr>
              <w:t xml:space="preserve">Germany / France:</w:t>
            </w:r>
            <w:r>
              <w:rPr>
                <w:rFonts w:ascii="Arial" w:cs="Arial" w:eastAsia="Arial" w:hAnsi="Arial"/>
                <w:color w:val="2C3E50"/>
                <w:sz w:val="21"/>
                <w:szCs w:val="21"/>
              </w:rPr>
              <w:t xml:space="preserve"> Utilisation data is not available in our sources. Payback periods are estimated at 6–12 years for both markets.</w:t>
            </w:r>
          </w:p>
        </w:tc>
      </w:tr>
    </w:tbl>
    <w:p>
      <w:pPr>
        <w:pStyle w:val="Heading1"/>
      </w:pPr>
      <w:r>
        <w:t xml:space="preserve">A.5  Opportunities and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Market</w:t>
            </w:r>
          </w:p>
        </w:tc>
        <w:tc>
          <w:tcPr>
            <w:tcW w:type="dxa" w:w="398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Key Opportunities</w:t>
            </w:r>
          </w:p>
        </w:tc>
        <w:tc>
          <w:tcPr>
            <w:tcW w:type="dxa" w:w="398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Key Risks</w:t>
            </w:r>
          </w:p>
        </w:tc>
      </w:tr>
      <w:tr>
        <w:tc>
          <w:tcPr>
            <w:tcW w:type="dxa" w:w="1400"/>
            <w:tcBorders>
              <w:top w:val="single" w:color="BDD7EE" w:sz="4"/>
              <w:left w:val="single" w:color="BDD7EE" w:sz="4"/>
              <w:bottom w:val="single" w:color="BDD7EE" w:sz="4"/>
              <w:right w:val="single" w:color="BDD7EE" w:sz="4"/>
            </w:tcBorders>
            <w:shd w:fill="DEEAF7" w:val="clear"/>
            <w:vAlign w:val="top"/>
          </w:tcPr>
          <w:p>
            <w:pPr>
              <w:spacing w:after="80" w:before="80"/>
            </w:pPr>
            <w:r>
              <w:rPr>
                <w:rFonts w:ascii="Arial" w:cs="Arial" w:eastAsia="Arial" w:hAnsi="Arial"/>
                <w:b/>
                <w:bCs/>
                <w:color w:val="1A3A5C"/>
                <w:sz w:val="21"/>
                <w:szCs w:val="21"/>
              </w:rPr>
              <w:t xml:space="preserve">United Kingdom</w:t>
            </w:r>
          </w:p>
        </w:tc>
        <w:tc>
          <w:tcPr>
            <w:tcW w:type="dxa" w:w="3980"/>
            <w:tcBorders>
              <w:top w:val="single" w:color="BDD7EE" w:sz="4"/>
              <w:left w:val="single" w:color="BDD7EE" w:sz="4"/>
              <w:bottom w:val="single" w:color="BDD7EE" w:sz="4"/>
              <w:right w:val="single" w:color="BDD7EE" w:sz="4"/>
            </w:tcBorders>
            <w:shd w:fill="F5F9FF" w:val="clear"/>
          </w:tcPr>
          <w:p>
            <w:pPr>
              <w:pStyle w:val="ListParagraph"/>
              <w:numPr>
                <w:ilvl w:val="0"/>
                <w:numId w:val="2"/>
              </w:numPr>
              <w:spacing w:after="80"/>
            </w:pPr>
            <w:r>
              <w:rPr>
                <w:rFonts w:ascii="Arial" w:cs="Arial" w:eastAsia="Arial" w:hAnsi="Arial"/>
                <w:color w:val="2C3E50"/>
                <w:sz w:val="20"/>
                <w:szCs w:val="20"/>
              </w:rPr>
              <w:t xml:space="preserve">ZEV mandate: 52% by 2028, 100% by 2035 — regulatory demand floor</w:t>
            </w:r>
          </w:p>
          <w:p>
            <w:pPr>
              <w:pStyle w:val="ListParagraph"/>
              <w:numPr>
                <w:ilvl w:val="0"/>
                <w:numId w:val="2"/>
              </w:numPr>
              <w:spacing w:after="80"/>
            </w:pPr>
            <w:r>
              <w:rPr>
                <w:rFonts w:ascii="Arial" w:cs="Arial" w:eastAsia="Arial" w:hAnsi="Arial"/>
                <w:color w:val="2C3E50"/>
                <w:sz w:val="20"/>
                <w:szCs w:val="20"/>
              </w:rPr>
              <w:t xml:space="preserve">2022 CMA undertaking: Gridserve cannot enforce exclusive MSA rights after Nov 2026, covering ~two-thirds of MSAs — a once-in-a-decade site window [Research: UK report]</w:t>
            </w:r>
          </w:p>
          <w:p>
            <w:pPr>
              <w:pStyle w:val="ListParagraph"/>
              <w:numPr>
                <w:ilvl w:val="0"/>
                <w:numId w:val="2"/>
              </w:numPr>
              <w:spacing w:after="80"/>
            </w:pPr>
            <w:r>
              <w:rPr>
                <w:rFonts w:ascii="Arial" w:cs="Arial" w:eastAsia="Arial" w:hAnsi="Arial"/>
                <w:color w:val="2C3E50"/>
                <w:sz w:val="20"/>
                <w:szCs w:val="20"/>
              </w:rPr>
              <w:t xml:space="preserve">Underserved regions: Northern Ireland (19.3 rapid/100K), London (27.9), Yorkshire &amp; the Humber (36.6), North East (37.1) vs UK avg 41.7 [Research: UK report, DfT Jul 2026]</w:t>
            </w:r>
          </w:p>
          <w:p>
            <w:pPr>
              <w:pStyle w:val="ListParagraph"/>
              <w:numPr>
                <w:ilvl w:val="0"/>
                <w:numId w:val="2"/>
              </w:numPr>
              <w:spacing w:after="80"/>
            </w:pPr>
            <w:r>
              <w:rPr>
                <w:rFonts w:ascii="Arial" w:cs="Arial" w:eastAsia="Arial" w:hAnsi="Arial"/>
                <w:color w:val="2C3E50"/>
                <w:sz w:val="20"/>
                <w:szCs w:val="20"/>
              </w:rPr>
              <w:t xml:space="preserve">Itemised government funding: LEVI £381M (mostly slow on-street); £400M Spending Review 2025 (strategic road network); Ofgem £300M Green Recovery Scheme (network upgrades at 37 MSAs)</w:t>
            </w:r>
          </w:p>
          <w:p>
            <w:pPr>
              <w:pStyle w:val="ListParagraph"/>
              <w:numPr>
                <w:ilvl w:val="0"/>
                <w:numId w:val="2"/>
              </w:numPr>
              <w:spacing w:after="60"/>
            </w:pPr>
            <w:r>
              <w:rPr>
                <w:rFonts w:ascii="Arial" w:cs="Arial" w:eastAsia="Arial" w:hAnsi="Arial"/>
                <w:color w:val="2C3E50"/>
                <w:sz w:val="20"/>
                <w:szCs w:val="20"/>
              </w:rPr>
              <w:t xml:space="preserve">Industry consolidation creating M&amp;A targets; top operators raised £460M+</w:t>
            </w:r>
          </w:p>
        </w:tc>
        <w:tc>
          <w:tcPr>
            <w:tcW w:type="dxa" w:w="3980"/>
            <w:tcBorders>
              <w:top w:val="single" w:color="BDD7EE" w:sz="4"/>
              <w:left w:val="single" w:color="BDD7EE" w:sz="4"/>
              <w:bottom w:val="single" w:color="BDD7EE" w:sz="4"/>
              <w:right w:val="single" w:color="BDD7EE" w:sz="4"/>
            </w:tcBorders>
            <w:shd w:fill="FFF5F5" w:val="clear"/>
          </w:tcPr>
          <w:p>
            <w:pPr>
              <w:pStyle w:val="ListParagraph"/>
              <w:numPr>
                <w:ilvl w:val="0"/>
                <w:numId w:val="2"/>
              </w:numPr>
              <w:spacing w:after="80"/>
            </w:pPr>
            <w:r>
              <w:rPr>
                <w:rFonts w:ascii="Arial" w:cs="Arial" w:eastAsia="Arial" w:hAnsi="Arial"/>
                <w:color w:val="2C3E50"/>
                <w:sz w:val="20"/>
                <w:szCs w:val="20"/>
              </w:rPr>
              <w:t xml:space="preserve">All-public-charger utilisation ~8% (Zapmap); profitability timeline uncertain</w:t>
            </w:r>
          </w:p>
          <w:p>
            <w:pPr>
              <w:pStyle w:val="ListParagraph"/>
              <w:numPr>
                <w:ilvl w:val="0"/>
                <w:numId w:val="2"/>
              </w:numPr>
              <w:spacing w:after="80"/>
            </w:pPr>
            <w:r>
              <w:rPr>
                <w:rFonts w:ascii="Arial" w:cs="Arial" w:eastAsia="Arial" w:hAnsi="Arial"/>
                <w:color w:val="2C3E50"/>
                <w:sz w:val="20"/>
                <w:szCs w:val="20"/>
              </w:rPr>
              <w:t xml:space="preserve">Grid connection queue average 5.5 years [Research: UK report]</w:t>
            </w:r>
          </w:p>
          <w:p>
            <w:pPr>
              <w:pStyle w:val="ListParagraph"/>
              <w:numPr>
                <w:ilvl w:val="0"/>
                <w:numId w:val="2"/>
              </w:numPr>
              <w:spacing w:after="80"/>
            </w:pPr>
            <w:r>
              <w:rPr>
                <w:rFonts w:ascii="Arial" w:cs="Arial" w:eastAsia="Arial" w:hAnsi="Arial"/>
                <w:color w:val="2C3E50"/>
                <w:sz w:val="20"/>
                <w:szCs w:val="20"/>
              </w:rPr>
              <w:t xml:space="preserve">87x increase in grid standing charges since 2022 [Research: UK report]</w:t>
            </w:r>
          </w:p>
          <w:p>
            <w:pPr>
              <w:pStyle w:val="ListParagraph"/>
              <w:numPr>
                <w:ilvl w:val="0"/>
                <w:numId w:val="2"/>
              </w:numPr>
              <w:spacing w:after="80"/>
            </w:pPr>
            <w:r>
              <w:rPr>
                <w:rFonts w:ascii="Arial" w:cs="Arial" w:eastAsia="Arial" w:hAnsi="Arial"/>
                <w:color w:val="2C3E50"/>
                <w:sz w:val="20"/>
                <w:szCs w:val="20"/>
              </w:rPr>
              <w:t xml:space="preserve">20% VAT vs 5% domestic; ~10x price premium over home charging</w:t>
            </w:r>
          </w:p>
          <w:p>
            <w:pPr>
              <w:pStyle w:val="ListParagraph"/>
              <w:numPr>
                <w:ilvl w:val="0"/>
                <w:numId w:val="2"/>
              </w:numPr>
              <w:spacing w:after="60"/>
            </w:pPr>
            <w:r>
              <w:rPr>
                <w:rFonts w:ascii="Arial" w:cs="Arial" w:eastAsia="Arial" w:hAnsi="Arial"/>
                <w:color w:val="2C3E50"/>
                <w:sz w:val="20"/>
                <w:szCs w:val="20"/>
              </w:rPr>
              <w:t xml:space="preserve">ZEV mandate under formal government review (Aug 2026) — binary outcome uncertainty</w:t>
            </w:r>
          </w:p>
        </w:tc>
      </w:tr>
      <w:tr>
        <w:tc>
          <w:tcPr>
            <w:tcW w:type="dxa" w:w="1400"/>
            <w:tcBorders>
              <w:top w:val="single" w:color="BDD7EE" w:sz="4"/>
              <w:left w:val="single" w:color="BDD7EE" w:sz="4"/>
              <w:bottom w:val="single" w:color="BDD7EE" w:sz="4"/>
              <w:right w:val="single" w:color="BDD7EE" w:sz="4"/>
            </w:tcBorders>
            <w:shd w:fill="DEEAF7" w:val="clear"/>
            <w:vAlign w:val="top"/>
          </w:tcPr>
          <w:p>
            <w:pPr>
              <w:spacing w:after="80" w:before="80"/>
            </w:pPr>
            <w:r>
              <w:rPr>
                <w:rFonts w:ascii="Arial" w:cs="Arial" w:eastAsia="Arial" w:hAnsi="Arial"/>
                <w:b/>
                <w:bCs/>
                <w:color w:val="1A3A5C"/>
                <w:sz w:val="21"/>
                <w:szCs w:val="21"/>
              </w:rPr>
              <w:t xml:space="preserve">United States</w:t>
            </w:r>
          </w:p>
        </w:tc>
        <w:tc>
          <w:tcPr>
            <w:tcW w:type="dxa" w:w="3980"/>
            <w:tcBorders>
              <w:top w:val="single" w:color="BDD7EE" w:sz="4"/>
              <w:left w:val="single" w:color="BDD7EE" w:sz="4"/>
              <w:bottom w:val="single" w:color="BDD7EE" w:sz="4"/>
              <w:right w:val="single" w:color="BDD7EE" w:sz="4"/>
            </w:tcBorders>
            <w:shd w:fill="F5F9FF" w:val="clear"/>
          </w:tcPr>
          <w:p>
            <w:pPr>
              <w:pStyle w:val="ListParagraph"/>
              <w:numPr>
                <w:ilvl w:val="0"/>
                <w:numId w:val="2"/>
              </w:numPr>
              <w:spacing w:after="80"/>
            </w:pPr>
            <w:r>
              <w:rPr>
                <w:rFonts w:ascii="Arial" w:cs="Arial" w:eastAsia="Arial" w:hAnsi="Arial"/>
                <w:color w:val="2C3E50"/>
                <w:sz w:val="20"/>
                <w:szCs w:val="20"/>
              </w:rPr>
              <w:t xml:space="preserve">Largest absolute fleet: ~4.8M EVs in 2023 [Dataset, 2023]</w:t>
            </w:r>
          </w:p>
          <w:p>
            <w:pPr>
              <w:pStyle w:val="ListParagraph"/>
              <w:numPr>
                <w:ilvl w:val="0"/>
                <w:numId w:val="2"/>
              </w:numPr>
              <w:spacing w:after="80"/>
            </w:pPr>
            <w:r>
              <w:rPr>
                <w:rFonts w:ascii="Arial" w:cs="Arial" w:eastAsia="Arial" w:hAnsi="Arial"/>
                <w:color w:val="2C3E50"/>
                <w:sz w:val="20"/>
                <w:szCs w:val="20"/>
              </w:rPr>
              <w:t xml:space="preserve">Market fragmenting: "Other" networks grew +44% YoY vs 20% for top-10 [Research: US report, AFDC]</w:t>
            </w:r>
          </w:p>
          <w:p>
            <w:pPr>
              <w:pStyle w:val="ListParagraph"/>
              <w:numPr>
                <w:ilvl w:val="0"/>
                <w:numId w:val="2"/>
              </w:numPr>
              <w:spacing w:after="80"/>
            </w:pPr>
            <w:r>
              <w:rPr>
                <w:rFonts w:ascii="Arial" w:cs="Arial" w:eastAsia="Arial" w:hAnsi="Arial"/>
                <w:color w:val="2C3E50"/>
                <w:sz w:val="20"/>
                <w:szCs w:val="20"/>
              </w:rPr>
              <w:t xml:space="preserve">State-level funding: CA $55M+, NY $28.5M+ [Research: US report]</w:t>
            </w:r>
          </w:p>
          <w:p>
            <w:pPr>
              <w:pStyle w:val="ListParagraph"/>
              <w:numPr>
                <w:ilvl w:val="0"/>
                <w:numId w:val="2"/>
              </w:numPr>
              <w:spacing w:after="60"/>
            </w:pPr>
            <w:r>
              <w:rPr>
                <w:rFonts w:ascii="Arial" w:cs="Arial" w:eastAsia="Arial" w:hAnsi="Arial"/>
                <w:color w:val="2C3E50"/>
                <w:sz w:val="20"/>
                <w:szCs w:val="20"/>
              </w:rPr>
              <w:t xml:space="preserve">Infrastructure 32% below IEA STEPS target — structural gap remains [Research: US report]</w:t>
            </w:r>
          </w:p>
        </w:tc>
        <w:tc>
          <w:tcPr>
            <w:tcW w:type="dxa" w:w="3980"/>
            <w:tcBorders>
              <w:top w:val="single" w:color="BDD7EE" w:sz="4"/>
              <w:left w:val="single" w:color="BDD7EE" w:sz="4"/>
              <w:bottom w:val="single" w:color="BDD7EE" w:sz="4"/>
              <w:right w:val="single" w:color="BDD7EE" w:sz="4"/>
            </w:tcBorders>
            <w:shd w:fill="FFF5F5" w:val="clear"/>
          </w:tcPr>
          <w:p>
            <w:pPr>
              <w:pStyle w:val="ListParagraph"/>
              <w:numPr>
                <w:ilvl w:val="0"/>
                <w:numId w:val="2"/>
              </w:numPr>
              <w:spacing w:after="80"/>
            </w:pPr>
            <w:r>
              <w:rPr>
                <w:rFonts w:ascii="Arial" w:cs="Arial" w:eastAsia="Arial" w:hAnsi="Arial"/>
                <w:color w:val="2C3E50"/>
                <w:sz w:val="20"/>
                <w:szCs w:val="20"/>
              </w:rPr>
              <w:t xml:space="preserve">Tax-credit expiry (Sep 2025) collapsed BEV share to ~6–7%; mid-2026 registrations down ~31% YoY (single-sourced) [Research: US report]</w:t>
            </w:r>
          </w:p>
          <w:p>
            <w:pPr>
              <w:pStyle w:val="ListParagraph"/>
              <w:numPr>
                <w:ilvl w:val="0"/>
                <w:numId w:val="2"/>
              </w:numPr>
              <w:spacing w:after="80"/>
            </w:pPr>
            <w:r>
              <w:rPr>
                <w:rFonts w:ascii="Arial" w:cs="Arial" w:eastAsia="Arial" w:hAnsi="Arial"/>
                <w:color w:val="2C3E50"/>
                <w:sz w:val="20"/>
                <w:szCs w:val="20"/>
              </w:rPr>
              <w:t xml:space="preserve">Tesla holds ~50% with sub-$45K/stall cost advantage [Research: US report]</w:t>
            </w:r>
          </w:p>
          <w:p>
            <w:pPr>
              <w:pStyle w:val="ListParagraph"/>
              <w:numPr>
                <w:ilvl w:val="0"/>
                <w:numId w:val="2"/>
              </w:numPr>
              <w:spacing w:after="80"/>
            </w:pPr>
            <w:r>
              <w:rPr>
                <w:rFonts w:ascii="Arial" w:cs="Arial" w:eastAsia="Arial" w:hAnsi="Arial"/>
                <w:color w:val="2C3E50"/>
                <w:sz w:val="20"/>
                <w:szCs w:val="20"/>
              </w:rPr>
              <w:t xml:space="preserve">IONNA (automaker-backed) targeting 30,000 sites; demand charges can consume &gt;90% of electricity costs</w:t>
            </w:r>
          </w:p>
          <w:p>
            <w:pPr>
              <w:pStyle w:val="ListParagraph"/>
              <w:numPr>
                <w:ilvl w:val="0"/>
                <w:numId w:val="2"/>
              </w:numPr>
              <w:spacing w:after="60"/>
            </w:pPr>
            <w:r>
              <w:rPr>
                <w:rFonts w:ascii="Arial" w:cs="Arial" w:eastAsia="Arial" w:hAnsi="Arial"/>
                <w:color w:val="2C3E50"/>
                <w:sz w:val="20"/>
                <w:szCs w:val="20"/>
              </w:rPr>
              <w:t xml:space="preserve">$504M NEVI funds repurposed Mar 2026; NACS+CCS1 dual-connector adds capex [Research: US report]</w:t>
            </w:r>
          </w:p>
        </w:tc>
      </w:tr>
      <w:tr>
        <w:tc>
          <w:tcPr>
            <w:tcW w:type="dxa" w:w="1400"/>
            <w:tcBorders>
              <w:top w:val="single" w:color="BDD7EE" w:sz="4"/>
              <w:left w:val="single" w:color="BDD7EE" w:sz="4"/>
              <w:bottom w:val="single" w:color="BDD7EE" w:sz="4"/>
              <w:right w:val="single" w:color="BDD7EE" w:sz="4"/>
            </w:tcBorders>
            <w:shd w:fill="DEEAF7" w:val="clear"/>
            <w:vAlign w:val="top"/>
          </w:tcPr>
          <w:p>
            <w:pPr>
              <w:spacing w:after="80" w:before="80"/>
            </w:pPr>
            <w:r>
              <w:rPr>
                <w:rFonts w:ascii="Arial" w:cs="Arial" w:eastAsia="Arial" w:hAnsi="Arial"/>
                <w:b/>
                <w:bCs/>
                <w:color w:val="1A3A5C"/>
                <w:sz w:val="21"/>
                <w:szCs w:val="21"/>
              </w:rPr>
              <w:t xml:space="preserve">Germany</w:t>
            </w:r>
          </w:p>
        </w:tc>
        <w:tc>
          <w:tcPr>
            <w:tcW w:type="dxa" w:w="3980"/>
            <w:tcBorders>
              <w:top w:val="single" w:color="BDD7EE" w:sz="4"/>
              <w:left w:val="single" w:color="BDD7EE" w:sz="4"/>
              <w:bottom w:val="single" w:color="BDD7EE" w:sz="4"/>
              <w:right w:val="single" w:color="BDD7EE" w:sz="4"/>
            </w:tcBorders>
            <w:shd w:fill="F5F9FF" w:val="clear"/>
          </w:tcPr>
          <w:p>
            <w:pPr>
              <w:pStyle w:val="ListParagraph"/>
              <w:numPr>
                <w:ilvl w:val="0"/>
                <w:numId w:val="2"/>
              </w:numPr>
              <w:spacing w:after="80"/>
            </w:pPr>
            <w:r>
              <w:rPr>
                <w:rFonts w:ascii="Arial" w:cs="Arial" w:eastAsia="Arial" w:hAnsi="Arial"/>
                <w:color w:val="2C3E50"/>
                <w:sz w:val="20"/>
                <w:szCs w:val="20"/>
              </w:rPr>
              <w:t xml:space="preserve">Largest EU BEV fleet: ~2.03M BEVs (Jan 2026) [Research: DE/FR report]</w:t>
            </w:r>
          </w:p>
          <w:p>
            <w:pPr>
              <w:pStyle w:val="ListParagraph"/>
              <w:numPr>
                <w:ilvl w:val="0"/>
                <w:numId w:val="2"/>
              </w:numPr>
              <w:spacing w:after="80"/>
            </w:pPr>
            <w:r>
              <w:rPr>
                <w:rFonts w:ascii="Arial" w:cs="Arial" w:eastAsia="Arial" w:hAnsi="Arial"/>
                <w:color w:val="2C3E50"/>
                <w:sz w:val="20"/>
                <w:szCs w:val="20"/>
              </w:rPr>
              <w:t xml:space="preserve">Deutschlandnetz policy framework provides deployment support [Research: DE/FR report]</w:t>
            </w:r>
          </w:p>
          <w:p>
            <w:pPr>
              <w:pStyle w:val="ListParagraph"/>
              <w:numPr>
                <w:ilvl w:val="0"/>
                <w:numId w:val="2"/>
              </w:numPr>
              <w:spacing w:after="60"/>
            </w:pPr>
            <w:r>
              <w:rPr>
                <w:rFonts w:ascii="Arial" w:cs="Arial" w:eastAsia="Arial" w:hAnsi="Arial"/>
                <w:color w:val="2C3E50"/>
                <w:sz w:val="20"/>
                <w:szCs w:val="20"/>
              </w:rPr>
              <w:t xml:space="preserve">Median ad-hoc price €0.59/kWh provides revenue potential; DC fast share of total public charging rose from 13% to 26% [Research: DE/FR report]</w:t>
            </w:r>
          </w:p>
        </w:tc>
        <w:tc>
          <w:tcPr>
            <w:tcW w:type="dxa" w:w="3980"/>
            <w:tcBorders>
              <w:top w:val="single" w:color="BDD7EE" w:sz="4"/>
              <w:left w:val="single" w:color="BDD7EE" w:sz="4"/>
              <w:bottom w:val="single" w:color="BDD7EE" w:sz="4"/>
              <w:right w:val="single" w:color="BDD7EE" w:sz="4"/>
            </w:tcBorders>
            <w:shd w:fill="FFF5F5" w:val="clear"/>
          </w:tcPr>
          <w:p>
            <w:pPr>
              <w:pStyle w:val="ListParagraph"/>
              <w:numPr>
                <w:ilvl w:val="0"/>
                <w:numId w:val="2"/>
              </w:numPr>
              <w:spacing w:after="80"/>
            </w:pPr>
            <w:r>
              <w:rPr>
                <w:rFonts w:ascii="Arial" w:cs="Arial" w:eastAsia="Arial" w:hAnsi="Arial"/>
                <w:color w:val="2C3E50"/>
                <w:sz w:val="20"/>
                <w:szCs w:val="20"/>
              </w:rPr>
              <w:t xml:space="preserve">EVs-per-charger ratio already at ~71 — infrastructure gap closing fast [Research: DE/FR report]</w:t>
            </w:r>
          </w:p>
          <w:p>
            <w:pPr>
              <w:pStyle w:val="ListParagraph"/>
              <w:numPr>
                <w:ilvl w:val="0"/>
                <w:numId w:val="2"/>
              </w:numPr>
              <w:spacing w:after="80"/>
            </w:pPr>
            <w:r>
              <w:rPr>
                <w:rFonts w:ascii="Arial" w:cs="Arial" w:eastAsia="Arial" w:hAnsi="Arial"/>
                <w:color w:val="2C3E50"/>
                <w:sz w:val="20"/>
                <w:szCs w:val="20"/>
              </w:rPr>
              <w:t xml:space="preserve">EnBW + Tesla dominate; Allego take-private ($1.5B) signals consolidation favouring scale</w:t>
            </w:r>
          </w:p>
          <w:p>
            <w:pPr>
              <w:pStyle w:val="ListParagraph"/>
              <w:numPr>
                <w:ilvl w:val="0"/>
                <w:numId w:val="2"/>
              </w:numPr>
              <w:spacing w:after="60"/>
            </w:pPr>
            <w:r>
              <w:rPr>
                <w:rFonts w:ascii="Arial" w:cs="Arial" w:eastAsia="Arial" w:hAnsi="Arial"/>
                <w:color w:val="2C3E50"/>
                <w:sz w:val="20"/>
                <w:szCs w:val="20"/>
              </w:rPr>
              <w:t xml:space="preserve">Grocery-retailer subsidised charging compresses ad-hoc margins [Research: DE/FR report]</w:t>
            </w:r>
          </w:p>
        </w:tc>
      </w:tr>
      <w:tr>
        <w:tc>
          <w:tcPr>
            <w:tcW w:type="dxa" w:w="1400"/>
            <w:tcBorders>
              <w:top w:val="single" w:color="BDD7EE" w:sz="4"/>
              <w:left w:val="single" w:color="BDD7EE" w:sz="4"/>
              <w:bottom w:val="single" w:color="BDD7EE" w:sz="4"/>
              <w:right w:val="single" w:color="BDD7EE" w:sz="4"/>
            </w:tcBorders>
            <w:shd w:fill="DEEAF7" w:val="clear"/>
            <w:vAlign w:val="top"/>
          </w:tcPr>
          <w:p>
            <w:pPr>
              <w:spacing w:after="80" w:before="80"/>
            </w:pPr>
            <w:r>
              <w:rPr>
                <w:rFonts w:ascii="Arial" w:cs="Arial" w:eastAsia="Arial" w:hAnsi="Arial"/>
                <w:b/>
                <w:bCs/>
                <w:color w:val="1A3A5C"/>
                <w:sz w:val="21"/>
                <w:szCs w:val="21"/>
              </w:rPr>
              <w:t xml:space="preserve">France</w:t>
            </w:r>
          </w:p>
        </w:tc>
        <w:tc>
          <w:tcPr>
            <w:tcW w:type="dxa" w:w="3980"/>
            <w:tcBorders>
              <w:top w:val="single" w:color="BDD7EE" w:sz="4"/>
              <w:left w:val="single" w:color="BDD7EE" w:sz="4"/>
              <w:bottom w:val="single" w:color="BDD7EE" w:sz="4"/>
              <w:right w:val="single" w:color="BDD7EE" w:sz="4"/>
            </w:tcBorders>
            <w:shd w:fill="F5F9FF" w:val="clear"/>
          </w:tcPr>
          <w:p>
            <w:pPr>
              <w:pStyle w:val="ListParagraph"/>
              <w:numPr>
                <w:ilvl w:val="0"/>
                <w:numId w:val="2"/>
              </w:numPr>
              <w:spacing w:after="80"/>
            </w:pPr>
            <w:r>
              <w:rPr>
                <w:rFonts w:ascii="Arial" w:cs="Arial" w:eastAsia="Arial" w:hAnsi="Arial"/>
                <w:color w:val="2C3E50"/>
                <w:sz w:val="20"/>
                <w:szCs w:val="20"/>
              </w:rPr>
              <w:t xml:space="preserve">Strongest BEV momentum: +62.9% YoY H1 2026 [Research: DE/FR report, ACEA]; 38.8% BEV share Aug 2026 [Research: DE/FR report, Avere-France]</w:t>
            </w:r>
          </w:p>
          <w:p>
            <w:pPr>
              <w:pStyle w:val="ListParagraph"/>
              <w:numPr>
                <w:ilvl w:val="0"/>
                <w:numId w:val="2"/>
              </w:numPr>
              <w:spacing w:after="80"/>
            </w:pPr>
            <w:r>
              <w:rPr>
                <w:rFonts w:ascii="Arial" w:cs="Arial" w:eastAsia="Arial" w:hAnsi="Arial"/>
                <w:color w:val="2C3E50"/>
                <w:sz w:val="20"/>
                <w:szCs w:val="20"/>
              </w:rPr>
              <w:t xml:space="preserve">More fragmented operator landscape than Germany — suits mid-size entrant</w:t>
            </w:r>
          </w:p>
          <w:p>
            <w:pPr>
              <w:pStyle w:val="ListParagraph"/>
              <w:numPr>
                <w:ilvl w:val="0"/>
                <w:numId w:val="2"/>
              </w:numPr>
              <w:spacing w:after="80"/>
            </w:pPr>
            <w:r>
              <w:rPr>
                <w:rFonts w:ascii="Arial" w:cs="Arial" w:eastAsia="Arial" w:hAnsi="Arial"/>
                <w:color w:val="2C3E50"/>
                <w:sz w:val="20"/>
                <w:szCs w:val="20"/>
              </w:rPr>
              <w:t xml:space="preserve">ADVENIR + France 2030 subsidies &gt;€800M; ADVENIR programme runs to 2030 [Research: DE/FR report, Avere-France]</w:t>
            </w:r>
          </w:p>
          <w:p>
            <w:pPr>
              <w:pStyle w:val="ListParagraph"/>
              <w:numPr>
                <w:ilvl w:val="0"/>
                <w:numId w:val="2"/>
              </w:numPr>
              <w:spacing w:after="60"/>
            </w:pPr>
            <w:r>
              <w:rPr>
                <w:rFonts w:ascii="Arial" w:cs="Arial" w:eastAsia="Arial" w:hAnsi="Arial"/>
                <w:color w:val="2C3E50"/>
                <w:sz w:val="20"/>
                <w:szCs w:val="20"/>
              </w:rPr>
              <w:t xml:space="preserve">Motorway master plan creates concession pipeline [Research: DE/FR report]</w:t>
            </w:r>
          </w:p>
        </w:tc>
        <w:tc>
          <w:tcPr>
            <w:tcW w:type="dxa" w:w="3980"/>
            <w:tcBorders>
              <w:top w:val="single" w:color="BDD7EE" w:sz="4"/>
              <w:left w:val="single" w:color="BDD7EE" w:sz="4"/>
              <w:bottom w:val="single" w:color="BDD7EE" w:sz="4"/>
              <w:right w:val="single" w:color="BDD7EE" w:sz="4"/>
            </w:tcBorders>
            <w:shd w:fill="FFF5F5" w:val="clear"/>
          </w:tcPr>
          <w:p>
            <w:pPr>
              <w:pStyle w:val="ListParagraph"/>
              <w:numPr>
                <w:ilvl w:val="0"/>
                <w:numId w:val="2"/>
              </w:numPr>
              <w:spacing w:after="80"/>
            </w:pPr>
            <w:r>
              <w:rPr>
                <w:rFonts w:ascii="Arial" w:cs="Arial" w:eastAsia="Arial" w:hAnsi="Arial"/>
                <w:color w:val="2C3E50"/>
                <w:sz w:val="20"/>
                <w:szCs w:val="20"/>
              </w:rPr>
              <w:t xml:space="preserve">TotalEnergies entrenched on motorways (850 pts, 380 MW) [Research: DE/FR report]</w:t>
            </w:r>
          </w:p>
          <w:p>
            <w:pPr>
              <w:pStyle w:val="ListParagraph"/>
              <w:numPr>
                <w:ilvl w:val="0"/>
                <w:numId w:val="2"/>
              </w:numPr>
              <w:spacing w:after="80"/>
            </w:pPr>
            <w:r>
              <w:rPr>
                <w:rFonts w:ascii="Arial" w:cs="Arial" w:eastAsia="Arial" w:hAnsi="Arial"/>
                <w:color w:val="2C3E50"/>
                <w:sz w:val="20"/>
                <w:szCs w:val="20"/>
              </w:rPr>
              <w:t xml:space="preserve">Lower absolute fleet size (~1.3M BEVs) vs Germany [Research: DE/FR report]</w:t>
            </w:r>
          </w:p>
          <w:p>
            <w:pPr>
              <w:pStyle w:val="ListParagraph"/>
              <w:numPr>
                <w:ilvl w:val="0"/>
                <w:numId w:val="2"/>
              </w:numPr>
              <w:spacing w:after="60"/>
            </w:pPr>
            <w:r>
              <w:rPr>
                <w:rFonts w:ascii="Arial" w:cs="Arial" w:eastAsia="Arial" w:hAnsi="Arial"/>
                <w:color w:val="2C3E50"/>
                <w:sz w:val="20"/>
                <w:szCs w:val="20"/>
              </w:rPr>
              <w:t xml:space="preserve">IEA baseline &gt;22 kW vs Avere-France 150 kW+ — true DC fast stock is larger than HPC-only count; payback est. 6–12 years</w:t>
            </w:r>
          </w:p>
        </w:tc>
      </w:tr>
    </w:tbl>
    <w:p>
      <w:pPr>
        <w:pStyle w:val="Caption"/>
      </w:pPr>
      <w:r>
        <w:rPr>
          <w:i/>
          <w:iCs/>
          <w:color w:val="546E7A"/>
          <w:sz w:val="18"/>
          <w:szCs w:val="18"/>
        </w:rPr>
        <w:t xml:space="preserve">Table 3: Opportunities and Risks by Market. Sources: [Research: UK report]; [Research: US report]; [Research: DE/FR report].</w:t>
      </w:r>
    </w:p>
    <w:p>
      <w:pPr>
        <w:pStyle w:val="Heading1"/>
      </w:pPr>
      <w:r>
        <w:t xml:space="preserve">A.6  Supporting Evidence</w:t>
      </w:r>
    </w:p>
    <w:p>
      <w:pPr>
        <w:pStyle w:val="Heading2"/>
      </w:pPr>
      <w:r>
        <w:t xml:space="preserve">Dataset Evidence — IEA Global EV Data 2024 (Historical through 2023)</w:t>
      </w:r>
    </w:p>
    <w:p>
      <w:pPr>
        <w:pStyle w:val="BodyText"/>
        <w:numPr>
          <w:ilvl w:val="0"/>
          <w:numId w:val="2"/>
        </w:numPr>
        <w:spacing w:after="100"/>
      </w:pPr>
      <w:r>
        <w:rPr>
          <w:color w:val="2C3E50"/>
        </w:rPr>
        <w:t xml:space="preserve">UK: ~1.58M EVs, ~10,000 fast chargers (&gt;22 kW), 158 EVs/charger, 24% all-plug-in sales share [Dataset, 2023]</w:t>
      </w:r>
    </w:p>
    <w:p>
      <w:pPr>
        <w:pStyle w:val="BodyText"/>
        <w:numPr>
          <w:ilvl w:val="0"/>
          <w:numId w:val="2"/>
        </w:numPr>
        <w:spacing w:after="100"/>
      </w:pPr>
      <w:r>
        <w:rPr>
          <w:color w:val="2C3E50"/>
        </w:rPr>
        <w:t xml:space="preserve">US: ~4.8M EVs, ~43,000 fast chargers (&gt;22 kW), 112 EVs/charger, 10% all-plug-in sales share [Dataset, 2023]</w:t>
      </w:r>
    </w:p>
    <w:p>
      <w:pPr>
        <w:pStyle w:val="BodyText"/>
        <w:numPr>
          <w:ilvl w:val="0"/>
          <w:numId w:val="2"/>
        </w:numPr>
        <w:spacing w:after="100"/>
      </w:pPr>
      <w:r>
        <w:rPr>
          <w:color w:val="2C3E50"/>
        </w:rPr>
        <w:t xml:space="preserve">Germany: ~2.5M EVs, ~21,000 fast chargers (&gt;22 kW), 119 EVs/charger, 24% all-plug-in sales share [Dataset, 2023]</w:t>
      </w:r>
    </w:p>
    <w:p>
      <w:pPr>
        <w:pStyle w:val="BodyText"/>
        <w:numPr>
          <w:ilvl w:val="0"/>
          <w:numId w:val="2"/>
        </w:numPr>
        <w:spacing w:after="100"/>
      </w:pPr>
      <w:r>
        <w:rPr>
          <w:color w:val="2C3E50"/>
        </w:rPr>
        <w:t xml:space="preserve">France: ~1.57M EVs, ~20,000 fast chargers (&gt;22 kW), 79 EVs/charger, 25% all-plug-in sales share [Dataset, 2023]</w:t>
      </w:r>
    </w:p>
    <w:p>
      <w:pPr>
        <w:pStyle w:val="BodyText"/>
        <w:numPr>
          <w:ilvl w:val="0"/>
          <w:numId w:val="2"/>
        </w:numPr>
        <w:spacing w:after="100"/>
      </w:pPr>
      <w:r>
        <w:rPr>
          <w:color w:val="2C3E50"/>
        </w:rPr>
        <w:t xml:space="preserve">IEA STEPS scenario: ~42M US EVs by 2030 [Dataset, projection]. Note: IEA projections are scenario outputs, not forecasts, and predate key policy changes (US credit expiry Sep 2025; German Umweltbonus cancellation Dec 2023).</w:t>
      </w:r>
    </w:p>
    <w:p>
      <w:pPr>
        <w:pStyle w:val="Heading2"/>
      </w:pPr>
      <w:r>
        <w:t xml:space="preserve">External Research Evidence (2025–2026)</w:t>
      </w:r>
    </w:p>
    <w:p>
      <w:pPr>
        <w:pStyle w:val="BodyText"/>
        <w:numPr>
          <w:ilvl w:val="0"/>
          <w:numId w:val="2"/>
        </w:numPr>
        <w:spacing w:after="100"/>
      </w:pPr>
      <w:r>
        <w:rPr>
          <w:color w:val="2C3E50"/>
        </w:rPr>
        <w:t xml:space="preserve">UK: BEV parc grew from ~1.33M (end-2024) to ~2.1M (mid-2026) — a 58% increase, not a doubling (see Section B.3, Claim A). 50 kW+ chargers nearly tripled to 28,887. Top 3 independent operators raised £460M+ [Research: UK report].</w:t>
      </w:r>
    </w:p>
    <w:p>
      <w:pPr>
        <w:pStyle w:val="BodyText"/>
        <w:numPr>
          <w:ilvl w:val="0"/>
          <w:numId w:val="2"/>
        </w:numPr>
        <w:spacing w:after="100"/>
      </w:pPr>
      <w:r>
        <w:rPr>
          <w:color w:val="2C3E50"/>
        </w:rPr>
        <w:t xml:space="preserve">US: 75,000+ DC fast ports by mid-2026, but 32% below IEA STEPS target. Tesla share declining below 50%. National DC fast utilisation ~16%. Growth decelerating in 2026 (see Section B.3, Claim B) [Research: US report, AFDC].</w:t>
      </w:r>
    </w:p>
    <w:p>
      <w:pPr>
        <w:pStyle w:val="BodyText"/>
        <w:numPr>
          <w:ilvl w:val="0"/>
          <w:numId w:val="2"/>
        </w:numPr>
        <w:spacing w:after="100"/>
      </w:pPr>
      <w:r>
        <w:rPr>
          <w:color w:val="2C3E50"/>
        </w:rPr>
        <w:t xml:space="preserve">Germany: DC fast chargers grew from ~21,000 (2023 IEA baseline) to 54,341 by Jul 2026 (+159%). BEV share recovered to 19.1% in 2025 [Research: DE/FR report, Bundesnetzagentur/VDA].</w:t>
      </w:r>
    </w:p>
    <w:p>
      <w:pPr>
        <w:pStyle w:val="BodyText"/>
        <w:numPr>
          <w:ilvl w:val="0"/>
          <w:numId w:val="2"/>
        </w:numPr>
        <w:spacing w:after="100"/>
      </w:pPr>
      <w:r>
        <w:rPr>
          <w:color w:val="2C3E50"/>
        </w:rPr>
        <w:t xml:space="preserve">France: 31,335 HPC points (150 kW+) by Feb 2025, +58% YoY. BEV sales +62.9% in H1 2026. ADVENIR subsidy programme runs to 2030 [Research: DE/FR report, Avere-France/ACEA].</w:t>
      </w:r>
    </w:p>
    <w:p>
      <w:pPr>
        <w:pStyle w:val="Heading1"/>
      </w:pPr>
      <w:r>
        <w:t xml:space="preserve">A.7  Confidence and Limitations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0B2AA" w:sz="10"/>
              <w:left w:val="single" w:color="20B2AA" w:sz="10"/>
              <w:bottom w:val="none" w:color="FFFFFF" w:sz="0"/>
              <w:right w:val="none" w:color="FFFFFF" w:sz="0"/>
            </w:tcBorders>
            <w:shd w:fill="F0FFFE" w:val="clear"/>
          </w:tcPr>
          <w:p>
            <w:pPr>
              <w:spacing w:after="80" w:before="120"/>
            </w:pPr>
            <w:r>
              <w:rPr>
                <w:rFonts w:ascii="Arial" w:cs="Arial" w:eastAsia="Arial" w:hAnsi="Arial"/>
                <w:b/>
                <w:bCs/>
                <w:color w:val="1A3A5C"/>
                <w:sz w:val="22"/>
                <w:szCs w:val="22"/>
              </w:rPr>
              <w:t xml:space="preserve">Overall Confidence: </w:t>
            </w:r>
            <w:r>
              <w:rPr>
                <w:rFonts w:ascii="Arial" w:cs="Arial" w:eastAsia="Arial" w:hAnsi="Arial"/>
                <w:b/>
                <w:bCs/>
                <w:color w:val="20B2AA"/>
                <w:sz w:val="22"/>
                <w:szCs w:val="22"/>
              </w:rPr>
              <w:t xml:space="preserve">MEDIUM</w:t>
            </w:r>
          </w:p>
          <w:p>
            <w:pPr>
              <w:spacing w:after="100" w:before="0"/>
            </w:pPr>
            <w:r>
              <w:rPr>
                <w:rFonts w:ascii="Arial" w:cs="Arial" w:eastAsia="Arial" w:hAnsi="Arial"/>
                <w:color w:val="2C3E50"/>
                <w:sz w:val="20"/>
                <w:szCs w:val="20"/>
              </w:rPr>
              <w:t xml:space="preserve">Directional conclusions are well-supported by official statistics (IEA, SMMT, AFDC, Bundesnetzagentur, ACEA), but three material weaknesses reduce precision: inconsistent charger definitions across markets, a factually incorrect “doubled” claim in the UK report, and an internal inconsistency in the US report’s growth-rate headline. See Section B for full evaluation.</w:t>
            </w:r>
          </w:p>
        </w:tc>
      </w:tr>
    </w:tbl>
    <w:p>
      <w:pPr>
        <w:pStyle w:val="BodyText"/>
      </w:pPr>
      <w:r>
        <w:t xml:space="preserve"/>
      </w:r>
    </w:p>
    <w:p>
      <w:pPr>
        <w:pStyle w:val="Heading2"/>
      </w:pPr>
      <w:r>
        <w:t xml:space="preserve">Limitations</w:t>
      </w:r>
    </w:p>
    <w:p>
      <w:pPr>
        <w:pStyle w:val="BodyText"/>
        <w:numPr>
          <w:ilvl w:val="0"/>
          <w:numId w:val="2"/>
        </w:numPr>
        <w:spacing w:after="100"/>
      </w:pPr>
      <w:r>
        <w:rPr>
          <w:color w:val="2C3E50"/>
        </w:rPr>
        <w:t xml:space="preserve">Charger definitions differ across sources (IEA &gt;22 kW; UK DfT 50 kW+; France Avere-France 150 kW+ HPC; US AFDC DC fast). These cannot be compared directly — each figure is labelled with its definition throughout.</w:t>
      </w:r>
    </w:p>
    <w:p>
      <w:pPr>
        <w:pStyle w:val="BodyText"/>
        <w:numPr>
          <w:ilvl w:val="0"/>
          <w:numId w:val="2"/>
        </w:numPr>
        <w:spacing w:after="100"/>
      </w:pPr>
      <w:r>
        <w:rPr>
          <w:color w:val="2C3E50"/>
        </w:rPr>
        <w:t xml:space="preserve">Utilisation data is incomplete. Only the UK (all-public-charger average, Zapmap) and US (DC fast) have published figures. Germany and France utilisation is absent from our sources.</w:t>
      </w:r>
    </w:p>
    <w:p>
      <w:pPr>
        <w:pStyle w:val="BodyText"/>
        <w:numPr>
          <w:ilvl w:val="0"/>
          <w:numId w:val="2"/>
        </w:numPr>
        <w:spacing w:after="100"/>
      </w:pPr>
      <w:r>
        <w:rPr>
          <w:color w:val="2C3E50"/>
        </w:rPr>
        <w:t xml:space="preserve">IEA projections for 2025+ are scenario outputs, not forecasts, and predate the US tax-credit expiration (Sep 2025) and the German Umweltbonus cancellation (Dec 2023). Actual trajectories have diverged materially.</w:t>
      </w:r>
    </w:p>
    <w:p>
      <w:pPr>
        <w:pStyle w:val="BodyText"/>
        <w:numPr>
          <w:ilvl w:val="0"/>
          <w:numId w:val="2"/>
        </w:numPr>
        <w:spacing w:after="100"/>
      </w:pPr>
      <w:r>
        <w:rPr>
          <w:color w:val="2C3E50"/>
        </w:rPr>
        <w:t xml:space="preserve">Competitive landscape data is point-in-time (UK mid-2026, US Sep 2026, Germany end-2024, France May 2025) and may not reflect the most recent M&amp;A or deployment changes.</w:t>
      </w:r>
    </w:p>
    <w:p>
      <w:pPr>
        <w:pStyle w:val="BodyText"/>
        <w:numPr>
          <w:ilvl w:val="0"/>
          <w:numId w:val="2"/>
        </w:numPr>
        <w:spacing w:after="100"/>
      </w:pPr>
      <w:r>
        <w:rPr>
          <w:color w:val="2C3E50"/>
        </w:rPr>
        <w:t xml:space="preserve">This analysis does not cover home/workplace charging, commercial vehicles, investment/financial modelling, or predictions beyond 2030.</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Pr>
          <w:p>
            <w:pPr>
              <w:spacing w:after="160" w:before="160"/>
              <w:jc w:val="center"/>
            </w:pPr>
            <w:r>
              <w:rPr>
                <w:rFonts w:ascii="Arial" w:cs="Arial" w:eastAsia="Arial" w:hAnsi="Arial"/>
                <w:b/>
                <w:bCs/>
                <w:color w:val="FFFFFF"/>
                <w:sz w:val="30"/>
                <w:szCs w:val="30"/>
              </w:rPr>
              <w:t xml:space="preserve">SECTION B: RELIABILITY EVALUATION</w:t>
            </w:r>
          </w:p>
        </w:tc>
      </w:tr>
    </w:tbl>
    <w:p>
      <w:pPr>
        <w:pStyle w:val="BodyText"/>
      </w:pPr>
      <w:r>
        <w:t xml:space="preserve"/>
      </w:r>
    </w:p>
    <w:p>
      <w:pPr>
        <w:pStyle w:val="BodyText"/>
      </w:pPr>
      <w:r>
        <w:rPr>
          <w:color w:val="2C3E50"/>
        </w:rPr>
        <w:t xml:space="preserve">This section evaluates the five most decision-relevant insights from the Market Analysis, fact-checks three specific claims from the research reports, states an overall confidence level, and logs all corrections applied during review. Every figure retains its source label.</w:t>
      </w:r>
    </w:p>
    <w:p>
      <w:pPr>
        <w:pStyle w:val="Heading1"/>
      </w:pPr>
      <w:r>
        <w:t xml:space="preserve">B.1  Five Most Decision-Relevant Insights — Reliability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
        <w:gridCol w:w="1460"/>
        <w:gridCol w:w="1460"/>
        <w:gridCol w:w="1360"/>
        <w:gridCol w:w="1280"/>
        <w:gridCol w:w="1380"/>
        <w:gridCol w:w="980"/>
        <w:gridCol w:w="420"/>
      </w:tblGrid>
      <w:tr>
        <w:trPr>
          <w:tblHeader/>
        </w:trPr>
        <w:tc>
          <w:tcPr>
            <w:tcW w:type="dxa" w:w="420"/>
            <w:tcBorders>
              <w:top w:val="single" w:color="BDD7EE" w:sz="4"/>
              <w:left w:val="single" w:color="BDD7EE" w:sz="4"/>
              <w:bottom w:val="single" w:color="BDD7EE" w:sz="4"/>
              <w:right w:val="single" w:color="BDD7EE" w:sz="4"/>
            </w:tcBorders>
            <w:shd w:fill="1A3A5C" w:val="clear"/>
          </w:tcPr>
          <w:p>
            <w:pPr>
              <w:spacing w:after="50" w:before="50"/>
              <w:jc w:val="center"/>
            </w:pPr>
            <w:r>
              <w:rPr>
                <w:rFonts w:ascii="Arial" w:cs="Arial" w:eastAsia="Arial" w:hAnsi="Arial"/>
                <w:b/>
                <w:bCs/>
                <w:color w:val="FFFFFF"/>
                <w:sz w:val="18"/>
                <w:szCs w:val="18"/>
              </w:rPr>
              <w:t xml:space="preserve">#</w:t>
            </w:r>
          </w:p>
        </w:tc>
        <w:tc>
          <w:tcPr>
            <w:tcW w:type="dxa" w:w="1460"/>
            <w:tcBorders>
              <w:top w:val="single" w:color="BDD7EE" w:sz="4"/>
              <w:left w:val="single" w:color="BDD7EE" w:sz="4"/>
              <w:bottom w:val="single" w:color="BDD7EE" w:sz="4"/>
              <w:right w:val="single" w:color="BDD7EE" w:sz="4"/>
            </w:tcBorders>
            <w:shd w:fill="1A3A5C" w:val="clear"/>
          </w:tcPr>
          <w:p>
            <w:pPr>
              <w:spacing w:after="50" w:before="50"/>
              <w:jc w:val="center"/>
            </w:pPr>
            <w:r>
              <w:rPr>
                <w:rFonts w:ascii="Arial" w:cs="Arial" w:eastAsia="Arial" w:hAnsi="Arial"/>
                <w:b/>
                <w:bCs/>
                <w:color w:val="FFFFFF"/>
                <w:sz w:val="18"/>
                <w:szCs w:val="18"/>
              </w:rPr>
              <w:t xml:space="preserve">Insight</w:t>
            </w:r>
          </w:p>
        </w:tc>
        <w:tc>
          <w:tcPr>
            <w:tcW w:type="dxa" w:w="1460"/>
            <w:tcBorders>
              <w:top w:val="single" w:color="BDD7EE" w:sz="4"/>
              <w:left w:val="single" w:color="BDD7EE" w:sz="4"/>
              <w:bottom w:val="single" w:color="BDD7EE" w:sz="4"/>
              <w:right w:val="single" w:color="BDD7EE" w:sz="4"/>
            </w:tcBorders>
            <w:shd w:fill="1A3A5C" w:val="clear"/>
          </w:tcPr>
          <w:p>
            <w:pPr>
              <w:spacing w:after="50" w:before="50"/>
              <w:jc w:val="center"/>
            </w:pPr>
            <w:r>
              <w:rPr>
                <w:rFonts w:ascii="Arial" w:cs="Arial" w:eastAsia="Arial" w:hAnsi="Arial"/>
                <w:b/>
                <w:bCs/>
                <w:color w:val="FFFFFF"/>
                <w:sz w:val="18"/>
                <w:szCs w:val="18"/>
              </w:rPr>
              <w:t xml:space="preserve">Dataset Evidence</w:t>
            </w:r>
          </w:p>
        </w:tc>
        <w:tc>
          <w:tcPr>
            <w:tcW w:type="dxa" w:w="1360"/>
            <w:tcBorders>
              <w:top w:val="single" w:color="BDD7EE" w:sz="4"/>
              <w:left w:val="single" w:color="BDD7EE" w:sz="4"/>
              <w:bottom w:val="single" w:color="BDD7EE" w:sz="4"/>
              <w:right w:val="single" w:color="BDD7EE" w:sz="4"/>
            </w:tcBorders>
            <w:shd w:fill="1A3A5C" w:val="clear"/>
          </w:tcPr>
          <w:p>
            <w:pPr>
              <w:spacing w:after="50" w:before="50"/>
              <w:jc w:val="center"/>
            </w:pPr>
            <w:r>
              <w:rPr>
                <w:rFonts w:ascii="Arial" w:cs="Arial" w:eastAsia="Arial" w:hAnsi="Arial"/>
                <w:b/>
                <w:bCs/>
                <w:color w:val="FFFFFF"/>
                <w:sz w:val="18"/>
                <w:szCs w:val="18"/>
              </w:rPr>
              <w:t xml:space="preserve">Research Evidence</w:t>
            </w:r>
          </w:p>
        </w:tc>
        <w:tc>
          <w:tcPr>
            <w:tcW w:type="dxa" w:w="1280"/>
            <w:tcBorders>
              <w:top w:val="single" w:color="BDD7EE" w:sz="4"/>
              <w:left w:val="single" w:color="BDD7EE" w:sz="4"/>
              <w:bottom w:val="single" w:color="BDD7EE" w:sz="4"/>
              <w:right w:val="single" w:color="BDD7EE" w:sz="4"/>
            </w:tcBorders>
            <w:shd w:fill="1A3A5C" w:val="clear"/>
          </w:tcPr>
          <w:p>
            <w:pPr>
              <w:spacing w:after="50" w:before="50"/>
              <w:jc w:val="center"/>
            </w:pPr>
            <w:r>
              <w:rPr>
                <w:rFonts w:ascii="Arial" w:cs="Arial" w:eastAsia="Arial" w:hAnsi="Arial"/>
                <w:b/>
                <w:bCs/>
                <w:color w:val="FFFFFF"/>
                <w:sz w:val="18"/>
                <w:szCs w:val="18"/>
              </w:rPr>
              <w:t xml:space="preserve">Gaps / Assumptions</w:t>
            </w:r>
          </w:p>
        </w:tc>
        <w:tc>
          <w:tcPr>
            <w:tcW w:type="dxa" w:w="1380"/>
            <w:tcBorders>
              <w:top w:val="single" w:color="BDD7EE" w:sz="4"/>
              <w:left w:val="single" w:color="BDD7EE" w:sz="4"/>
              <w:bottom w:val="single" w:color="BDD7EE" w:sz="4"/>
              <w:right w:val="single" w:color="BDD7EE" w:sz="4"/>
            </w:tcBorders>
            <w:shd w:fill="1A3A5C" w:val="clear"/>
          </w:tcPr>
          <w:p>
            <w:pPr>
              <w:spacing w:after="50" w:before="50"/>
              <w:jc w:val="center"/>
            </w:pPr>
            <w:r>
              <w:rPr>
                <w:rFonts w:ascii="Arial" w:cs="Arial" w:eastAsia="Arial" w:hAnsi="Arial"/>
                <w:b/>
                <w:bCs/>
                <w:color w:val="FFFFFF"/>
                <w:sz w:val="18"/>
                <w:szCs w:val="18"/>
              </w:rPr>
              <w:t xml:space="preserve">Source Quality</w:t>
            </w:r>
          </w:p>
        </w:tc>
        <w:tc>
          <w:tcPr>
            <w:tcW w:type="dxa" w:w="980"/>
            <w:tcBorders>
              <w:top w:val="single" w:color="BDD7EE" w:sz="4"/>
              <w:left w:val="single" w:color="BDD7EE" w:sz="4"/>
              <w:bottom w:val="single" w:color="BDD7EE" w:sz="4"/>
              <w:right w:val="single" w:color="BDD7EE" w:sz="4"/>
            </w:tcBorders>
            <w:shd w:fill="1A3A5C" w:val="clear"/>
          </w:tcPr>
          <w:p>
            <w:pPr>
              <w:spacing w:after="50" w:before="50"/>
              <w:jc w:val="center"/>
            </w:pPr>
            <w:r>
              <w:rPr>
                <w:rFonts w:ascii="Arial" w:cs="Arial" w:eastAsia="Arial" w:hAnsi="Arial"/>
                <w:b/>
                <w:bCs/>
                <w:color w:val="FFFFFF"/>
                <w:sz w:val="18"/>
                <w:szCs w:val="18"/>
              </w:rPr>
              <w:t xml:space="preserve">Timeliness</w:t>
            </w:r>
          </w:p>
        </w:tc>
        <w:tc>
          <w:tcPr>
            <w:tcW w:type="dxa" w:w="420"/>
            <w:tcBorders>
              <w:top w:val="single" w:color="BDD7EE" w:sz="4"/>
              <w:left w:val="single" w:color="BDD7EE" w:sz="4"/>
              <w:bottom w:val="single" w:color="BDD7EE" w:sz="4"/>
              <w:right w:val="single" w:color="BDD7EE" w:sz="4"/>
            </w:tcBorders>
            <w:shd w:fill="1A3A5C" w:val="clear"/>
          </w:tcPr>
          <w:p>
            <w:pPr>
              <w:spacing w:after="50" w:before="50"/>
              <w:jc w:val="center"/>
            </w:pPr>
            <w:r>
              <w:rPr>
                <w:rFonts w:ascii="Arial" w:cs="Arial" w:eastAsia="Arial" w:hAnsi="Arial"/>
                <w:b/>
                <w:bCs/>
                <w:color w:val="FFFFFF"/>
                <w:sz w:val="18"/>
                <w:szCs w:val="18"/>
              </w:rPr>
              <w:t xml:space="preserve">Conf.</w:t>
            </w:r>
          </w:p>
        </w:tc>
      </w:tr>
      <w:tr>
        <w:tc>
          <w:tcPr>
            <w:tcW w:type="dxa" w:w="42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bCs/>
                <w:color w:val="2C3E50"/>
                <w:sz w:val="19"/>
                <w:szCs w:val="19"/>
              </w:rPr>
              <w:t xml:space="preserve">1</w:t>
            </w:r>
          </w:p>
        </w:tc>
        <w:tc>
          <w:tcPr>
            <w:tcW w:type="dxa" w:w="146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bCs/>
                <w:color w:val="2C3E50"/>
                <w:sz w:val="18"/>
                <w:szCs w:val="18"/>
              </w:rPr>
              <w:t xml:space="preserve">Infrastructure outpacing fleet growth in all markets, compressing EVs-per-charger ratios (UK: 158→66; DE: 119→71; FR: 79→46; US: 112→96-106)</w:t>
            </w:r>
          </w:p>
        </w:tc>
        <w:tc>
          <w:tcPr>
            <w:tcW w:type="dxa" w:w="146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UK: 158 ratio [Dataset, 2023]. DE: 119 [Dataset, 2023]. FR: 79 [Dataset, 2023]. US: 112 [Dataset, 2023].</w:t>
            </w:r>
          </w:p>
        </w:tc>
        <w:tc>
          <w:tcPr>
            <w:tcW w:type="dxa" w:w="136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UK ~66 (Jul 2026, DfT). DE ~71 (Jul 2025, Bundesnetzagentur). FR ~46 (Feb 2025, Avere-France). US ~96-106 (AFDC).</w:t>
            </w:r>
          </w:p>
        </w:tc>
        <w:tc>
          <w:tcPr>
            <w:tcW w:type="dxa" w:w="128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Charger definitions differ across all comparisons. Fleet denominator shifts between BEV+PHEV (dataset) and BEV-only (some research). No utilisation data for DE/FR.</w:t>
            </w:r>
          </w:p>
        </w:tc>
        <w:tc>
          <w:tcPr>
            <w:tcW w:type="dxa" w:w="138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Official statistics (IEA, DfT, Bundesnetzagentur, Avere-France, AFDC) — all high quality.</w:t>
            </w:r>
          </w:p>
        </w:tc>
        <w:tc>
          <w:tcPr>
            <w:tcW w:type="dxa" w:w="98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2023 (IEA) → Jul 2026 (DfT)</w:t>
            </w:r>
          </w:p>
        </w:tc>
        <w:tc>
          <w:tcPr>
            <w:tcW w:type="dxa" w:w="420"/>
            <w:tcBorders>
              <w:top w:val="single" w:color="BDD7EE" w:sz="4"/>
              <w:left w:val="single" w:color="BDD7EE" w:sz="4"/>
              <w:bottom w:val="single" w:color="BDD7EE" w:sz="4"/>
              <w:right w:val="single" w:color="BDD7EE" w:sz="4"/>
            </w:tcBorders>
            <w:shd w:fill="2E7D8A" w:val="clear"/>
            <w:vAlign w:val="center"/>
          </w:tcPr>
          <w:p>
            <w:pPr>
              <w:spacing w:after="40" w:before="40"/>
              <w:jc w:val="center"/>
            </w:pPr>
            <w:r>
              <w:rPr>
                <w:rFonts w:ascii="Arial" w:cs="Arial" w:eastAsia="Arial" w:hAnsi="Arial"/>
                <w:b/>
                <w:bCs/>
                <w:color w:val="FFFFFF"/>
                <w:sz w:val="18"/>
                <w:szCs w:val="18"/>
              </w:rPr>
              <w:t xml:space="preserve">MED</w:t>
            </w:r>
          </w:p>
        </w:tc>
      </w:tr>
      <w:tr>
        <w:tc>
          <w:tcPr>
            <w:tcW w:type="dxa" w:w="42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bCs/>
                <w:color w:val="2C3E50"/>
                <w:sz w:val="19"/>
                <w:szCs w:val="19"/>
              </w:rPr>
              <w:t xml:space="preserve">2</w:t>
            </w:r>
          </w:p>
        </w:tc>
        <w:tc>
          <w:tcPr>
            <w:tcW w:type="dxa" w:w="146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bCs/>
                <w:color w:val="2C3E50"/>
                <w:sz w:val="18"/>
                <w:szCs w:val="18"/>
              </w:rPr>
              <w:t xml:space="preserve">Tesla dominates US DC fast charging (~50%, 37,995 of 76,236 ports) but share is declining; "Other" category growing fastest (+44% YoY)</w:t>
            </w:r>
          </w:p>
        </w:tc>
        <w:tc>
          <w:tcPr>
            <w:tcW w:type="dxa" w:w="146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val="false"/>
                <w:bCs w:val="false"/>
                <w:color w:val="2C3E50"/>
                <w:sz w:val="17"/>
                <w:szCs w:val="17"/>
              </w:rPr>
              <w:t xml:space="preserve">~43K total US fast chargers in 2023 [Dataset, 2023]. No operator breakdown in dataset.</w:t>
            </w:r>
          </w:p>
        </w:tc>
        <w:tc>
          <w:tcPr>
            <w:tcW w:type="dxa" w:w="136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val="false"/>
                <w:bCs w:val="false"/>
                <w:color w:val="2C3E50"/>
                <w:sz w:val="17"/>
                <w:szCs w:val="17"/>
              </w:rPr>
              <w:t xml:space="preserve">Tesla 49.8% (Sep 2026), down from 54.6% (Jul 2025). "Other" grew 44% YoY [Research: US report, AFDC].</w:t>
            </w:r>
          </w:p>
        </w:tc>
        <w:tc>
          <w:tcPr>
            <w:tcW w:type="dxa" w:w="128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val="false"/>
                <w:bCs w:val="false"/>
                <w:color w:val="2C3E50"/>
                <w:sz w:val="17"/>
                <w:szCs w:val="17"/>
              </w:rPr>
              <w:t xml:space="preserve">No revenue or utilisation per operator. AFDC data is self-reported. Tesla open-access share not broken out.</w:t>
            </w:r>
          </w:p>
        </w:tc>
        <w:tc>
          <w:tcPr>
            <w:tcW w:type="dxa" w:w="138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val="false"/>
                <w:bCs w:val="false"/>
                <w:color w:val="2C3E50"/>
                <w:sz w:val="17"/>
                <w:szCs w:val="17"/>
              </w:rPr>
              <w:t xml:space="preserve">AFDC (industry tracker) — high quality for port counts; self-reported, minor lags possible.</w:t>
            </w:r>
          </w:p>
        </w:tc>
        <w:tc>
          <w:tcPr>
            <w:tcW w:type="dxa" w:w="98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val="false"/>
                <w:bCs w:val="false"/>
                <w:color w:val="2C3E50"/>
                <w:sz w:val="17"/>
                <w:szCs w:val="17"/>
              </w:rPr>
              <w:t xml:space="preserve">Jul 2025 → Sep 2026</w:t>
            </w:r>
          </w:p>
        </w:tc>
        <w:tc>
          <w:tcPr>
            <w:tcW w:type="dxa" w:w="420"/>
            <w:tcBorders>
              <w:top w:val="single" w:color="BDD7EE" w:sz="4"/>
              <w:left w:val="single" w:color="BDD7EE" w:sz="4"/>
              <w:bottom w:val="single" w:color="BDD7EE" w:sz="4"/>
              <w:right w:val="single" w:color="BDD7EE" w:sz="4"/>
            </w:tcBorders>
            <w:shd w:fill="2E7D8A" w:val="clear"/>
            <w:vAlign w:val="center"/>
          </w:tcPr>
          <w:p>
            <w:pPr>
              <w:spacing w:after="40" w:before="40"/>
              <w:jc w:val="center"/>
            </w:pPr>
            <w:r>
              <w:rPr>
                <w:rFonts w:ascii="Arial" w:cs="Arial" w:eastAsia="Arial" w:hAnsi="Arial"/>
                <w:b/>
                <w:bCs/>
                <w:color w:val="FFFFFF"/>
                <w:sz w:val="18"/>
                <w:szCs w:val="18"/>
              </w:rPr>
              <w:t xml:space="preserve">MED+</w:t>
            </w:r>
          </w:p>
        </w:tc>
      </w:tr>
      <w:tr>
        <w:tc>
          <w:tcPr>
            <w:tcW w:type="dxa" w:w="42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bCs/>
                <w:color w:val="2C3E50"/>
                <w:sz w:val="19"/>
                <w:szCs w:val="19"/>
              </w:rPr>
              <w:t xml:space="preserve">3</w:t>
            </w:r>
          </w:p>
        </w:tc>
        <w:tc>
          <w:tcPr>
            <w:tcW w:type="dxa" w:w="146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bCs/>
                <w:color w:val="2C3E50"/>
                <w:sz w:val="18"/>
                <w:szCs w:val="18"/>
              </w:rPr>
              <w:t xml:space="preserve">UK BEV sales running 5-8pp below ZEV mandate targets (2026), with mandate under formal government review (Aug 2026)</w:t>
            </w:r>
          </w:p>
        </w:tc>
        <w:tc>
          <w:tcPr>
            <w:tcW w:type="dxa" w:w="146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UK EV sales share: 24% (all plug-ins, BEV+PHEV) [Dataset, 2023]. Note: not comparable to BEV-only research figures.</w:t>
            </w:r>
          </w:p>
        </w:tc>
        <w:tc>
          <w:tcPr>
            <w:tcW w:type="dxa" w:w="136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BEV-only shares: 19.6% (2024), 23.4% (2025), ~25% H1 2026 [Research: UK report, SMMT]. ZEV targets: 28% (2025), 33% (2026), 52% (2028) [Research: UK report, UK Gov]. Gap vs target: -5.6pp (2026 est.)</w:t>
            </w:r>
          </w:p>
        </w:tc>
        <w:tc>
          <w:tcPr>
            <w:tcW w:type="dxa" w:w="128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Dataset (24%, BEV+PHEV) and research (BEV-only) cover different powertrains — not directly comparable. Mandate review outcome unknown. Compliance flexibilities mean enforcement is softer than headline gap suggests.</w:t>
            </w:r>
          </w:p>
        </w:tc>
        <w:tc>
          <w:tcPr>
            <w:tcW w:type="dxa" w:w="138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Official statistics (SMMT, UK Gov legislation) — high quality.</w:t>
            </w:r>
          </w:p>
        </w:tc>
        <w:tc>
          <w:tcPr>
            <w:tcW w:type="dxa" w:w="98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2023 (Dataset) → Aug 2026 (UK Gov review)</w:t>
            </w:r>
          </w:p>
        </w:tc>
        <w:tc>
          <w:tcPr>
            <w:tcW w:type="dxa" w:w="420"/>
            <w:tcBorders>
              <w:top w:val="single" w:color="BDD7EE" w:sz="4"/>
              <w:left w:val="single" w:color="BDD7EE" w:sz="4"/>
              <w:bottom w:val="single" w:color="BDD7EE" w:sz="4"/>
              <w:right w:val="single" w:color="BDD7EE" w:sz="4"/>
            </w:tcBorders>
            <w:shd w:fill="2E7D8A" w:val="clear"/>
            <w:vAlign w:val="center"/>
          </w:tcPr>
          <w:p>
            <w:pPr>
              <w:spacing w:after="40" w:before="40"/>
              <w:jc w:val="center"/>
            </w:pPr>
            <w:r>
              <w:rPr>
                <w:rFonts w:ascii="Arial" w:cs="Arial" w:eastAsia="Arial" w:hAnsi="Arial"/>
                <w:b/>
                <w:bCs/>
                <w:color w:val="FFFFFF"/>
                <w:sz w:val="18"/>
                <w:szCs w:val="18"/>
              </w:rPr>
              <w:t xml:space="preserve">MED</w:t>
            </w:r>
          </w:p>
        </w:tc>
      </w:tr>
      <w:tr>
        <w:tc>
          <w:tcPr>
            <w:tcW w:type="dxa" w:w="42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bCs/>
                <w:color w:val="2C3E50"/>
                <w:sz w:val="19"/>
                <w:szCs w:val="19"/>
              </w:rPr>
              <w:t xml:space="preserve">4</w:t>
            </w:r>
          </w:p>
        </w:tc>
        <w:tc>
          <w:tcPr>
            <w:tcW w:type="dxa" w:w="146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bCs/>
                <w:color w:val="2C3E50"/>
                <w:sz w:val="18"/>
                <w:szCs w:val="18"/>
              </w:rPr>
              <w:t xml:space="preserve">US EV demand collapsed after the $7,500 federal tax credit expired Sep 2025; BEV share fell below 6% by Q4 2025; registrations down ~31% YoY mid-2026</w:t>
            </w:r>
          </w:p>
        </w:tc>
        <w:tc>
          <w:tcPr>
            <w:tcW w:type="dxa" w:w="146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val="false"/>
                <w:bCs w:val="false"/>
                <w:color w:val="2C3E50"/>
                <w:sz w:val="17"/>
                <w:szCs w:val="17"/>
              </w:rPr>
              <w:t xml:space="preserve">US EV sales share: 9.5% (all plug-ins) [Dataset, 2023]. IEA STEPS: ~42M US EVs by 2030 [Dataset, projection].</w:t>
            </w:r>
          </w:p>
        </w:tc>
        <w:tc>
          <w:tcPr>
            <w:tcW w:type="dxa" w:w="136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val="false"/>
                <w:bCs w:val="false"/>
                <w:color w:val="2C3E50"/>
                <w:sz w:val="17"/>
                <w:szCs w:val="17"/>
              </w:rPr>
              <w:t xml:space="preserve">BEV share hit 12% Sep 2025, collapsed to &lt;6% Q4 2025. Mid-2026 registrations -31% YoY. US ~half IEA STEPS pace [Research: US report].</w:t>
            </w:r>
          </w:p>
        </w:tc>
        <w:tc>
          <w:tcPr>
            <w:tcW w:type="dxa" w:w="128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val="false"/>
                <w:bCs w:val="false"/>
                <w:color w:val="2C3E50"/>
                <w:sz w:val="17"/>
                <w:szCs w:val="17"/>
              </w:rPr>
              <w:t xml:space="preserve">The 31% YoY decline is single-sourced. No month-by-month data in dataset. No data on state incentive offset of federal credit loss.</w:t>
            </w:r>
          </w:p>
        </w:tc>
        <w:tc>
          <w:tcPr>
            <w:tcW w:type="dxa" w:w="138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val="false"/>
                <w:bCs w:val="false"/>
                <w:color w:val="2C3E50"/>
                <w:sz w:val="17"/>
                <w:szCs w:val="17"/>
              </w:rPr>
              <w:t xml:space="preserve">IEA projections (official scenario, not forecast); registration data from industry press (medium quality — specific sourcing unclear for 31% figure).</w:t>
            </w:r>
          </w:p>
        </w:tc>
        <w:tc>
          <w:tcPr>
            <w:tcW w:type="dxa" w:w="980"/>
            <w:tcBorders>
              <w:top w:val="single" w:color="BDD7EE" w:sz="4"/>
              <w:left w:val="single" w:color="BDD7EE" w:sz="4"/>
              <w:bottom w:val="single" w:color="BDD7EE" w:sz="4"/>
              <w:right w:val="single" w:color="BDD7EE" w:sz="4"/>
            </w:tcBorders>
            <w:shd w:fill="FFFFFF" w:val="clear"/>
          </w:tcPr>
          <w:p>
            <w:pPr>
              <w:spacing w:after="40" w:before="40"/>
            </w:pPr>
            <w:r>
              <w:rPr>
                <w:rFonts w:ascii="Arial" w:cs="Arial" w:eastAsia="Arial" w:hAnsi="Arial"/>
                <w:b w:val="false"/>
                <w:bCs w:val="false"/>
                <w:color w:val="2C3E50"/>
                <w:sz w:val="17"/>
                <w:szCs w:val="17"/>
              </w:rPr>
              <w:t xml:space="preserve">2023 (Dataset) → mid-2026 (US report)</w:t>
            </w:r>
          </w:p>
        </w:tc>
        <w:tc>
          <w:tcPr>
            <w:tcW w:type="dxa" w:w="420"/>
            <w:tcBorders>
              <w:top w:val="single" w:color="BDD7EE" w:sz="4"/>
              <w:left w:val="single" w:color="BDD7EE" w:sz="4"/>
              <w:bottom w:val="single" w:color="BDD7EE" w:sz="4"/>
              <w:right w:val="single" w:color="BDD7EE" w:sz="4"/>
            </w:tcBorders>
            <w:shd w:fill="2E7D8A" w:val="clear"/>
            <w:vAlign w:val="center"/>
          </w:tcPr>
          <w:p>
            <w:pPr>
              <w:spacing w:after="40" w:before="40"/>
              <w:jc w:val="center"/>
            </w:pPr>
            <w:r>
              <w:rPr>
                <w:rFonts w:ascii="Arial" w:cs="Arial" w:eastAsia="Arial" w:hAnsi="Arial"/>
                <w:b/>
                <w:bCs/>
                <w:color w:val="FFFFFF"/>
                <w:sz w:val="18"/>
                <w:szCs w:val="18"/>
              </w:rPr>
              <w:t xml:space="preserve">MED</w:t>
            </w:r>
          </w:p>
        </w:tc>
      </w:tr>
      <w:tr>
        <w:tc>
          <w:tcPr>
            <w:tcW w:type="dxa" w:w="42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bCs/>
                <w:color w:val="2C3E50"/>
                <w:sz w:val="19"/>
                <w:szCs w:val="19"/>
              </w:rPr>
              <w:t xml:space="preserve">5</w:t>
            </w:r>
          </w:p>
        </w:tc>
        <w:tc>
          <w:tcPr>
            <w:tcW w:type="dxa" w:w="146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bCs/>
                <w:color w:val="2C3E50"/>
                <w:sz w:val="18"/>
                <w:szCs w:val="18"/>
              </w:rPr>
              <w:t xml:space="preserve">France shows strongest near-term BEV momentum (+62.9% YoY H1 2026, 38.8% share Aug 2026), with &gt;€800M in subsidies (ADVENIR to 2030) and fragmented competitive landscape</w:t>
            </w:r>
          </w:p>
        </w:tc>
        <w:tc>
          <w:tcPr>
            <w:tcW w:type="dxa" w:w="146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France ~1.57M EVs (BEV+PHEV), ~20K fast chargers (&gt;22 kW), ~16% BEV sales share [Dataset, 2023].</w:t>
            </w:r>
          </w:p>
        </w:tc>
        <w:tc>
          <w:tcPr>
            <w:tcW w:type="dxa" w:w="136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BEV registrations +62.9% YoY H1 2026 [Research: DE/FR report, ACEA]. Aug 2026 BEV share 38.8% [Avere-France]. ADVENIR + France 2030 &gt;€800M; ADVENIR runs to 2030 [Avere-France]. Installation pace -27% H1 2026 [TechTimes].</w:t>
            </w:r>
          </w:p>
        </w:tc>
        <w:tc>
          <w:tcPr>
            <w:tcW w:type="dxa" w:w="128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62.9% is ACEA EU-wide; France-specific breakdown may differ. -27% installation slowdown is single-sourced (tech press). No utilisation data. Subsidy continuation beyond 2027 uncertain.</w:t>
            </w:r>
          </w:p>
        </w:tc>
        <w:tc>
          <w:tcPr>
            <w:tcW w:type="dxa" w:w="138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ACEA (official industry body — high quality); Avere-France (official EV association — high quality); TechTimes for -27% (tech press — medium quality).</w:t>
            </w:r>
          </w:p>
        </w:tc>
        <w:tc>
          <w:tcPr>
            <w:tcW w:type="dxa" w:w="980"/>
            <w:tcBorders>
              <w:top w:val="single" w:color="BDD7EE" w:sz="4"/>
              <w:left w:val="single" w:color="BDD7EE" w:sz="4"/>
              <w:bottom w:val="single" w:color="BDD7EE" w:sz="4"/>
              <w:right w:val="single" w:color="BDD7EE" w:sz="4"/>
            </w:tcBorders>
            <w:shd w:fill="EBF3FB" w:val="clear"/>
          </w:tcPr>
          <w:p>
            <w:pPr>
              <w:spacing w:after="40" w:before="40"/>
            </w:pPr>
            <w:r>
              <w:rPr>
                <w:rFonts w:ascii="Arial" w:cs="Arial" w:eastAsia="Arial" w:hAnsi="Arial"/>
                <w:b w:val="false"/>
                <w:bCs w:val="false"/>
                <w:color w:val="2C3E50"/>
                <w:sz w:val="17"/>
                <w:szCs w:val="17"/>
              </w:rPr>
              <w:t xml:space="preserve">2023 (Dataset) → Aug 2026 (Avere-France)</w:t>
            </w:r>
          </w:p>
        </w:tc>
        <w:tc>
          <w:tcPr>
            <w:tcW w:type="dxa" w:w="420"/>
            <w:tcBorders>
              <w:top w:val="single" w:color="BDD7EE" w:sz="4"/>
              <w:left w:val="single" w:color="BDD7EE" w:sz="4"/>
              <w:bottom w:val="single" w:color="BDD7EE" w:sz="4"/>
              <w:right w:val="single" w:color="BDD7EE" w:sz="4"/>
            </w:tcBorders>
            <w:shd w:fill="2E7D8A" w:val="clear"/>
            <w:vAlign w:val="center"/>
          </w:tcPr>
          <w:p>
            <w:pPr>
              <w:spacing w:after="40" w:before="40"/>
              <w:jc w:val="center"/>
            </w:pPr>
            <w:r>
              <w:rPr>
                <w:rFonts w:ascii="Arial" w:cs="Arial" w:eastAsia="Arial" w:hAnsi="Arial"/>
                <w:b/>
                <w:bCs/>
                <w:color w:val="FFFFFF"/>
                <w:sz w:val="18"/>
                <w:szCs w:val="18"/>
              </w:rPr>
              <w:t xml:space="preserve">MED</w:t>
            </w:r>
          </w:p>
        </w:tc>
      </w:tr>
    </w:tbl>
    <w:p>
      <w:pPr>
        <w:pStyle w:val="Caption"/>
      </w:pPr>
      <w:r>
        <w:rPr>
          <w:i/>
          <w:iCs/>
          <w:color w:val="546E7A"/>
          <w:sz w:val="18"/>
          <w:szCs w:val="18"/>
        </w:rPr>
        <w:t xml:space="preserve">Table 4: Reliability Assessment of Five Key Insights. Conf. = Confidence level. MED = Medium; MED+ = Medium-High. Insight 3 corrected: UK 2023 dataset figure is 24% (BEV+PHEV) — not comparable to BEV-only research figures; no dip claim made.</w:t>
      </w:r>
    </w:p>
    <w:p>
      <w:pPr>
        <w:pStyle w:val="Heading1"/>
      </w:pPr>
      <w:r>
        <w:t xml:space="preserve">B.2  Notes on the Reliability Table</w:t>
      </w:r>
    </w:p>
    <w:p>
      <w:pPr>
        <w:pStyle w:val="BodyText"/>
        <w:numPr>
          <w:ilvl w:val="0"/>
          <w:numId w:val="2"/>
        </w:numPr>
        <w:spacing w:after="100"/>
      </w:pPr>
      <w:r>
        <w:rPr>
          <w:color w:val="2C3E50"/>
        </w:rPr>
        <w:t xml:space="preserve">Definitional mismatches are the single biggest reliability risk. The IEA dataset uses &gt;22 kW; the UK research uses 50 kW+; France uses 150 kW+; the US uses all DC fast ports. These are not comparable, and the analysis flags this throughout.</w:t>
      </w:r>
    </w:p>
    <w:p>
      <w:pPr>
        <w:pStyle w:val="BodyText"/>
        <w:numPr>
          <w:ilvl w:val="0"/>
          <w:numId w:val="2"/>
        </w:numPr>
        <w:spacing w:after="100"/>
      </w:pPr>
      <w:r>
        <w:rPr>
          <w:color w:val="2C3E50"/>
        </w:rPr>
        <w:t xml:space="preserve">Utilisation data is thin. Only the UK provides a concrete figure (~8%, all public chargers, Zapmap — not rapid-only). Germany, France, and the US DC fast utilisation data are absent or narrow, making revenue-per-charger estimates speculative.</w:t>
      </w:r>
    </w:p>
    <w:p>
      <w:pPr>
        <w:pStyle w:val="BodyText"/>
        <w:numPr>
          <w:ilvl w:val="0"/>
          <w:numId w:val="2"/>
        </w:numPr>
        <w:spacing w:after="100"/>
      </w:pPr>
      <w:r>
        <w:rPr>
          <w:color w:val="2C3E50"/>
        </w:rPr>
        <w:t xml:space="preserve">Single-source risk affects the US demand collapse figure (31% YoY decline) and France's installation slowdown (-27%). Neither has independent corroboration in the available materials.</w:t>
      </w:r>
    </w:p>
    <w:p>
      <w:pPr>
        <w:pStyle w:val="BodyText"/>
        <w:numPr>
          <w:ilvl w:val="0"/>
          <w:numId w:val="2"/>
        </w:numPr>
        <w:spacing w:after="100"/>
      </w:pPr>
      <w:r>
        <w:rPr>
          <w:color w:val="2C3E50"/>
        </w:rPr>
        <w:t xml:space="preserve">IEA projections for 2025+ are scenario outputs, not forecasts. The analysis labels them correctly, but actual deployment has already diverged materially (US: 32% below IEA STEPS target).</w:t>
      </w:r>
    </w:p>
    <w:p>
      <w:pPr>
        <w:pStyle w:val="Heading1"/>
      </w:pPr>
      <w:r>
        <w:t xml:space="preserve">B.3  Arithmetic Fact-Checks of Three Specific Claims</w:t>
      </w:r>
    </w:p>
    <w:p>
      <w:pPr>
        <w:pStyle w:val="Heading2"/>
      </w:pPr>
      <w:r>
        <w:t xml:space="preserve">Claim A — UK BEV Parc “Doubled” from ~1.33M to ~2.1M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0"/>
              <w:left w:val="single" w:color="C62828" w:sz="10"/>
              <w:bottom w:val="none" w:color="FFFFFF" w:sz="0"/>
              <w:right w:val="none" w:color="FFFFFF" w:sz="0"/>
            </w:tcBorders>
            <w:shd w:fill="FFF5F5" w:val="clear"/>
          </w:tcPr>
          <w:p>
            <w:pPr>
              <w:spacing w:after="60" w:before="100"/>
            </w:pPr>
            <w:r>
              <w:rPr>
                <w:rFonts w:ascii="Arial" w:cs="Arial" w:eastAsia="Arial" w:hAnsi="Arial"/>
                <w:b/>
                <w:bCs/>
                <w:color w:val="1A3A5C"/>
                <w:sz w:val="22"/>
                <w:szCs w:val="22"/>
              </w:rPr>
              <w:t xml:space="preserve">Verdict: </w:t>
            </w:r>
            <w:r>
              <w:rPr>
                <w:rFonts w:ascii="Arial" w:cs="Arial" w:eastAsia="Arial" w:hAnsi="Arial"/>
                <w:b/>
                <w:bCs/>
                <w:color w:val="C62828"/>
                <w:sz w:val="22"/>
                <w:szCs w:val="22"/>
              </w:rPr>
              <w:t xml:space="preserve">Does NOT hold. </w:t>
            </w:r>
            <w:r>
              <w:rPr>
                <w:rFonts w:ascii="Arial" w:cs="Arial" w:eastAsia="Arial" w:hAnsi="Arial"/>
                <w:color w:val="2C3E50"/>
                <w:sz w:val="22"/>
                <w:szCs w:val="22"/>
              </w:rPr>
              <w:t xml:space="preserve">The word “doubled” overstates growth by a significant margin.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Data Point</w:t>
            </w:r>
          </w:p>
        </w:tc>
        <w:tc>
          <w:tcPr>
            <w:tcW w:type="dxa" w:w="308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Claimed</w:t>
            </w:r>
          </w:p>
        </w:tc>
        <w:tc>
          <w:tcPr>
            <w:tcW w:type="dxa" w:w="308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Arithmetic Check</w:t>
            </w:r>
          </w:p>
        </w:tc>
      </w:tr>
      <w:tr>
        <w:tc>
          <w:tcPr>
            <w:tcW w:type="dxa" w:w="32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End-2024 BEV parc</w:t>
            </w:r>
          </w:p>
        </w:tc>
        <w:tc>
          <w:tcPr>
            <w:tcW w:type="dxa" w:w="30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~1.33 million [Research: UK report, SMMT]</w:t>
            </w:r>
          </w:p>
        </w:tc>
        <w:tc>
          <w:tcPr>
            <w:tcW w:type="dxa" w:w="308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Accepted as baseline</w:t>
            </w:r>
          </w:p>
        </w:tc>
      </w:tr>
      <w:tr>
        <w:tc>
          <w:tcPr>
            <w:tcW w:type="dxa" w:w="32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Mid-2026 BEV parc</w:t>
            </w:r>
          </w:p>
        </w:tc>
        <w:tc>
          <w:tcPr>
            <w:tcW w:type="dxa" w:w="30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~2.1 million [Research: UK report, Electrive]</w:t>
            </w:r>
          </w:p>
        </w:tc>
        <w:tc>
          <w:tcPr>
            <w:tcW w:type="dxa" w:w="30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Accepted as latest figure</w:t>
            </w:r>
          </w:p>
        </w:tc>
      </w:tr>
      <w:tr>
        <w:tc>
          <w:tcPr>
            <w:tcW w:type="dxa" w:w="3200"/>
            <w:tcBorders>
              <w:top w:val="single" w:color="BDD7EE" w:sz="4"/>
              <w:left w:val="single" w:color="BDD7EE" w:sz="4"/>
              <w:bottom w:val="single" w:color="BDD7EE" w:sz="4"/>
              <w:right w:val="single" w:color="BDD7EE" w:sz="4"/>
            </w:tcBorders>
            <w:shd w:fill="FFF5F5" w:val="clear"/>
            <w:vAlign w:val="center"/>
          </w:tcPr>
          <w:p>
            <w:pPr>
              <w:spacing w:after="60" w:before="60"/>
              <w:jc w:val="left"/>
            </w:pPr>
            <w:r>
              <w:rPr>
                <w:rFonts w:ascii="Arial" w:cs="Arial" w:eastAsia="Arial" w:hAnsi="Arial"/>
                <w:b/>
                <w:bCs/>
                <w:color w:val="1A3A5C"/>
                <w:sz w:val="20"/>
                <w:szCs w:val="20"/>
              </w:rPr>
              <w:t xml:space="preserve">Growth factor</w:t>
            </w:r>
          </w:p>
        </w:tc>
        <w:tc>
          <w:tcPr>
            <w:tcW w:type="dxa" w:w="3080"/>
            <w:tcBorders>
              <w:top w:val="single" w:color="BDD7EE" w:sz="4"/>
              <w:left w:val="single" w:color="BDD7EE" w:sz="4"/>
              <w:bottom w:val="single" w:color="BDD7EE" w:sz="4"/>
              <w:right w:val="single" w:color="BDD7EE" w:sz="4"/>
            </w:tcBorders>
            <w:shd w:fill="FFF5F5" w:val="clear"/>
            <w:vAlign w:val="center"/>
          </w:tcPr>
          <w:p>
            <w:pPr>
              <w:spacing w:after="60" w:before="60"/>
              <w:jc w:val="left"/>
            </w:pPr>
            <w:r>
              <w:rPr>
                <w:rFonts w:ascii="Arial" w:cs="Arial" w:eastAsia="Arial" w:hAnsi="Arial"/>
                <w:b w:val="false"/>
                <w:bCs w:val="false"/>
                <w:color w:val="C62828"/>
                <w:sz w:val="20"/>
                <w:szCs w:val="20"/>
              </w:rPr>
              <w:t xml:space="preserve">Report executive summary: "doubled"</w:t>
            </w:r>
          </w:p>
        </w:tc>
        <w:tc>
          <w:tcPr>
            <w:tcW w:type="dxa" w:w="3080"/>
            <w:tcBorders>
              <w:top w:val="single" w:color="BDD7EE" w:sz="4"/>
              <w:left w:val="single" w:color="BDD7EE" w:sz="4"/>
              <w:bottom w:val="single" w:color="BDD7EE" w:sz="4"/>
              <w:right w:val="single" w:color="BDD7EE" w:sz="4"/>
            </w:tcBorders>
            <w:shd w:fill="FFF5F5" w:val="clear"/>
            <w:vAlign w:val="center"/>
          </w:tcPr>
          <w:p>
            <w:pPr>
              <w:spacing w:after="60" w:before="60"/>
              <w:jc w:val="left"/>
            </w:pPr>
            <w:r>
              <w:rPr>
                <w:rFonts w:ascii="Arial" w:cs="Arial" w:eastAsia="Arial" w:hAnsi="Arial"/>
                <w:b w:val="false"/>
                <w:bCs w:val="false"/>
                <w:color w:val="C62828"/>
                <w:sz w:val="20"/>
                <w:szCs w:val="20"/>
              </w:rPr>
              <w:t xml:space="preserve">2.1 ÷ 1.33 = 1.58× → a 58% increase. A true doubling would require ~2.66M by mid-2026. CLAIM FAILS.</w:t>
            </w:r>
          </w:p>
        </w:tc>
      </w:tr>
    </w:tbl>
    <w:p>
      <w:pPr>
        <w:pStyle w:val="BodyText"/>
        <w:spacing w:after="160" w:before="80"/>
      </w:pPr>
      <w:r>
        <w:rPr>
          <w:i/>
          <w:iCs/>
          <w:color w:val="546E7A"/>
        </w:rPr>
        <w:t xml:space="preserve">The UK report’s executive summary says the parc “doubled from ~1.3 million to over 2.1 million.” This is arithmetically incorrect. The body text is more careful (saying “expanded rapidly”), but the executive summary headline is misleading. The growth is genuinely rapid (+58%) and directionally significant; only the word “doubled” is wrong.</w:t>
      </w:r>
    </w:p>
    <w:p>
      <w:pPr>
        <w:pStyle w:val="Heading2"/>
      </w:pPr>
      <w:r>
        <w:t xml:space="preserve">Claim B — US DC Fast Ports Growing “30–35% Per Year” with ~68,000 (End-2025) and 76,236 (Sep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10"/>
              <w:left w:val="single" w:color="F57C00" w:sz="10"/>
              <w:bottom w:val="none" w:color="FFFFFF" w:sz="0"/>
              <w:right w:val="none" w:color="FFFFFF" w:sz="0"/>
            </w:tcBorders>
            <w:shd w:fill="FFF9F0" w:val="clear"/>
          </w:tcPr>
          <w:p>
            <w:pPr>
              <w:spacing w:after="60" w:before="100"/>
            </w:pPr>
            <w:r>
              <w:rPr>
                <w:rFonts w:ascii="Arial" w:cs="Arial" w:eastAsia="Arial" w:hAnsi="Arial"/>
                <w:b/>
                <w:bCs/>
                <w:color w:val="1A3A5C"/>
                <w:sz w:val="22"/>
                <w:szCs w:val="22"/>
              </w:rPr>
              <w:t xml:space="preserve">Verdict: </w:t>
            </w:r>
            <w:r>
              <w:rPr>
                <w:rFonts w:ascii="Arial" w:cs="Arial" w:eastAsia="Arial" w:hAnsi="Arial"/>
                <w:b/>
                <w:bCs/>
                <w:color w:val="F57C00"/>
                <w:sz w:val="22"/>
                <w:szCs w:val="22"/>
              </w:rPr>
              <w:t xml:space="preserve">Partially holds — </w:t>
            </w:r>
            <w:r>
              <w:rPr>
                <w:rFonts w:ascii="Arial" w:cs="Arial" w:eastAsia="Arial" w:hAnsi="Arial"/>
                <w:color w:val="2C3E50"/>
                <w:sz w:val="22"/>
                <w:szCs w:val="22"/>
              </w:rPr>
              <w:t xml:space="preserve">true for 2024→2025 only; NOT for latest period. Internal inconsistency in the report.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Period</w:t>
            </w:r>
          </w:p>
        </w:tc>
        <w:tc>
          <w:tcPr>
            <w:tcW w:type="dxa" w:w="20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From</w:t>
            </w:r>
          </w:p>
        </w:tc>
        <w:tc>
          <w:tcPr>
            <w:tcW w:type="dxa" w:w="20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To</w:t>
            </w:r>
          </w:p>
        </w:tc>
        <w:tc>
          <w:tcPr>
            <w:tcW w:type="dxa" w:w="336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Growth Rate &amp; Verdict</w:t>
            </w:r>
          </w:p>
        </w:tc>
      </w:tr>
      <w:tr>
        <w:tc>
          <w:tcPr>
            <w:tcW w:type="dxa" w:w="20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2023 → 2024</w:t>
            </w:r>
          </w:p>
        </w:tc>
        <w:tc>
          <w:tcPr>
            <w:tcW w:type="dxa" w:w="20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~43,000</w:t>
            </w:r>
          </w:p>
        </w:tc>
        <w:tc>
          <w:tcPr>
            <w:tcW w:type="dxa" w:w="20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~50,428</w:t>
            </w:r>
          </w:p>
        </w:tc>
        <w:tc>
          <w:tcPr>
            <w:tcW w:type="dxa" w:w="3360"/>
            <w:tcBorders>
              <w:top w:val="single" w:color="BDD7EE" w:sz="4"/>
              <w:left w:val="single" w:color="BDD7EE" w:sz="4"/>
              <w:bottom w:val="single" w:color="BDD7EE" w:sz="4"/>
              <w:right w:val="single" w:color="BDD7EE" w:sz="4"/>
            </w:tcBorders>
            <w:shd w:fill="FFF5F5" w:val="clear"/>
            <w:vAlign w:val="center"/>
          </w:tcPr>
          <w:p>
            <w:pPr>
              <w:spacing w:after="60" w:before="60"/>
              <w:jc w:val="left"/>
            </w:pPr>
            <w:r>
              <w:rPr>
                <w:rFonts w:ascii="Arial" w:cs="Arial" w:eastAsia="Arial" w:hAnsi="Arial"/>
                <w:b w:val="false"/>
                <w:bCs w:val="false"/>
                <w:color w:val="C62828"/>
                <w:sz w:val="20"/>
                <w:szCs w:val="20"/>
              </w:rPr>
              <w:t xml:space="preserve">+17.3% — BELOW the 30-35% claim</w:t>
            </w:r>
          </w:p>
        </w:tc>
      </w:tr>
      <w:tr>
        <w:tc>
          <w:tcPr>
            <w:tcW w:type="dxa" w:w="20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2024 → 2025</w:t>
            </w:r>
          </w:p>
        </w:tc>
        <w:tc>
          <w:tcPr>
            <w:tcW w:type="dxa" w:w="20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~50,428</w:t>
            </w:r>
          </w:p>
        </w:tc>
        <w:tc>
          <w:tcPr>
            <w:tcW w:type="dxa" w:w="20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~68,000</w:t>
            </w:r>
          </w:p>
        </w:tc>
        <w:tc>
          <w:tcPr>
            <w:tcW w:type="dxa" w:w="3360"/>
            <w:tcBorders>
              <w:top w:val="single" w:color="BDD7EE" w:sz="4"/>
              <w:left w:val="single" w:color="BDD7EE" w:sz="4"/>
              <w:bottom w:val="single" w:color="BDD7EE" w:sz="4"/>
              <w:right w:val="single" w:color="BDD7EE" w:sz="4"/>
            </w:tcBorders>
            <w:shd w:fill="F5FFF5" w:val="clear"/>
            <w:vAlign w:val="center"/>
          </w:tcPr>
          <w:p>
            <w:pPr>
              <w:spacing w:after="60" w:before="60"/>
              <w:jc w:val="left"/>
            </w:pPr>
            <w:r>
              <w:rPr>
                <w:rFonts w:ascii="Arial" w:cs="Arial" w:eastAsia="Arial" w:hAnsi="Arial"/>
                <w:b w:val="false"/>
                <w:bCs w:val="false"/>
                <w:color w:val="2E7D32"/>
                <w:sz w:val="20"/>
                <w:szCs w:val="20"/>
              </w:rPr>
              <w:t xml:space="preserve">+34.8% — WITHIN 30-35% range ✓</w:t>
            </w:r>
          </w:p>
        </w:tc>
      </w:tr>
      <w:tr>
        <w:tc>
          <w:tcPr>
            <w:tcW w:type="dxa" w:w="20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2025 → Sep 2026 (~9 months)</w:t>
            </w:r>
          </w:p>
        </w:tc>
        <w:tc>
          <w:tcPr>
            <w:tcW w:type="dxa" w:w="20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~68,000</w:t>
            </w:r>
          </w:p>
        </w:tc>
        <w:tc>
          <w:tcPr>
            <w:tcW w:type="dxa" w:w="20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76,236</w:t>
            </w:r>
          </w:p>
        </w:tc>
        <w:tc>
          <w:tcPr>
            <w:tcW w:type="dxa" w:w="3360"/>
            <w:tcBorders>
              <w:top w:val="single" w:color="BDD7EE" w:sz="4"/>
              <w:left w:val="single" w:color="BDD7EE" w:sz="4"/>
              <w:bottom w:val="single" w:color="BDD7EE" w:sz="4"/>
              <w:right w:val="single" w:color="BDD7EE" w:sz="4"/>
            </w:tcBorders>
            <w:shd w:fill="FFF5F5" w:val="clear"/>
            <w:vAlign w:val="center"/>
          </w:tcPr>
          <w:p>
            <w:pPr>
              <w:spacing w:after="60" w:before="60"/>
              <w:jc w:val="left"/>
            </w:pPr>
            <w:r>
              <w:rPr>
                <w:rFonts w:ascii="Arial" w:cs="Arial" w:eastAsia="Arial" w:hAnsi="Arial"/>
                <w:b w:val="false"/>
                <w:bCs w:val="false"/>
                <w:color w:val="C62828"/>
                <w:sz w:val="20"/>
                <w:szCs w:val="20"/>
              </w:rPr>
              <w:t xml:space="preserve">+12.1% in 9 months, annualising to ~16.5% — well below 30%. DECELERATING.</w:t>
            </w:r>
          </w:p>
        </w:tc>
      </w:tr>
    </w:tbl>
    <w:p>
      <w:pPr>
        <w:pStyle w:val="BodyText"/>
        <w:spacing w:after="160" w:before="80"/>
      </w:pPr>
      <w:r>
        <w:rPr>
          <w:i/>
          <w:iCs/>
          <w:color w:val="546E7A"/>
        </w:rPr>
        <w:t xml:space="preserve">The “30–35% annually” claim in the report executive summary is based on the 2024→2025 period and is accurate for that year. However, the report’s own data shows growth decelerating sharply in 2026. The same report provides both the 30–35% claim and the 68K/76K figures, creating an internal inconsistency that is not reconciled. A reader relying only on the executive summary headline would materially overestimate current trajectory.</w:t>
      </w:r>
    </w:p>
    <w:p>
      <w:pPr>
        <w:jc w:val="center"/>
      </w:pPr>
      <w:r>
        <w:drawing>
          <wp:inline distT="0" distB="0" distL="0" distR="0">
            <wp:extent cx="5524500" cy="2924175"/>
            <wp:effectExtent t="0" r="0" b="0" l="0"/>
            <wp:docPr id="1" name="chart3" descr="Line chart showing US DC fast port count growth 2023-2026" title="US Port Coun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24175"/>
                    </a:xfrm>
                    <a:prstGeom prst="rect">
                      <a:avLst/>
                    </a:prstGeom>
                  </pic:spPr>
                </pic:pic>
              </a:graphicData>
            </a:graphic>
          </wp:inline>
        </w:drawing>
      </w:r>
    </w:p>
    <w:p>
      <w:pPr>
        <w:pStyle w:val="Caption"/>
      </w:pPr>
      <w:r>
        <w:rPr>
          <w:i/>
          <w:iCs/>
          <w:color w:val="546E7A"/>
          <w:sz w:val="18"/>
          <w:szCs w:val="18"/>
        </w:rPr>
        <w:t xml:space="preserve">Figure 4: US DC Fast Charging Port Count Growth 2023–2026 (End-of-Year). The 30–35%/yr claim applies only to the 2024→2025 period; growth is decelerating in 2026. Source: [Research: US report, AFDC, Sep 2026].</w:t>
      </w:r>
    </w:p>
    <w:p>
      <w:pPr>
        <w:pStyle w:val="Heading2"/>
      </w:pPr>
      <w:r>
        <w:t xml:space="preserve">Claim C — Germany: ~119 EVs per Fast Charger (2023) → ~71 (mid-2025)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0B2AA" w:sz="10"/>
              <w:left w:val="single" w:color="20B2AA" w:sz="10"/>
              <w:bottom w:val="none" w:color="FFFFFF" w:sz="0"/>
              <w:right w:val="none" w:color="FFFFFF" w:sz="0"/>
            </w:tcBorders>
            <w:shd w:fill="F0FFFE" w:val="clear"/>
          </w:tcPr>
          <w:p>
            <w:pPr>
              <w:spacing w:after="60" w:before="100"/>
            </w:pPr>
            <w:r>
              <w:rPr>
                <w:rFonts w:ascii="Arial" w:cs="Arial" w:eastAsia="Arial" w:hAnsi="Arial"/>
                <w:b/>
                <w:bCs/>
                <w:color w:val="1A3A5C"/>
                <w:sz w:val="22"/>
                <w:szCs w:val="22"/>
              </w:rPr>
              <w:t xml:space="preserve">Verdict: </w:t>
            </w:r>
            <w:r>
              <w:rPr>
                <w:rFonts w:ascii="Arial" w:cs="Arial" w:eastAsia="Arial" w:hAnsi="Arial"/>
                <w:b/>
                <w:bCs/>
                <w:color w:val="20B2AA"/>
                <w:sz w:val="22"/>
                <w:szCs w:val="22"/>
              </w:rPr>
              <w:t xml:space="preserve">Arithmetically plausible, but with a definitional caveat.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Data Point</w:t>
            </w:r>
          </w:p>
        </w:tc>
        <w:tc>
          <w:tcPr>
            <w:tcW w:type="dxa" w:w="25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Figures Used</w:t>
            </w:r>
          </w:p>
        </w:tc>
        <w:tc>
          <w:tcPr>
            <w:tcW w:type="dxa" w:w="466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Arithmetic &amp; Assessment</w:t>
            </w:r>
          </w:p>
        </w:tc>
      </w:tr>
      <w:tr>
        <w:tc>
          <w:tcPr>
            <w:tcW w:type="dxa" w:w="22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bCs/>
                <w:color w:val="2C3E50"/>
                <w:sz w:val="20"/>
                <w:szCs w:val="20"/>
              </w:rPr>
              <w:t xml:space="preserve">2023 ratio</w:t>
            </w:r>
          </w:p>
        </w:tc>
        <w:tc>
          <w:tcPr>
            <w:tcW w:type="dxa" w:w="2500"/>
            <w:tcBorders>
              <w:top w:val="single" w:color="BDD7EE" w:sz="4"/>
              <w:left w:val="single" w:color="BDD7EE" w:sz="4"/>
              <w:bottom w:val="single" w:color="BDD7EE" w:sz="4"/>
              <w:right w:val="single" w:color="BDD7EE" w:sz="4"/>
            </w:tcBorders>
            <w:shd w:fill="F5F9FF" w:val="clear"/>
            <w:vAlign w:val="center"/>
          </w:tcPr>
          <w:p>
            <w:pPr>
              <w:spacing w:after="60" w:before="60"/>
              <w:jc w:val="left"/>
            </w:pPr>
            <w:r>
              <w:rPr>
                <w:rFonts w:ascii="Arial" w:cs="Arial" w:eastAsia="Arial" w:hAnsi="Arial"/>
                <w:b w:val="false"/>
                <w:bCs w:val="false"/>
                <w:color w:val="2C3E50"/>
                <w:sz w:val="20"/>
                <w:szCs w:val="20"/>
              </w:rPr>
              <w:t xml:space="preserve">~2.5M EVs (BEV+PHEV) ÷ ~21,000 fast chargers (&gt;22 kW) [Dataset, 2023]</w:t>
            </w:r>
          </w:p>
        </w:tc>
        <w:tc>
          <w:tcPr>
            <w:tcW w:type="dxa" w:w="4660"/>
            <w:tcBorders>
              <w:top w:val="single" w:color="BDD7EE" w:sz="4"/>
              <w:left w:val="single" w:color="BDD7EE" w:sz="4"/>
              <w:bottom w:val="single" w:color="BDD7EE" w:sz="4"/>
              <w:right w:val="single" w:color="BDD7EE" w:sz="4"/>
            </w:tcBorders>
            <w:shd w:fill="F5FFF5" w:val="clear"/>
            <w:vAlign w:val="center"/>
          </w:tcPr>
          <w:p>
            <w:pPr>
              <w:spacing w:after="60" w:before="60"/>
              <w:jc w:val="left"/>
            </w:pPr>
            <w:r>
              <w:rPr>
                <w:rFonts w:ascii="Arial" w:cs="Arial" w:eastAsia="Arial" w:hAnsi="Arial"/>
                <w:b w:val="false"/>
                <w:bCs w:val="false"/>
                <w:color w:val="2C3E50"/>
                <w:sz w:val="20"/>
                <w:szCs w:val="20"/>
              </w:rPr>
              <w:t xml:space="preserve">2,500,000 ÷ 21,000 = 119 EVs/charger ✓ Confirmed</w:t>
            </w:r>
          </w:p>
        </w:tc>
      </w:tr>
      <w:tr>
        <w:tc>
          <w:tcPr>
            <w:tcW w:type="dxa" w:w="22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Mid-2025 ratio</w:t>
            </w:r>
          </w:p>
        </w:tc>
        <w:tc>
          <w:tcPr>
            <w:tcW w:type="dxa" w:w="25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~2.85M EVs (est.) ÷ 40,777 DC fast pts (Bundesnetzagentur, Jul 2025) [Research: DE/FR report]</w:t>
            </w:r>
          </w:p>
        </w:tc>
        <w:tc>
          <w:tcPr>
            <w:tcW w:type="dxa" w:w="4660"/>
            <w:tcBorders>
              <w:top w:val="single" w:color="BDD7EE" w:sz="4"/>
              <w:left w:val="single" w:color="BDD7EE" w:sz="4"/>
              <w:bottom w:val="single" w:color="BDD7EE" w:sz="4"/>
              <w:right w:val="single" w:color="BDD7EE" w:sz="4"/>
            </w:tcBorders>
            <w:shd w:fill="F5FFF5" w:val="clear"/>
            <w:vAlign w:val="center"/>
          </w:tcPr>
          <w:p>
            <w:pPr>
              <w:spacing w:after="60" w:before="60"/>
              <w:jc w:val="left"/>
            </w:pPr>
            <w:r>
              <w:rPr>
                <w:rFonts w:ascii="Arial" w:cs="Arial" w:eastAsia="Arial" w:hAnsi="Arial"/>
                <w:b w:val="false"/>
                <w:bCs w:val="false"/>
                <w:color w:val="2C3E50"/>
                <w:sz w:val="20"/>
                <w:szCs w:val="20"/>
              </w:rPr>
              <w:t xml:space="preserve">2,850,000 ÷ 40,777 = ~70 — consistent with report’s ~71 ✓</w:t>
            </w:r>
          </w:p>
        </w:tc>
      </w:tr>
      <w:tr>
        <w:tc>
          <w:tcPr>
            <w:tcW w:type="dxa" w:w="2200"/>
            <w:tcBorders>
              <w:top w:val="single" w:color="BDD7EE" w:sz="4"/>
              <w:left w:val="single" w:color="BDD7EE" w:sz="4"/>
              <w:bottom w:val="single" w:color="BDD7EE" w:sz="4"/>
              <w:right w:val="single" w:color="BDD7EE" w:sz="4"/>
            </w:tcBorders>
            <w:shd w:fill="FFF9F0" w:val="clear"/>
            <w:vAlign w:val="center"/>
          </w:tcPr>
          <w:p>
            <w:pPr>
              <w:spacing w:after="60" w:before="60"/>
              <w:jc w:val="left"/>
            </w:pPr>
            <w:r>
              <w:rPr>
                <w:rFonts w:ascii="Arial" w:cs="Arial" w:eastAsia="Arial" w:hAnsi="Arial"/>
                <w:b/>
                <w:bCs/>
                <w:color w:val="2C3E50"/>
                <w:sz w:val="20"/>
                <w:szCs w:val="20"/>
              </w:rPr>
              <w:t xml:space="preserve">Definitional caveat</w:t>
            </w:r>
          </w:p>
        </w:tc>
        <w:tc>
          <w:tcPr>
            <w:tcW w:type="dxa" w:w="2500"/>
            <w:tcBorders>
              <w:top w:val="single" w:color="BDD7EE" w:sz="4"/>
              <w:left w:val="single" w:color="BDD7EE" w:sz="4"/>
              <w:bottom w:val="single" w:color="BDD7EE" w:sz="4"/>
              <w:right w:val="single" w:color="BDD7EE" w:sz="4"/>
            </w:tcBorders>
            <w:shd w:fill="FFF9F0" w:val="clear"/>
            <w:vAlign w:val="center"/>
          </w:tcPr>
          <w:p>
            <w:pPr>
              <w:spacing w:after="60" w:before="60"/>
              <w:jc w:val="left"/>
            </w:pPr>
            <w:r>
              <w:rPr>
                <w:rFonts w:ascii="Arial" w:cs="Arial" w:eastAsia="Arial" w:hAnsi="Arial"/>
                <w:b w:val="false"/>
                <w:bCs w:val="false"/>
                <w:color w:val="2C3E50"/>
                <w:sz w:val="20"/>
                <w:szCs w:val="20"/>
              </w:rPr>
              <w:t xml:space="preserve">IEA &gt;22 kW vs Bundesnetzagentur DC fast</w:t>
            </w:r>
          </w:p>
        </w:tc>
        <w:tc>
          <w:tcPr>
            <w:tcW w:type="dxa" w:w="4660"/>
            <w:tcBorders>
              <w:top w:val="single" w:color="BDD7EE" w:sz="4"/>
              <w:left w:val="single" w:color="BDD7EE" w:sz="4"/>
              <w:bottom w:val="single" w:color="BDD7EE" w:sz="4"/>
              <w:right w:val="single" w:color="BDD7EE" w:sz="4"/>
            </w:tcBorders>
            <w:shd w:fill="FFF9F0" w:val="clear"/>
            <w:vAlign w:val="center"/>
          </w:tcPr>
          <w:p>
            <w:pPr>
              <w:spacing w:after="60" w:before="60"/>
              <w:jc w:val="left"/>
            </w:pPr>
            <w:r>
              <w:rPr>
                <w:rFonts w:ascii="Arial" w:cs="Arial" w:eastAsia="Arial" w:hAnsi="Arial"/>
                <w:b w:val="false"/>
                <w:bCs w:val="false"/>
                <w:color w:val="2C3E50"/>
                <w:sz w:val="20"/>
                <w:szCs w:val="20"/>
              </w:rPr>
              <w:t xml:space="preserve">The 2023 denominator uses IEA’s &gt;22 kW definition. The mid-2025 denominator uses Bundesnetzagentur’s DC fast count. The report does not confirm these are identical thresholds. If they match, the arithmetic holds. The report flags this issue for France but NOT for Germany.</w:t>
            </w:r>
          </w:p>
        </w:tc>
      </w:tr>
    </w:tbl>
    <w:p>
      <w:pPr>
        <w:pStyle w:val="Heading1"/>
      </w:pPr>
      <w:r>
        <w:t xml:space="preserve">B.4  Overall Confidence Level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A" w:sz="16"/>
              <w:left w:val="single" w:color="2E7D8A" w:sz="16"/>
              <w:bottom w:val="single" w:color="2E7D8A" w:sz="16"/>
              <w:right w:val="single" w:color="2E7D8A" w:sz="16"/>
            </w:tcBorders>
            <w:shd w:fill="F0FFFE" w:val="clear"/>
          </w:tcPr>
          <w:p>
            <w:pPr>
              <w:spacing w:after="100" w:before="160"/>
              <w:jc w:val="center"/>
            </w:pPr>
            <w:r>
              <w:rPr>
                <w:rFonts w:ascii="Arial" w:cs="Arial" w:eastAsia="Arial" w:hAnsi="Arial"/>
                <w:b/>
                <w:bCs/>
                <w:color w:val="1A3A5C"/>
                <w:sz w:val="28"/>
                <w:szCs w:val="28"/>
              </w:rPr>
              <w:t xml:space="preserve">OVERALL CONFIDENCE: </w:t>
            </w:r>
            <w:r>
              <w:rPr>
                <w:rFonts w:ascii="Arial" w:cs="Arial" w:eastAsia="Arial" w:hAnsi="Arial"/>
                <w:b/>
                <w:bCs/>
                <w:color w:val="20B2AA"/>
                <w:sz w:val="32"/>
                <w:szCs w:val="32"/>
              </w:rPr>
              <w:t xml:space="preserve">MEDIUM</w:t>
            </w:r>
          </w:p>
          <w:p>
            <w:pPr>
              <w:spacing w:after="160" w:before="60"/>
              <w:jc w:val="center"/>
            </w:pPr>
            <w:r>
              <w:rPr>
                <w:rFonts w:ascii="Arial" w:cs="Arial" w:eastAsia="Arial" w:hAnsi="Arial"/>
                <w:i/>
                <w:iCs/>
                <w:color w:val="2C3E50"/>
                <w:sz w:val="21"/>
                <w:szCs w:val="21"/>
              </w:rPr>
              <w:t xml:space="preserve">Directional conclusions are well-supported by official statistics (IEA, SMMT, AFDC, Bundesnetzagentur, ACEA), but three material weaknesses — (1) inconsistent charger definitions across markets, (2) the UK report’s factually incorrect “doubled” claim, and (3) the US report’s internal inconsistency between its “30–35% growth” headline and its own decelerating data — mean that a decision-maker should treat specific figures with caution and request definitional alignment before using them in a business case.</w:t>
            </w:r>
          </w:p>
        </w:tc>
      </w:tr>
    </w:tbl>
    <w:p>
      <w:pPr>
        <w:pStyle w:val="BodyText"/>
      </w:pPr>
      <w:r>
        <w:t xml:space="preserve"/>
      </w:r>
    </w:p>
    <w:p>
      <w:pPr>
        <w:pStyle w:val="Heading2"/>
      </w:pPr>
      <w:r>
        <w:t xml:space="preserve">Remaining Limitations</w:t>
      </w:r>
    </w:p>
    <w:p>
      <w:pPr>
        <w:pStyle w:val="BodyText"/>
        <w:numPr>
          <w:ilvl w:val="0"/>
          <w:numId w:val="2"/>
        </w:numPr>
        <w:spacing w:after="100"/>
      </w:pPr>
      <w:r>
        <w:rPr>
          <w:color w:val="2C3E50"/>
        </w:rPr>
        <w:t xml:space="preserve">No utilisation or revenue-per-charger data for Germany, France, or the US DC fast segment — the single most important metric for an operator’s investment case is largely absent.</w:t>
      </w:r>
    </w:p>
    <w:p>
      <w:pPr>
        <w:pStyle w:val="BodyText"/>
        <w:numPr>
          <w:ilvl w:val="0"/>
          <w:numId w:val="2"/>
        </w:numPr>
        <w:spacing w:after="100"/>
      </w:pPr>
      <w:r>
        <w:rPr>
          <w:color w:val="2C3E50"/>
        </w:rPr>
        <w:t xml:space="preserve">No independent verification of operator market-share figures beyond AFDC (US) and industry trackers (EU) — these are self-reported.</w:t>
      </w:r>
    </w:p>
    <w:p>
      <w:pPr>
        <w:pStyle w:val="BodyText"/>
        <w:numPr>
          <w:ilvl w:val="0"/>
          <w:numId w:val="2"/>
        </w:numPr>
        <w:spacing w:after="100"/>
      </w:pPr>
      <w:r>
        <w:rPr>
          <w:color w:val="2C3E50"/>
        </w:rPr>
        <w:t xml:space="preserve">IEA 2025+ projections are scenarios, not forecasts, and actual deployment is already diverging materially (US: 32% below IEA STEPS target).</w:t>
      </w:r>
    </w:p>
    <w:p>
      <w:pPr>
        <w:pStyle w:val="BodyText"/>
        <w:numPr>
          <w:ilvl w:val="0"/>
          <w:numId w:val="2"/>
        </w:numPr>
        <w:spacing w:after="100"/>
      </w:pPr>
      <w:r>
        <w:rPr>
          <w:color w:val="2C3E50"/>
        </w:rPr>
        <w:t xml:space="preserve">The analysis does not cover commercial vehicle charging, which could compete for grid capacity and site locations.</w:t>
      </w:r>
    </w:p>
    <w:p>
      <w:pPr>
        <w:pStyle w:val="BodyText"/>
        <w:numPr>
          <w:ilvl w:val="0"/>
          <w:numId w:val="2"/>
        </w:numPr>
        <w:spacing w:after="100"/>
      </w:pPr>
      <w:r>
        <w:rPr>
          <w:color w:val="2C3E50"/>
        </w:rPr>
        <w:t xml:space="preserve">All three research reports were produced in 2025–2026; the dataset baseline is 2023 — a 2–3 year gap that the reports bridge with external evidence of varying quality.</w:t>
      </w:r>
    </w:p>
    <w:p>
      <w:pPr>
        <w:pStyle w:val="Heading1"/>
      </w:pPr>
      <w:r>
        <w:t xml:space="preserve">B.5  Corrections Log — Applied During Review</w:t>
      </w:r>
    </w:p>
    <w:p>
      <w:pPr>
        <w:pStyle w:val="BodyText"/>
      </w:pPr>
      <w:r>
        <w:rPr>
          <w:color w:val="2C3E50"/>
        </w:rPr>
        <w:t xml:space="preserve">The following five corrections were identified and applied by the reviewer to the Market Analysis before the Leadership Brief was finalised. All corrected versions appear in this document.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180"/>
        <w:gridCol w:w="3980"/>
      </w:tblGrid>
      <w:tr>
        <w:trPr>
          <w:tblHeader/>
        </w:trPr>
        <w:tc>
          <w:tcPr>
            <w:tcW w:type="dxa" w:w="4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w:t>
            </w:r>
          </w:p>
        </w:tc>
        <w:tc>
          <w:tcPr>
            <w:tcW w:type="dxa" w:w="180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Item</w:t>
            </w:r>
          </w:p>
        </w:tc>
        <w:tc>
          <w:tcPr>
            <w:tcW w:type="dxa" w:w="318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Original Text</w:t>
            </w:r>
          </w:p>
        </w:tc>
        <w:tc>
          <w:tcPr>
            <w:tcW w:type="dxa" w:w="3980"/>
            <w:tcBorders>
              <w:top w:val="single" w:color="BDD7EE" w:sz="4"/>
              <w:left w:val="single" w:color="BDD7EE" w:sz="4"/>
              <w:bottom w:val="single" w:color="BDD7EE" w:sz="4"/>
              <w:right w:val="single" w:color="BDD7EE" w:sz="4"/>
            </w:tcBorders>
            <w:shd w:fill="1A3A5C" w:val="clear"/>
            <w:vAlign w:val="center"/>
          </w:tcPr>
          <w:p>
            <w:pPr>
              <w:spacing w:after="60" w:before="60"/>
              <w:jc w:val="center"/>
            </w:pPr>
            <w:r>
              <w:rPr>
                <w:rFonts w:ascii="Arial" w:cs="Arial" w:eastAsia="Arial" w:hAnsi="Arial"/>
                <w:b/>
                <w:bCs/>
                <w:color w:val="FFFFFF"/>
                <w:sz w:val="20"/>
                <w:szCs w:val="20"/>
              </w:rPr>
              <w:t xml:space="preserve">Correction Applied</w:t>
            </w:r>
          </w:p>
        </w:tc>
      </w:tr>
      <w:tr>
        <w:tc>
          <w:tcPr>
            <w:tcW w:type="dxa" w:w="400"/>
            <w:tcBorders>
              <w:top w:val="single" w:color="BDD7EE" w:sz="4"/>
              <w:left w:val="single" w:color="BDD7EE" w:sz="4"/>
              <w:bottom w:val="single" w:color="BDD7EE" w:sz="4"/>
              <w:right w:val="single" w:color="BDD7EE" w:sz="4"/>
            </w:tcBorders>
            <w:shd w:fill="FFF9F0" w:val="clear"/>
            <w:vAlign w:val="center"/>
          </w:tcPr>
          <w:p>
            <w:pPr>
              <w:spacing w:after="60" w:before="60"/>
              <w:jc w:val="center"/>
            </w:pPr>
            <w:r>
              <w:rPr>
                <w:rFonts w:ascii="Arial" w:cs="Arial" w:eastAsia="Arial" w:hAnsi="Arial"/>
                <w:b/>
                <w:bCs/>
                <w:color w:val="2C3E50"/>
                <w:sz w:val="20"/>
                <w:szCs w:val="20"/>
              </w:rPr>
              <w:t xml:space="preserve">1</w:t>
            </w:r>
          </w:p>
        </w:tc>
        <w:tc>
          <w:tcPr>
            <w:tcW w:type="dxa" w:w="1800"/>
            <w:tcBorders>
              <w:top w:val="single" w:color="BDD7EE" w:sz="4"/>
              <w:left w:val="single" w:color="BDD7EE" w:sz="4"/>
              <w:bottom w:val="single" w:color="BDD7EE" w:sz="4"/>
              <w:right w:val="single" w:color="BDD7EE" w:sz="4"/>
            </w:tcBorders>
            <w:shd w:fill="FFF9F0" w:val="clear"/>
            <w:vAlign w:val="center"/>
          </w:tcPr>
          <w:p>
            <w:pPr>
              <w:spacing w:after="60" w:before="60"/>
              <w:jc w:val="left"/>
            </w:pPr>
            <w:r>
              <w:rPr>
                <w:rFonts w:ascii="Arial" w:cs="Arial" w:eastAsia="Arial" w:hAnsi="Arial"/>
                <w:b/>
                <w:bCs/>
                <w:color w:val="2C3E50"/>
                <w:sz w:val="20"/>
                <w:szCs w:val="20"/>
              </w:rPr>
              <w:t xml:space="preserve">UK 2023 EV sales share</w:t>
            </w:r>
          </w:p>
        </w:tc>
        <w:tc>
          <w:tcPr>
            <w:tcW w:type="dxa" w:w="3180"/>
            <w:tcBorders>
              <w:top w:val="single" w:color="BDD7EE" w:sz="4"/>
              <w:left w:val="single" w:color="BDD7EE" w:sz="4"/>
              <w:bottom w:val="single" w:color="BDD7EE" w:sz="4"/>
              <w:right w:val="single" w:color="BDD7EE" w:sz="4"/>
            </w:tcBorders>
            <w:shd w:fill="FFF9F0" w:val="clear"/>
            <w:vAlign w:val="center"/>
          </w:tcPr>
          <w:p>
            <w:pPr>
              <w:spacing w:after="60" w:before="60"/>
              <w:jc w:val="left"/>
            </w:pPr>
            <w:r>
              <w:rPr>
                <w:rFonts w:ascii="Arial" w:cs="Arial" w:eastAsia="Arial" w:hAnsi="Arial"/>
                <w:b w:val="false"/>
                <w:bCs w:val="false"/>
                <w:color w:val="2C3E50"/>
                <w:sz w:val="20"/>
                <w:szCs w:val="20"/>
              </w:rPr>
              <w:t xml:space="preserve">Cited as 22.3% [Dataset, 2023]; compared with BEV-only 19.6% (2024), implying a demand dip.</w:t>
            </w:r>
          </w:p>
        </w:tc>
        <w:tc>
          <w:tcPr>
            <w:tcW w:type="dxa" w:w="3980"/>
            <w:tcBorders>
              <w:top w:val="single" w:color="BDD7EE" w:sz="4"/>
              <w:left w:val="single" w:color="BDD7EE" w:sz="4"/>
              <w:bottom w:val="single" w:color="BDD7EE" w:sz="4"/>
              <w:right w:val="single" w:color="BDD7EE" w:sz="4"/>
            </w:tcBorders>
            <w:shd w:fill="FFF9F0" w:val="clear"/>
            <w:vAlign w:val="center"/>
          </w:tcPr>
          <w:p>
            <w:pPr>
              <w:spacing w:after="60" w:before="60"/>
              <w:jc w:val="left"/>
            </w:pPr>
            <w:r>
              <w:rPr>
                <w:rFonts w:ascii="Arial" w:cs="Arial" w:eastAsia="Arial" w:hAnsi="Arial"/>
                <w:b w:val="false"/>
                <w:bCs w:val="false"/>
                <w:color w:val="2C3E50"/>
                <w:sz w:val="20"/>
                <w:szCs w:val="20"/>
              </w:rPr>
              <w:t xml:space="preserve">Corrected to 24% [Dataset, 2023] (BEV+PHEV, all plug-ins). Removed dip claim: the 24% (BEV+PHEV) and 19.6% (BEV-only) cover different powertrains and are not directly comparable.</w:t>
            </w:r>
          </w:p>
        </w:tc>
      </w:tr>
      <w:tr>
        <w:tc>
          <w:tcPr>
            <w:tcW w:type="dxa" w:w="400"/>
            <w:tcBorders>
              <w:top w:val="single" w:color="BDD7EE" w:sz="4"/>
              <w:left w:val="single" w:color="BDD7EE" w:sz="4"/>
              <w:bottom w:val="single" w:color="BDD7EE" w:sz="4"/>
              <w:right w:val="single" w:color="BDD7EE" w:sz="4"/>
            </w:tcBorders>
            <w:shd w:fill="FFFFFF" w:val="clear"/>
            <w:vAlign w:val="center"/>
          </w:tcPr>
          <w:p>
            <w:pPr>
              <w:spacing w:after="60" w:before="60"/>
              <w:jc w:val="center"/>
            </w:pPr>
            <w:r>
              <w:rPr>
                <w:rFonts w:ascii="Arial" w:cs="Arial" w:eastAsia="Arial" w:hAnsi="Arial"/>
                <w:b/>
                <w:bCs/>
                <w:color w:val="2C3E50"/>
                <w:sz w:val="20"/>
                <w:szCs w:val="20"/>
              </w:rPr>
              <w:t xml:space="preserve">2</w:t>
            </w:r>
          </w:p>
        </w:tc>
        <w:tc>
          <w:tcPr>
            <w:tcW w:type="dxa" w:w="1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UK underserved regions</w:t>
            </w:r>
          </w:p>
        </w:tc>
        <w:tc>
          <w:tcPr>
            <w:tcW w:type="dxa" w:w="31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Listed as Northern Ireland, Scotland, and Wales without per-100K figures.</w:t>
            </w:r>
          </w:p>
        </w:tc>
        <w:tc>
          <w:tcPr>
            <w:tcW w:type="dxa" w:w="39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Corrected to: Northern Ireland (19.3 rapid/100K), London (27.9), Yorkshire &amp; the Humber (36.6), North East (37.1) vs UK avg 41.7 [Research: UK report, DfT Jul 2026]. Scotland removed (59.1 = best-served); Wales removed.</w:t>
            </w:r>
          </w:p>
        </w:tc>
      </w:tr>
      <w:tr>
        <w:tc>
          <w:tcPr>
            <w:tcW w:type="dxa" w:w="400"/>
            <w:tcBorders>
              <w:top w:val="single" w:color="BDD7EE" w:sz="4"/>
              <w:left w:val="single" w:color="BDD7EE" w:sz="4"/>
              <w:bottom w:val="single" w:color="BDD7EE" w:sz="4"/>
              <w:right w:val="single" w:color="BDD7EE" w:sz="4"/>
            </w:tcBorders>
            <w:shd w:fill="FFF9F0" w:val="clear"/>
            <w:vAlign w:val="center"/>
          </w:tcPr>
          <w:p>
            <w:pPr>
              <w:spacing w:after="60" w:before="60"/>
              <w:jc w:val="center"/>
            </w:pPr>
            <w:r>
              <w:rPr>
                <w:rFonts w:ascii="Arial" w:cs="Arial" w:eastAsia="Arial" w:hAnsi="Arial"/>
                <w:b/>
                <w:bCs/>
                <w:color w:val="2C3E50"/>
                <w:sz w:val="20"/>
                <w:szCs w:val="20"/>
              </w:rPr>
              <w:t xml:space="preserve">3</w:t>
            </w:r>
          </w:p>
        </w:tc>
        <w:tc>
          <w:tcPr>
            <w:tcW w:type="dxa" w:w="1800"/>
            <w:tcBorders>
              <w:top w:val="single" w:color="BDD7EE" w:sz="4"/>
              <w:left w:val="single" w:color="BDD7EE" w:sz="4"/>
              <w:bottom w:val="single" w:color="BDD7EE" w:sz="4"/>
              <w:right w:val="single" w:color="BDD7EE" w:sz="4"/>
            </w:tcBorders>
            <w:shd w:fill="FFF9F0" w:val="clear"/>
            <w:vAlign w:val="center"/>
          </w:tcPr>
          <w:p>
            <w:pPr>
              <w:spacing w:after="60" w:before="60"/>
              <w:jc w:val="left"/>
            </w:pPr>
            <w:r>
              <w:rPr>
                <w:rFonts w:ascii="Arial" w:cs="Arial" w:eastAsia="Arial" w:hAnsi="Arial"/>
                <w:b/>
                <w:bCs/>
                <w:color w:val="2C3E50"/>
                <w:sz w:val="20"/>
                <w:szCs w:val="20"/>
              </w:rPr>
              <w:t xml:space="preserve">UK utilisation scope</w:t>
            </w:r>
          </w:p>
        </w:tc>
        <w:tc>
          <w:tcPr>
            <w:tcW w:type="dxa" w:w="3180"/>
            <w:tcBorders>
              <w:top w:val="single" w:color="BDD7EE" w:sz="4"/>
              <w:left w:val="single" w:color="BDD7EE" w:sz="4"/>
              <w:bottom w:val="single" w:color="BDD7EE" w:sz="4"/>
              <w:right w:val="single" w:color="BDD7EE" w:sz="4"/>
            </w:tcBorders>
            <w:shd w:fill="FFF9F0" w:val="clear"/>
            <w:vAlign w:val="center"/>
          </w:tcPr>
          <w:p>
            <w:pPr>
              <w:spacing w:after="60" w:before="60"/>
              <w:jc w:val="left"/>
            </w:pPr>
            <w:r>
              <w:rPr>
                <w:rFonts w:ascii="Arial" w:cs="Arial" w:eastAsia="Arial" w:hAnsi="Arial"/>
                <w:b w:val="false"/>
                <w:bCs w:val="false"/>
                <w:color w:val="2C3E50"/>
                <w:sz w:val="20"/>
                <w:szCs w:val="20"/>
              </w:rPr>
              <w:t xml:space="preserve">~8% utilisation cited alongside US ~16% as if directly comparable DC fast figures.</w:t>
            </w:r>
          </w:p>
        </w:tc>
        <w:tc>
          <w:tcPr>
            <w:tcW w:type="dxa" w:w="3980"/>
            <w:tcBorders>
              <w:top w:val="single" w:color="BDD7EE" w:sz="4"/>
              <w:left w:val="single" w:color="BDD7EE" w:sz="4"/>
              <w:bottom w:val="single" w:color="BDD7EE" w:sz="4"/>
              <w:right w:val="single" w:color="BDD7EE" w:sz="4"/>
            </w:tcBorders>
            <w:shd w:fill="FFF9F0" w:val="clear"/>
            <w:vAlign w:val="center"/>
          </w:tcPr>
          <w:p>
            <w:pPr>
              <w:spacing w:after="60" w:before="60"/>
              <w:jc w:val="left"/>
            </w:pPr>
            <w:r>
              <w:rPr>
                <w:rFonts w:ascii="Arial" w:cs="Arial" w:eastAsia="Arial" w:hAnsi="Arial"/>
                <w:b w:val="false"/>
                <w:bCs w:val="false"/>
                <w:color w:val="2C3E50"/>
                <w:sz w:val="20"/>
                <w:szCs w:val="20"/>
              </w:rPr>
              <w:t xml:space="preserve">Clarified: ~8% (~2 hrs/day) is the Zapmap average for ALL UK public chargers, not rapid-only. Explicitly labelled as not directly comparable with the US ~16% DC fast figure.</w:t>
            </w:r>
          </w:p>
        </w:tc>
      </w:tr>
      <w:tr>
        <w:tc>
          <w:tcPr>
            <w:tcW w:type="dxa" w:w="400"/>
            <w:tcBorders>
              <w:top w:val="single" w:color="BDD7EE" w:sz="4"/>
              <w:left w:val="single" w:color="BDD7EE" w:sz="4"/>
              <w:bottom w:val="single" w:color="BDD7EE" w:sz="4"/>
              <w:right w:val="single" w:color="BDD7EE" w:sz="4"/>
            </w:tcBorders>
            <w:shd w:fill="FFFFFF" w:val="clear"/>
            <w:vAlign w:val="center"/>
          </w:tcPr>
          <w:p>
            <w:pPr>
              <w:spacing w:after="60" w:before="60"/>
              <w:jc w:val="center"/>
            </w:pPr>
            <w:r>
              <w:rPr>
                <w:rFonts w:ascii="Arial" w:cs="Arial" w:eastAsia="Arial" w:hAnsi="Arial"/>
                <w:b/>
                <w:bCs/>
                <w:color w:val="2C3E50"/>
                <w:sz w:val="20"/>
                <w:szCs w:val="20"/>
              </w:rPr>
              <w:t xml:space="preserve">4</w:t>
            </w:r>
          </w:p>
        </w:tc>
        <w:tc>
          <w:tcPr>
            <w:tcW w:type="dxa" w:w="180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bCs/>
                <w:color w:val="2C3E50"/>
                <w:sz w:val="20"/>
                <w:szCs w:val="20"/>
              </w:rPr>
              <w:t xml:space="preserve">UK government funding &amp; Gridserve MSA change</w:t>
            </w:r>
          </w:p>
        </w:tc>
        <w:tc>
          <w:tcPr>
            <w:tcW w:type="dxa" w:w="31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"Over £1B government funding." Gridserve described as MSA exclusivity expiring Nov 2026.</w:t>
            </w:r>
          </w:p>
        </w:tc>
        <w:tc>
          <w:tcPr>
            <w:tcW w:type="dxa" w:w="3980"/>
            <w:tcBorders>
              <w:top w:val="single" w:color="BDD7EE" w:sz="4"/>
              <w:left w:val="single" w:color="BDD7EE" w:sz="4"/>
              <w:bottom w:val="single" w:color="BDD7EE" w:sz="4"/>
              <w:right w:val="single" w:color="BDD7EE" w:sz="4"/>
            </w:tcBorders>
            <w:shd w:fill="FFFFFF" w:val="clear"/>
            <w:vAlign w:val="center"/>
          </w:tcPr>
          <w:p>
            <w:pPr>
              <w:spacing w:after="60" w:before="60"/>
              <w:jc w:val="left"/>
            </w:pPr>
            <w:r>
              <w:rPr>
                <w:rFonts w:ascii="Arial" w:cs="Arial" w:eastAsia="Arial" w:hAnsi="Arial"/>
                <w:b w:val="false"/>
                <w:bCs w:val="false"/>
                <w:color w:val="2C3E50"/>
                <w:sz w:val="20"/>
                <w:szCs w:val="20"/>
              </w:rPr>
              <w:t xml:space="preserve">Itemised: LEVI £381M (mostly slow on-street) + £400M Spending Review 2025 (strategic road network) + Ofgem £300M Green Recovery Scheme (37 MSAs). Gridserve: 2022 CMA undertaking not to enforce exclusive MSA rights after Nov 2026, covering ~two-thirds of MSAs.</w:t>
            </w:r>
          </w:p>
        </w:tc>
      </w:tr>
      <w:tr>
        <w:tc>
          <w:tcPr>
            <w:tcW w:type="dxa" w:w="400"/>
            <w:tcBorders>
              <w:top w:val="single" w:color="BDD7EE" w:sz="4"/>
              <w:left w:val="single" w:color="BDD7EE" w:sz="4"/>
              <w:bottom w:val="single" w:color="BDD7EE" w:sz="4"/>
              <w:right w:val="single" w:color="BDD7EE" w:sz="4"/>
            </w:tcBorders>
            <w:shd w:fill="FFF9F0" w:val="clear"/>
            <w:vAlign w:val="center"/>
          </w:tcPr>
          <w:p>
            <w:pPr>
              <w:spacing w:after="60" w:before="60"/>
              <w:jc w:val="center"/>
            </w:pPr>
            <w:r>
              <w:rPr>
                <w:rFonts w:ascii="Arial" w:cs="Arial" w:eastAsia="Arial" w:hAnsi="Arial"/>
                <w:b/>
                <w:bCs/>
                <w:color w:val="2C3E50"/>
                <w:sz w:val="20"/>
                <w:szCs w:val="20"/>
              </w:rPr>
              <w:t xml:space="preserve">5</w:t>
            </w:r>
          </w:p>
        </w:tc>
        <w:tc>
          <w:tcPr>
            <w:tcW w:type="dxa" w:w="1800"/>
            <w:tcBorders>
              <w:top w:val="single" w:color="BDD7EE" w:sz="4"/>
              <w:left w:val="single" w:color="BDD7EE" w:sz="4"/>
              <w:bottom w:val="single" w:color="BDD7EE" w:sz="4"/>
              <w:right w:val="single" w:color="BDD7EE" w:sz="4"/>
            </w:tcBorders>
            <w:shd w:fill="FFF9F0" w:val="clear"/>
            <w:vAlign w:val="center"/>
          </w:tcPr>
          <w:p>
            <w:pPr>
              <w:spacing w:after="60" w:before="60"/>
              <w:jc w:val="left"/>
            </w:pPr>
            <w:r>
              <w:rPr>
                <w:rFonts w:ascii="Arial" w:cs="Arial" w:eastAsia="Arial" w:hAnsi="Arial"/>
                <w:b/>
                <w:bCs/>
                <w:color w:val="2C3E50"/>
                <w:sz w:val="20"/>
                <w:szCs w:val="20"/>
              </w:rPr>
              <w:t xml:space="preserve">France ADVENIR end date</w:t>
            </w:r>
          </w:p>
        </w:tc>
        <w:tc>
          <w:tcPr>
            <w:tcW w:type="dxa" w:w="3180"/>
            <w:tcBorders>
              <w:top w:val="single" w:color="BDD7EE" w:sz="4"/>
              <w:left w:val="single" w:color="BDD7EE" w:sz="4"/>
              <w:bottom w:val="single" w:color="BDD7EE" w:sz="4"/>
              <w:right w:val="single" w:color="BDD7EE" w:sz="4"/>
            </w:tcBorders>
            <w:shd w:fill="FFF9F0" w:val="clear"/>
            <w:vAlign w:val="center"/>
          </w:tcPr>
          <w:p>
            <w:pPr>
              <w:spacing w:after="60" w:before="60"/>
              <w:jc w:val="left"/>
            </w:pPr>
            <w:r>
              <w:rPr>
                <w:rFonts w:ascii="Arial" w:cs="Arial" w:eastAsia="Arial" w:hAnsi="Arial"/>
                <w:b w:val="false"/>
                <w:bCs w:val="false"/>
                <w:color w:val="2C3E50"/>
                <w:sz w:val="20"/>
                <w:szCs w:val="20"/>
              </w:rPr>
              <w:t xml:space="preserve">ADVENIR mentioned without end date.</w:t>
            </w:r>
          </w:p>
        </w:tc>
        <w:tc>
          <w:tcPr>
            <w:tcW w:type="dxa" w:w="3980"/>
            <w:tcBorders>
              <w:top w:val="single" w:color="BDD7EE" w:sz="4"/>
              <w:left w:val="single" w:color="BDD7EE" w:sz="4"/>
              <w:bottom w:val="single" w:color="BDD7EE" w:sz="4"/>
              <w:right w:val="single" w:color="BDD7EE" w:sz="4"/>
            </w:tcBorders>
            <w:shd w:fill="FFF9F0" w:val="clear"/>
            <w:vAlign w:val="center"/>
          </w:tcPr>
          <w:p>
            <w:pPr>
              <w:spacing w:after="60" w:before="60"/>
              <w:jc w:val="left"/>
            </w:pPr>
            <w:r>
              <w:rPr>
                <w:rFonts w:ascii="Arial" w:cs="Arial" w:eastAsia="Arial" w:hAnsi="Arial"/>
                <w:b w:val="false"/>
                <w:bCs w:val="false"/>
                <w:color w:val="2C3E50"/>
                <w:sz w:val="20"/>
                <w:szCs w:val="20"/>
              </w:rPr>
              <w:t xml:space="preserve">Added: ADVENIR programme now runs to 2030 per Avere-France [Research: DE/FR report, Avere-France].</w:t>
            </w:r>
          </w:p>
        </w:tc>
      </w:tr>
    </w:tbl>
    <w:p>
      <w:pPr>
        <w:pStyle w:val="Caption"/>
      </w:pPr>
      <w:r>
        <w:rPr>
          <w:i/>
          <w:iCs/>
          <w:color w:val="546E7A"/>
          <w:sz w:val="18"/>
          <w:szCs w:val="18"/>
        </w:rPr>
        <w:t xml:space="preserve">Table 5: Corrections Log. All five corrections applied in full to this document and to the Leadership Brief v2.</w:t>
      </w:r>
    </w:p>
    <w:p>
      <w:pPr>
        <w:pStyle w:val="BodyText"/>
      </w:pPr>
      <w:r>
        <w:t xml:space="preserve"/>
      </w:r>
    </w:p>
    <w:p>
      <w:pPr>
        <w:pBdr>
          <w:bottom w:val="single" w:color="1A3A5C" w:sz="6"/>
        </w:pBdr>
        <w:spacing w:after="200" w:before="200"/>
      </w:pPr>
      <w:r>
        <w:t xml:space="preserve"/>
      </w:r>
    </w:p>
    <w:p>
      <w:pPr>
        <w:pStyle w:val="DefNote"/>
      </w:pPr>
      <w:r>
        <w:rPr>
          <w:i/>
          <w:iCs/>
          <w:color w:val="546E7A"/>
          <w:sz w:val="19"/>
          <w:szCs w:val="19"/>
        </w:rPr>
        <w:t xml:space="preserve">Scope reminder: This document covers public DC fast charging for passenger cars only. It does not constitute investment advice. No payback, NPV, or IRR figures are presented. Sources are labelled [Dataset, year] or [Research: report, date] throughout. Cross-market comparisons involving charger ratios should be treated as directionally indicative only due to definitional differences across national sources.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4"/>
            <w:left w:val="none" w:color="FFFFFF" w:sz="0"/>
            <w:bottom w:val="none" w:color="FFFFFF" w:sz="0"/>
            <w:right w:val="none" w:color="FFFFFF" w:sz="0"/>
          </w:tcBorders>
        </w:tcPr>
        <w:p>
          <w:pPr>
            <w:spacing w:after="0" w:before="60"/>
          </w:pPr>
          <w:r>
            <w:rPr>
              <w:rFonts w:ascii="Arial" w:cs="Arial" w:eastAsia="Arial" w:hAnsi="Arial"/>
              <w:i/>
              <w:iCs/>
              <w:color w:val="546E7A"/>
              <w:sz w:val="17"/>
              <w:szCs w:val="17"/>
            </w:rPr>
            <w:t xml:space="preserve">Prepared for: Mid-Size DC Fast-Charging Operator Leadership Team</w:t>
          </w:r>
        </w:p>
      </w:tc>
      <w:tc>
        <w:tcPr>
          <w:tcW w:type="dxa" w:w="4680"/>
          <w:tcBorders>
            <w:top w:val="single" w:color="BDD7EE" w:sz="4"/>
            <w:left w:val="none" w:color="FFFFFF" w:sz="0"/>
            <w:bottom w:val="none" w:color="FFFFFF" w:sz="0"/>
            <w:right w:val="none" w:color="FFFFFF" w:sz="0"/>
          </w:tcBorders>
        </w:tcPr>
        <w:p>
          <w:pPr>
            <w:spacing w:after="0" w:before="60"/>
            <w:jc w:val="right"/>
          </w:pPr>
          <w:r>
            <w:rPr>
              <w:rFonts w:ascii="Arial" w:cs="Arial" w:eastAsia="Arial" w:hAnsi="Arial"/>
              <w:color w:val="546E7A"/>
              <w:sz w:val="17"/>
              <w:szCs w:val="17"/>
            </w:rPr>
            <w:t xml:space="preserve">Page </w:t>
          </w:r>
          <w:r>
            <w:rPr>
              <w:rFonts w:ascii="Arial" w:cs="Arial" w:eastAsia="Arial" w:hAnsi="Arial"/>
              <w:color w:val="546E7A"/>
              <w:sz w:val="17"/>
              <w:szCs w:val="17"/>
            </w:rPr>
            <w:fldChar w:fldCharType="begin"/>
            <w:instrText xml:space="preserve">PAGE</w:instrText>
            <w:fldChar w:fldCharType="separate"/>
            <w:fldChar w:fldCharType="end"/>
          </w:r>
          <w:r>
            <w:rPr>
              <w:rFonts w:ascii="Arial" w:cs="Arial" w:eastAsia="Arial" w:hAnsi="Arial"/>
              <w:color w:val="546E7A"/>
              <w:sz w:val="17"/>
              <w:szCs w:val="17"/>
            </w:rPr>
            <w:t xml:space="preserve"> of </w:t>
          </w:r>
          <w:r>
            <w:rPr>
              <w:rFonts w:ascii="Arial" w:cs="Arial" w:eastAsia="Arial" w:hAnsi="Arial"/>
              <w:color w:val="546E7A"/>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single" w:color="1A3A5C" w:sz="4"/>
            <w:right w:val="none" w:color="FFFFFF" w:sz="0"/>
          </w:tcBorders>
        </w:tcPr>
        <w:p>
          <w:pPr>
            <w:spacing w:after="60" w:before="0"/>
          </w:pPr>
          <w:r>
            <w:rPr>
              <w:rFonts w:ascii="Arial" w:cs="Arial" w:eastAsia="Arial" w:hAnsi="Arial"/>
              <w:b/>
              <w:bCs/>
              <w:color w:val="1A3A5C"/>
              <w:sz w:val="18"/>
              <w:szCs w:val="18"/>
            </w:rPr>
            <w:t xml:space="preserve">Market Analysis &amp; Reliability Evaluation — EV Fast Charging 2026–2028</w:t>
          </w:r>
        </w:p>
      </w:tc>
      <w:tc>
        <w:tcPr>
          <w:tcW w:type="dxa" w:w="2560"/>
          <w:tcBorders>
            <w:top w:val="none" w:color="FFFFFF" w:sz="0"/>
            <w:left w:val="none" w:color="FFFFFF" w:sz="0"/>
            <w:bottom w:val="single" w:color="1A3A5C" w:sz="4"/>
            <w:right w:val="none" w:color="FFFFFF" w:sz="0"/>
          </w:tcBorders>
        </w:tcPr>
        <w:p>
          <w:pPr>
            <w:spacing w:after="60" w:before="0"/>
            <w:jc w:val="right"/>
          </w:pPr>
          <w:r>
            <w:rPr>
              <w:rFonts w:ascii="Arial" w:cs="Arial" w:eastAsia="Arial" w:hAnsi="Arial"/>
              <w:color w:val="546E7A"/>
              <w:sz w:val="17"/>
              <w:szCs w:val="17"/>
            </w:rPr>
            <w:t xml:space="preserve">INTERNAL — 26 September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00" w:before="200"/>
      <w:jc w:val="center"/>
    </w:pPr>
    <w:rPr>
      <w:b/>
      <w:bCs/>
      <w:color w:val="1A3A5C"/>
      <w:sz w:val="48"/>
      <w:szCs w:val="48"/>
    </w:rPr>
  </w:style>
  <w:style w:type="paragraph" w:styleId="Subtitle">
    <w:name w:val="Subtitle"/>
    <w:basedOn w:val="Normal"/>
    <w:qFormat/>
    <w:pPr>
      <w:spacing w:after="80" w:before="80"/>
      <w:jc w:val="center"/>
    </w:pPr>
    <w:rPr>
      <w:i/>
      <w:iCs/>
      <w:color w:val="546E7A"/>
      <w:sz w:val="24"/>
      <w:szCs w:val="24"/>
    </w:rPr>
  </w:style>
  <w:style w:type="paragraph" w:styleId="Heading1">
    <w:name w:val="Heading 1"/>
    <w:basedOn w:val="Normal"/>
    <w:next w:val="Normal"/>
    <w:qFormat/>
    <w:pPr>
      <w:spacing w:after="160" w:before="360"/>
      <w:outlineLvl w:val="0"/>
    </w:pPr>
    <w:rPr>
      <w:b/>
      <w:bCs/>
      <w:color w:val="1A3A5C"/>
      <w:sz w:val="34"/>
      <w:szCs w:val="34"/>
    </w:rPr>
  </w:style>
  <w:style w:type="paragraph" w:styleId="Heading2">
    <w:name w:val="Heading 2"/>
    <w:basedOn w:val="Normal"/>
    <w:next w:val="Normal"/>
    <w:qFormat/>
    <w:pPr>
      <w:spacing w:after="120" w:before="280"/>
      <w:outlineLvl w:val="1"/>
    </w:pPr>
    <w:rPr>
      <w:b/>
      <w:bCs/>
      <w:color w:val="1A3A5C"/>
      <w:sz w:val="26"/>
      <w:szCs w:val="26"/>
    </w:rPr>
  </w:style>
  <w:style w:type="paragraph" w:styleId="Heading3">
    <w:name w:val="Heading 3"/>
    <w:basedOn w:val="Normal"/>
    <w:next w:val="Normal"/>
    <w:qFormat/>
    <w:pPr>
      <w:spacing w:after="100" w:before="220"/>
      <w:outlineLvl w:val="2"/>
    </w:pPr>
    <w:rPr>
      <w:b/>
      <w:bCs/>
      <w:color w:val="2E5B8A"/>
      <w:sz w:val="23"/>
      <w:szCs w:val="23"/>
    </w:rPr>
  </w:style>
  <w:style w:type="paragraph" w:styleId="BodyText">
    <w:name w:val="BodyText"/>
    <w:basedOn w:val="Normal"/>
    <w:pPr>
      <w:spacing w:after="160" w:line="276"/>
    </w:pPr>
  </w:style>
  <w:style w:type="paragraph" w:styleId="Caption">
    <w:name w:val="Caption"/>
    <w:basedOn w:val="Normal"/>
    <w:pPr>
      <w:spacing w:after="140" w:before="60"/>
      <w:jc w:val="center"/>
    </w:pPr>
    <w:rPr>
      <w:i/>
      <w:iCs/>
      <w:color w:val="546E7A"/>
      <w:sz w:val="18"/>
      <w:szCs w:val="18"/>
    </w:rPr>
  </w:style>
  <w:style w:type="paragraph" w:styleId="DefNote">
    <w:name w:val="DefNote"/>
    <w:basedOn w:val="Normal"/>
    <w:pPr>
      <w:spacing w:after="160" w:before="100"/>
      <w:ind w:left="360" w:right="360"/>
    </w:pPr>
    <w:rPr>
      <w:i/>
      <w:iCs/>
      <w:color w:val="546E7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ba6bbfd3cab004176997f05f2b79ed39650a6c.png"/><Relationship Id="rId10" Type="http://schemas.openxmlformats.org/officeDocument/2006/relationships/image" Target="media/47b4a9e10b2d9fde6797915f35a5e3c43d4c28a1.png"/><Relationship Id="rId11" Type="http://schemas.openxmlformats.org/officeDocument/2006/relationships/image" Target="media/6ef9012e0f1abdff6dbf2eec017af55309e70693.png"/><Relationship Id="rId12" Type="http://schemas.openxmlformats.org/officeDocument/2006/relationships/image" Target="media/77144b44175b64ef03e8345ad33f2a4b08f3b2b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37AC0D-EF59-4F16-996C-88A3283232ED}">
  <we:reference id="WA200010615" version="1.0.10036.0" store="en-us" storeType="OMEX"/>
  <we:alternateReferences/>
  <we:properties>
    <we:property name="Office.AutoShowTaskpaneWithDocument" value="true"/>
    <we:property name="conversationId" value="&quot;cd1ac7c2-50e9-4ba3-ab03-895227376f5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2026-09-26T21:55:38.298Z</dcterms:created>
  <dcterms:modified xsi:type="dcterms:W3CDTF">2026-09-26T21:55:38.299Z</dcterms:modified>
</cp:coreProperties>
</file>

<file path=docProps/custom.xml><?xml version="1.0" encoding="utf-8"?>
<Properties xmlns="http://schemas.openxmlformats.org/officeDocument/2006/custom-properties" xmlns:vt="http://schemas.openxmlformats.org/officeDocument/2006/docPropsVTypes"/>
</file>