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jc w:val="center"/>
        <w:rPr>
          <w:b w:val="1"/>
          <w:bCs w:val="1"/>
          <w:sz w:val="46"/>
          <w:szCs w:val="46"/>
        </w:rPr>
      </w:pPr>
      <w:r w:rsidDel="00000000" w:rsidR="00000000" w:rsidRPr="00000000">
        <w:rPr>
          <w:b w:val="1"/>
          <w:bCs w:val="1"/>
          <w:sz w:val="46"/>
          <w:szCs w:val="46"/>
          <w:rtl w:val="0"/>
        </w:rPr>
        <w:t xml:space="preserve">Informe de Registro de Solicitudes de Cambio</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Proyecto:</w:t>
      </w:r>
      <w:r w:rsidDel="00000000" w:rsidR="00000000" w:rsidRPr="00000000">
        <w:rPr>
          <w:rtl w:val="0"/>
        </w:rPr>
        <w:t xml:space="preserve"> Sistema analitico de consumo </w:t>
      </w:r>
    </w:p>
    <w:p w:rsidR="00000000" w:rsidDel="00000000" w:rsidP="00000000" w:rsidRDefault="00000000" w:rsidRPr="00000000" w14:paraId="00000027">
      <w:pPr>
        <w:rPr/>
      </w:pPr>
      <w:r w:rsidDel="00000000" w:rsidR="00000000" w:rsidRPr="00000000">
        <w:rPr>
          <w:b w:val="1"/>
          <w:bCs w:val="1"/>
          <w:rtl w:val="0"/>
        </w:rPr>
        <w:t xml:space="preserve">Autores:</w:t>
      </w:r>
      <w:r w:rsidDel="00000000" w:rsidR="00000000" w:rsidRPr="00000000">
        <w:rPr>
          <w:rtl w:val="0"/>
        </w:rPr>
        <w:t xml:space="preserve">Sebastian solar Aburto</w:t>
      </w:r>
    </w:p>
    <w:p w:rsidR="00000000" w:rsidDel="00000000" w:rsidP="00000000" w:rsidRDefault="00000000" w:rsidRPr="00000000" w14:paraId="00000028">
      <w:pPr>
        <w:ind w:firstLine="720"/>
        <w:rPr/>
      </w:pPr>
      <w:r w:rsidDel="00000000" w:rsidR="00000000" w:rsidRPr="00000000">
        <w:rPr>
          <w:rtl w:val="0"/>
        </w:rPr>
        <w:t xml:space="preserve">   Carlos Catalán Donoso</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1"/>
        <w:rPr/>
      </w:pPr>
      <w:bookmarkStart w:colFirst="0" w:colLast="0" w:name="_akhuepkocbzn" w:id="0"/>
      <w:bookmarkEnd w:id="0"/>
      <w:r w:rsidDel="00000000" w:rsidR="00000000" w:rsidRPr="00000000">
        <w:rPr>
          <w:rtl w:val="0"/>
        </w:rPr>
        <w:t xml:space="preserve">Índice</w:t>
      </w:r>
    </w:p>
    <w:p w:rsidR="00000000" w:rsidDel="00000000" w:rsidP="00000000" w:rsidRDefault="00000000" w:rsidRPr="00000000" w14:paraId="0000002B">
      <w:pPr>
        <w:rPr/>
      </w:pPr>
      <w:r w:rsidDel="00000000" w:rsidR="00000000" w:rsidRPr="00000000">
        <w:rPr>
          <w:rtl w:val="0"/>
        </w:rPr>
      </w:r>
    </w:p>
    <w:sdt>
      <w:sdtPr>
        <w:id w:val="-779227085"/>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khuepkocb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yecz5t3clm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y4cruirsw0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Informe</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j0h87b6lg5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General de Cambios Ejecutados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color w:val="000000"/>
              <w:u w:val="none"/>
            </w:rPr>
          </w:pPr>
          <w:hyperlink w:anchor="_r66ok1tmer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de Firebase/Firestore a MongoDB Atlas (Octubre 2025)</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color w:val="000000"/>
              <w:u w:val="none"/>
            </w:rPr>
          </w:pPr>
          <w:hyperlink w:anchor="_eq3dm5k89l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de BI: Power BI → Recharts (Octubre – Noviembre 2025)</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color w:val="000000"/>
              <w:u w:val="none"/>
            </w:rPr>
          </w:pPr>
          <w:hyperlink w:anchor="_unpn4hn3r1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Unificación del Scraping con Playwright + Identificador Global (Noviembre 2025)</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spacing w:after="80" w:lineRule="auto"/>
        <w:rPr/>
      </w:pPr>
      <w:bookmarkStart w:colFirst="0" w:colLast="0" w:name="_yecz5t3clm30" w:id="1"/>
      <w:bookmarkEnd w:id="1"/>
      <w:r w:rsidDel="00000000" w:rsidR="00000000" w:rsidRPr="00000000">
        <w:rPr>
          <w:rtl w:val="0"/>
        </w:rPr>
        <w:t xml:space="preserve"> Introducción</w:t>
      </w:r>
    </w:p>
    <w:p w:rsidR="00000000" w:rsidDel="00000000" w:rsidP="00000000" w:rsidRDefault="00000000" w:rsidRPr="00000000" w14:paraId="00000035">
      <w:pPr>
        <w:spacing w:after="240" w:before="240" w:lineRule="auto"/>
        <w:rPr/>
      </w:pPr>
      <w:r w:rsidDel="00000000" w:rsidR="00000000" w:rsidRPr="00000000">
        <w:rPr>
          <w:rtl w:val="0"/>
        </w:rPr>
        <w:t xml:space="preserve">Durante el desarrollo del Sistema de Analítica y Comparación de Precios de Supermercados, surgieron necesidades técnicas que requirieron cambios en el alcance inicial y ajustes en la arquitectura planteada.</w:t>
      </w:r>
    </w:p>
    <w:p w:rsidR="00000000" w:rsidDel="00000000" w:rsidP="00000000" w:rsidRDefault="00000000" w:rsidRPr="00000000" w14:paraId="00000036">
      <w:pPr>
        <w:spacing w:after="240" w:before="240" w:lineRule="auto"/>
        <w:rPr/>
      </w:pPr>
      <w:r w:rsidDel="00000000" w:rsidR="00000000" w:rsidRPr="00000000">
        <w:rPr>
          <w:rtl w:val="0"/>
        </w:rPr>
        <w:t xml:space="preserve">Este documento presenta el </w:t>
      </w:r>
      <w:r w:rsidDel="00000000" w:rsidR="00000000" w:rsidRPr="00000000">
        <w:rPr>
          <w:b w:val="1"/>
          <w:bCs w:val="1"/>
          <w:rtl w:val="0"/>
        </w:rPr>
        <w:t xml:space="preserve">Registro de Cambios Realizados</w:t>
      </w:r>
      <w:r w:rsidDel="00000000" w:rsidR="00000000" w:rsidRPr="00000000">
        <w:rPr>
          <w:rtl w:val="0"/>
        </w:rPr>
        <w:t xml:space="preserve">, los cuales se ejecutaron entre octubre de 2024 y marzo de 2025, con el objetivo de mejorar la escalabilidad, integridad de datos y potencial analítico de la plataforma.</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1"/>
        <w:keepNext w:val="0"/>
        <w:keepLines w:val="0"/>
        <w:spacing w:after="80" w:lineRule="auto"/>
        <w:rPr/>
      </w:pPr>
      <w:bookmarkStart w:colFirst="0" w:colLast="0" w:name="_y4cruirsw0qp" w:id="2"/>
      <w:bookmarkEnd w:id="2"/>
      <w:r w:rsidDel="00000000" w:rsidR="00000000" w:rsidRPr="00000000">
        <w:rPr>
          <w:rtl w:val="0"/>
        </w:rPr>
        <w:t xml:space="preserve">Objetivo del Informe</w:t>
      </w:r>
    </w:p>
    <w:p w:rsidR="00000000" w:rsidDel="00000000" w:rsidP="00000000" w:rsidRDefault="00000000" w:rsidRPr="00000000" w14:paraId="00000039">
      <w:pPr>
        <w:spacing w:after="240" w:before="240" w:lineRule="auto"/>
        <w:rPr/>
      </w:pPr>
      <w:r w:rsidDel="00000000" w:rsidR="00000000" w:rsidRPr="00000000">
        <w:rPr>
          <w:rtl w:val="0"/>
        </w:rPr>
        <w:t xml:space="preserve">Registrar de forma clara y formal los cambios tecnológicos y de alcance realizados en el proyecto, describiendo:</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Fecha del cambio</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Justificación técnica</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Impacto en el sistema</w:t>
        <w:br w:type="textWrapping"/>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Estado del cambio (realizado y aplicado)</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Este documento respalda las decisiones realizadas durante el proceso de desarrollo y sirve como evidencia para evaluaciones académicas y futuras auditorías de calidad.</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after="80" w:lineRule="auto"/>
        <w:rPr/>
      </w:pPr>
      <w:bookmarkStart w:colFirst="0" w:colLast="0" w:name="_j0h87b6lg52c" w:id="3"/>
      <w:bookmarkEnd w:id="3"/>
      <w:r w:rsidDel="00000000" w:rsidR="00000000" w:rsidRPr="00000000">
        <w:rPr>
          <w:rtl w:val="0"/>
        </w:rPr>
        <w:t xml:space="preserve">Registro General de Cambios Ejecutados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Tabla 1. Cambios oficiales realizados en el proyecto</w:t>
      </w:r>
    </w:p>
    <w:tbl>
      <w:tblPr>
        <w:tblStyle w:val="Table1"/>
        <w:tblW w:w="1047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100"/>
        <w:gridCol w:w="3885"/>
        <w:gridCol w:w="1875"/>
        <w:gridCol w:w="1515"/>
        <w:tblGridChange w:id="0">
          <w:tblGrid>
            <w:gridCol w:w="1095"/>
            <w:gridCol w:w="2100"/>
            <w:gridCol w:w="3885"/>
            <w:gridCol w:w="1875"/>
            <w:gridCol w:w="151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sz w:val="20"/>
                <w:szCs w:val="20"/>
              </w:rPr>
            </w:pPr>
            <w:r w:rsidDel="00000000" w:rsidR="00000000" w:rsidRPr="00000000">
              <w:rPr>
                <w:b w:val="1"/>
                <w:bCs w:val="1"/>
                <w:sz w:val="20"/>
                <w:szCs w:val="20"/>
                <w:rtl w:val="0"/>
              </w:rPr>
              <w:t xml:space="preserve">Nº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sz w:val="20"/>
                <w:szCs w:val="20"/>
              </w:rPr>
            </w:pPr>
            <w:r w:rsidDel="00000000" w:rsidR="00000000" w:rsidRPr="00000000">
              <w:rPr>
                <w:b w:val="1"/>
                <w:bCs w:val="1"/>
                <w:sz w:val="20"/>
                <w:szCs w:val="20"/>
                <w:rtl w:val="0"/>
              </w:rPr>
              <w:t xml:space="preserve">Fecha Estimada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b w:val="1"/>
                <w:bCs w:val="1"/>
                <w:sz w:val="20"/>
                <w:szCs w:val="20"/>
              </w:rPr>
            </w:pPr>
            <w:r w:rsidDel="00000000" w:rsidR="00000000" w:rsidRPr="00000000">
              <w:rPr>
                <w:b w:val="1"/>
                <w:bCs w:val="1"/>
                <w:sz w:val="20"/>
                <w:szCs w:val="20"/>
                <w:rtl w:val="0"/>
              </w:rPr>
              <w:t xml:space="preserve">Cambio Realizado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b w:val="1"/>
                <w:bCs w:val="1"/>
                <w:sz w:val="20"/>
                <w:szCs w:val="20"/>
              </w:rPr>
            </w:pPr>
            <w:r w:rsidDel="00000000" w:rsidR="00000000" w:rsidRPr="00000000">
              <w:rPr>
                <w:b w:val="1"/>
                <w:bCs w:val="1"/>
                <w:sz w:val="20"/>
                <w:szCs w:val="20"/>
                <w:rtl w:val="0"/>
              </w:rPr>
              <w:t xml:space="preserve">Área Afectada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b w:val="1"/>
                <w:bCs w:val="1"/>
                <w:sz w:val="20"/>
                <w:szCs w:val="20"/>
              </w:rPr>
            </w:pPr>
            <w:r w:rsidDel="00000000" w:rsidR="00000000" w:rsidRPr="00000000">
              <w:rPr>
                <w:b w:val="1"/>
                <w:bCs w:val="1"/>
                <w:sz w:val="20"/>
                <w:szCs w:val="20"/>
                <w:rtl w:val="0"/>
              </w:rPr>
              <w:t xml:space="preserve">Estado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10–20 oct.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sz w:val="20"/>
                <w:szCs w:val="20"/>
              </w:rPr>
            </w:pPr>
            <w:r w:rsidDel="00000000" w:rsidR="00000000" w:rsidRPr="00000000">
              <w:rPr>
                <w:rFonts w:ascii="Arial Unicode MS" w:cs="Arial Unicode MS" w:eastAsia="Arial Unicode MS" w:hAnsi="Arial Unicode MS"/>
                <w:sz w:val="20"/>
                <w:szCs w:val="20"/>
                <w:rtl w:val="0"/>
              </w:rPr>
              <w:t xml:space="preserve">Cambio de Firebase/Firestore → MongoDB Atlas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Realizado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26 oct. – 10 nov.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sz w:val="20"/>
                <w:szCs w:val="20"/>
              </w:rPr>
            </w:pPr>
            <w:r w:rsidDel="00000000" w:rsidR="00000000" w:rsidRPr="00000000">
              <w:rPr>
                <w:rFonts w:ascii="Arial Unicode MS" w:cs="Arial Unicode MS" w:eastAsia="Arial Unicode MS" w:hAnsi="Arial Unicode MS"/>
                <w:sz w:val="20"/>
                <w:szCs w:val="20"/>
                <w:rtl w:val="0"/>
              </w:rPr>
              <w:t xml:space="preserve">Cambio de BI: Power BI → Recharts + Dashboards nativos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Inteligencia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Realizado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Nov.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Unificación del Scraping con Playwright + Identificador Global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ETL /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Realizado</w:t>
            </w:r>
          </w:p>
        </w:tc>
      </w:tr>
    </w:tbl>
    <w:p w:rsidR="00000000" w:rsidDel="00000000" w:rsidP="00000000" w:rsidRDefault="00000000" w:rsidRPr="00000000" w14:paraId="00000056">
      <w:pPr>
        <w:pStyle w:val="Heading4"/>
        <w:rPr>
          <w:b w:val="1"/>
          <w:bCs w:val="1"/>
          <w:color w:val="000000"/>
        </w:rPr>
      </w:pPr>
      <w:bookmarkStart w:colFirst="0" w:colLast="0" w:name="_r66ok1tmerv4" w:id="4"/>
      <w:bookmarkEnd w:id="4"/>
      <w:r w:rsidDel="00000000" w:rsidR="00000000" w:rsidRPr="00000000">
        <w:rPr>
          <w:rtl w:val="0"/>
        </w:rPr>
        <w:br w:type="textWrapping"/>
        <w:br w:type="textWrapping"/>
      </w:r>
      <w:r w:rsidDel="00000000" w:rsidR="00000000" w:rsidRPr="00000000">
        <w:rPr>
          <w:b w:val="1"/>
          <w:bCs w:val="1"/>
          <w:color w:val="000000"/>
          <w:rtl w:val="0"/>
        </w:rPr>
        <w:t xml:space="preserve">Cambio de Firebase/Firestore a MongoDB Atlas (Octubre 2025)</w:t>
      </w:r>
    </w:p>
    <w:p w:rsidR="00000000" w:rsidDel="00000000" w:rsidP="00000000" w:rsidRDefault="00000000" w:rsidRPr="00000000" w14:paraId="00000057">
      <w:pPr>
        <w:spacing w:after="240" w:before="240" w:lineRule="auto"/>
        <w:rPr/>
      </w:pPr>
      <w:r w:rsidDel="00000000" w:rsidR="00000000" w:rsidRPr="00000000">
        <w:rPr>
          <w:rtl w:val="0"/>
        </w:rPr>
        <w:t xml:space="preserve">Motivo del Cambio:</w:t>
        <w:br w:type="textWrapping"/>
        <w:t xml:space="preserve"> La herramienta Firebase presentaba limitaciones para el manejo de agregaciones, series temporales y análisis estadístico avanzado. Debido a que el sistema evolucionaría hacia análisis de precios y comportamiento del usuario, MongoDB Atlas resultó más adecuado.</w:t>
      </w:r>
    </w:p>
    <w:p w:rsidR="00000000" w:rsidDel="00000000" w:rsidP="00000000" w:rsidRDefault="00000000" w:rsidRPr="00000000" w14:paraId="00000058">
      <w:pPr>
        <w:spacing w:after="240" w:before="240" w:lineRule="auto"/>
        <w:rPr/>
      </w:pPr>
      <w:r w:rsidDel="00000000" w:rsidR="00000000" w:rsidRPr="00000000">
        <w:rPr>
          <w:rtl w:val="0"/>
        </w:rPr>
        <w:t xml:space="preserve">Impacto Técnico:</w:t>
      </w:r>
    </w:p>
    <w:p w:rsidR="00000000" w:rsidDel="00000000" w:rsidP="00000000" w:rsidRDefault="00000000" w:rsidRPr="00000000" w14:paraId="00000059">
      <w:pPr>
        <w:numPr>
          <w:ilvl w:val="0"/>
          <w:numId w:val="2"/>
        </w:numPr>
        <w:spacing w:after="0" w:afterAutospacing="0" w:before="240" w:lineRule="auto"/>
        <w:ind w:left="720" w:hanging="360"/>
        <w:rPr/>
      </w:pPr>
      <w:r w:rsidDel="00000000" w:rsidR="00000000" w:rsidRPr="00000000">
        <w:rPr>
          <w:rtl w:val="0"/>
        </w:rPr>
        <w:t xml:space="preserve">Soporte para </w:t>
      </w:r>
      <w:r w:rsidDel="00000000" w:rsidR="00000000" w:rsidRPr="00000000">
        <w:rPr>
          <w:rtl w:val="0"/>
        </w:rPr>
        <w:t xml:space="preserve">priceHistory</w:t>
      </w:r>
      <w:r w:rsidDel="00000000" w:rsidR="00000000" w:rsidRPr="00000000">
        <w:rPr>
          <w:rtl w:val="0"/>
        </w:rPr>
        <w:t xml:space="preserve">, </w:t>
      </w:r>
      <w:r w:rsidDel="00000000" w:rsidR="00000000" w:rsidRPr="00000000">
        <w:rPr>
          <w:rtl w:val="0"/>
        </w:rPr>
        <w:t xml:space="preserve">clicks</w:t>
      </w:r>
      <w:r w:rsidDel="00000000" w:rsidR="00000000" w:rsidRPr="00000000">
        <w:rPr>
          <w:rtl w:val="0"/>
        </w:rPr>
        <w:t xml:space="preserve">, </w:t>
      </w:r>
      <w:r w:rsidDel="00000000" w:rsidR="00000000" w:rsidRPr="00000000">
        <w:rPr>
          <w:rtl w:val="0"/>
        </w:rPr>
        <w:t xml:space="preserve">busquedas</w:t>
      </w:r>
      <w:r w:rsidDel="00000000" w:rsidR="00000000" w:rsidRPr="00000000">
        <w:rPr>
          <w:rtl w:val="0"/>
        </w:rPr>
        <w:t xml:space="preserve"> y consultas estadísticas.</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rPr/>
      </w:pPr>
      <w:r w:rsidDel="00000000" w:rsidR="00000000" w:rsidRPr="00000000">
        <w:rPr>
          <w:rtl w:val="0"/>
        </w:rPr>
        <w:t xml:space="preserve">Estructura con validación por JSON Schema (similar a SQL).</w:t>
        <w:br w:type="textWrapping"/>
      </w:r>
    </w:p>
    <w:p w:rsidR="00000000" w:rsidDel="00000000" w:rsidP="00000000" w:rsidRDefault="00000000" w:rsidRPr="00000000" w14:paraId="0000005B">
      <w:pPr>
        <w:numPr>
          <w:ilvl w:val="0"/>
          <w:numId w:val="2"/>
        </w:numPr>
        <w:spacing w:after="240" w:before="0" w:beforeAutospacing="0" w:lineRule="auto"/>
        <w:ind w:left="720" w:hanging="360"/>
        <w:rPr/>
      </w:pPr>
      <w:r w:rsidDel="00000000" w:rsidR="00000000" w:rsidRPr="00000000">
        <w:rPr>
          <w:rtl w:val="0"/>
        </w:rPr>
        <w:t xml:space="preserve">Base óptima para Big Data y minería de datos.</w:t>
      </w:r>
    </w:p>
    <w:p w:rsidR="00000000" w:rsidDel="00000000" w:rsidP="00000000" w:rsidRDefault="00000000" w:rsidRPr="00000000" w14:paraId="0000005C">
      <w:pPr>
        <w:pStyle w:val="Heading4"/>
        <w:spacing w:before="280" w:lineRule="auto"/>
        <w:rPr>
          <w:b w:val="1"/>
          <w:bCs w:val="1"/>
          <w:color w:val="000000"/>
        </w:rPr>
      </w:pPr>
      <w:bookmarkStart w:colFirst="0" w:colLast="0" w:name="_eq3dm5k89lp8" w:id="5"/>
      <w:bookmarkEnd w:id="5"/>
      <w:r w:rsidDel="00000000" w:rsidR="00000000" w:rsidRPr="00000000">
        <w:rPr>
          <w:rFonts w:ascii="Arial Unicode MS" w:cs="Arial Unicode MS" w:eastAsia="Arial Unicode MS" w:hAnsi="Arial Unicode MS"/>
          <w:b w:val="1"/>
          <w:bCs w:val="1"/>
          <w:color w:val="000000"/>
          <w:rtl w:val="0"/>
        </w:rPr>
        <w:t xml:space="preserve">Cambio de BI: Power BI → Recharts (Octubre – Noviembre 2025)</w:t>
      </w:r>
    </w:p>
    <w:p w:rsidR="00000000" w:rsidDel="00000000" w:rsidP="00000000" w:rsidRDefault="00000000" w:rsidRPr="00000000" w14:paraId="0000005D">
      <w:pPr>
        <w:spacing w:after="240" w:before="240" w:lineRule="auto"/>
        <w:rPr/>
      </w:pPr>
      <w:r w:rsidDel="00000000" w:rsidR="00000000" w:rsidRPr="00000000">
        <w:rPr>
          <w:rtl w:val="0"/>
        </w:rPr>
        <w:t xml:space="preserve">Motivo del Cambio:</w:t>
        <w:br w:type="textWrapping"/>
        <w:t xml:space="preserve"> Power BI Report Server requiere licencias para despliegue web, lo cual afectaba la escalabilidad futura. Se decidió crear dashboards embebidos dentro del sistema, utilizando Recharts para integrar datos en tiempo real desde MongoDB.</w:t>
      </w:r>
    </w:p>
    <w:p w:rsidR="00000000" w:rsidDel="00000000" w:rsidP="00000000" w:rsidRDefault="00000000" w:rsidRPr="00000000" w14:paraId="0000005E">
      <w:pPr>
        <w:spacing w:after="240" w:before="240" w:lineRule="auto"/>
        <w:rPr/>
      </w:pPr>
      <w:r w:rsidDel="00000000" w:rsidR="00000000" w:rsidRPr="00000000">
        <w:rPr>
          <w:rtl w:val="0"/>
        </w:rPr>
        <w:t xml:space="preserve">Impacto Técnico:</w:t>
      </w:r>
    </w:p>
    <w:p w:rsidR="00000000" w:rsidDel="00000000" w:rsidP="00000000" w:rsidRDefault="00000000" w:rsidRPr="00000000" w14:paraId="0000005F">
      <w:pPr>
        <w:numPr>
          <w:ilvl w:val="0"/>
          <w:numId w:val="4"/>
        </w:numPr>
        <w:spacing w:after="0" w:afterAutospacing="0" w:before="240" w:lineRule="auto"/>
        <w:ind w:left="720" w:hanging="360"/>
        <w:rPr/>
      </w:pPr>
      <w:r w:rsidDel="00000000" w:rsidR="00000000" w:rsidRPr="00000000">
        <w:rPr>
          <w:rtl w:val="0"/>
        </w:rPr>
        <w:t xml:space="preserve">Eliminación de costos de licencias.</w:t>
        <w:br w:type="textWrapping"/>
      </w:r>
    </w:p>
    <w:p w:rsidR="00000000" w:rsidDel="00000000" w:rsidP="00000000" w:rsidRDefault="00000000" w:rsidRPr="00000000" w14:paraId="00000060">
      <w:pPr>
        <w:numPr>
          <w:ilvl w:val="0"/>
          <w:numId w:val="4"/>
        </w:numPr>
        <w:spacing w:after="0" w:afterAutospacing="0" w:before="0" w:beforeAutospacing="0" w:lineRule="auto"/>
        <w:ind w:left="720" w:hanging="360"/>
        <w:rPr/>
      </w:pPr>
      <w:r w:rsidDel="00000000" w:rsidR="00000000" w:rsidRPr="00000000">
        <w:rPr>
          <w:rtl w:val="0"/>
        </w:rPr>
        <w:t xml:space="preserve">Visualizaciones nativas dentro de la plataforma.</w:t>
        <w:br w:type="textWrapping"/>
      </w:r>
    </w:p>
    <w:p w:rsidR="00000000" w:rsidDel="00000000" w:rsidP="00000000" w:rsidRDefault="00000000" w:rsidRPr="00000000" w14:paraId="00000061">
      <w:pPr>
        <w:numPr>
          <w:ilvl w:val="0"/>
          <w:numId w:val="4"/>
        </w:numPr>
        <w:spacing w:after="240" w:before="0" w:beforeAutospacing="0" w:lineRule="auto"/>
        <w:ind w:left="720" w:hanging="360"/>
        <w:rPr/>
      </w:pPr>
      <w:r w:rsidDel="00000000" w:rsidR="00000000" w:rsidRPr="00000000">
        <w:rPr>
          <w:rtl w:val="0"/>
        </w:rPr>
        <w:t xml:space="preserve">Integración directa con APIs internas.</w:t>
      </w:r>
    </w:p>
    <w:p w:rsidR="00000000" w:rsidDel="00000000" w:rsidP="00000000" w:rsidRDefault="00000000" w:rsidRPr="00000000" w14:paraId="00000062">
      <w:pPr>
        <w:pStyle w:val="Heading4"/>
        <w:spacing w:before="280" w:lineRule="auto"/>
        <w:rPr>
          <w:b w:val="1"/>
          <w:bCs w:val="1"/>
          <w:color w:val="000000"/>
        </w:rPr>
      </w:pPr>
      <w:bookmarkStart w:colFirst="0" w:colLast="0" w:name="_unpn4hn3r1fp" w:id="6"/>
      <w:bookmarkEnd w:id="6"/>
      <w:r w:rsidDel="00000000" w:rsidR="00000000" w:rsidRPr="00000000">
        <w:rPr>
          <w:b w:val="1"/>
          <w:bCs w:val="1"/>
          <w:color w:val="000000"/>
          <w:rtl w:val="0"/>
        </w:rPr>
        <w:t xml:space="preserve">Unificación del Scraping con Playwright + Identificador Global (Noviembre 2025)</w:t>
      </w:r>
    </w:p>
    <w:p w:rsidR="00000000" w:rsidDel="00000000" w:rsidP="00000000" w:rsidRDefault="00000000" w:rsidRPr="00000000" w14:paraId="00000063">
      <w:pPr>
        <w:spacing w:after="240" w:before="240" w:lineRule="auto"/>
        <w:rPr/>
      </w:pPr>
      <w:r w:rsidDel="00000000" w:rsidR="00000000" w:rsidRPr="00000000">
        <w:rPr>
          <w:rtl w:val="0"/>
        </w:rPr>
        <w:t xml:space="preserve">Motivo del Cambio:</w:t>
        <w:br w:type="textWrapping"/>
        <w:t xml:space="preserve"> Los scripts separados generaban inconsistencias entre productos de distintos supermercados. Se unificó el scraping por tienda y se creó un </w:t>
      </w:r>
      <w:r w:rsidDel="00000000" w:rsidR="00000000" w:rsidRPr="00000000">
        <w:rPr>
          <w:rtl w:val="0"/>
        </w:rPr>
        <w:t xml:space="preserve">globalId</w:t>
      </w:r>
      <w:r w:rsidDel="00000000" w:rsidR="00000000" w:rsidRPr="00000000">
        <w:rPr>
          <w:rtl w:val="0"/>
        </w:rPr>
        <w:t xml:space="preserve"> único para cada producto.</w:t>
      </w:r>
    </w:p>
    <w:p w:rsidR="00000000" w:rsidDel="00000000" w:rsidP="00000000" w:rsidRDefault="00000000" w:rsidRPr="00000000" w14:paraId="00000064">
      <w:pPr>
        <w:spacing w:after="240" w:before="240" w:lineRule="auto"/>
        <w:rPr/>
      </w:pPr>
      <w:r w:rsidDel="00000000" w:rsidR="00000000" w:rsidRPr="00000000">
        <w:rPr>
          <w:rtl w:val="0"/>
        </w:rPr>
        <w:t xml:space="preserve">Impacto Técnico:</w:t>
      </w:r>
    </w:p>
    <w:p w:rsidR="00000000" w:rsidDel="00000000" w:rsidP="00000000" w:rsidRDefault="00000000" w:rsidRPr="00000000" w14:paraId="00000065">
      <w:pPr>
        <w:numPr>
          <w:ilvl w:val="0"/>
          <w:numId w:val="3"/>
        </w:numPr>
        <w:spacing w:after="0" w:afterAutospacing="0" w:before="240" w:lineRule="auto"/>
        <w:ind w:left="720" w:hanging="360"/>
        <w:rPr/>
      </w:pPr>
      <w:r w:rsidDel="00000000" w:rsidR="00000000" w:rsidRPr="00000000">
        <w:rPr>
          <w:rtl w:val="0"/>
        </w:rPr>
        <w:t xml:space="preserve">Reducción de duplicados y errores.</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rPr/>
      </w:pPr>
      <w:r w:rsidDel="00000000" w:rsidR="00000000" w:rsidRPr="00000000">
        <w:rPr>
          <w:rtl w:val="0"/>
        </w:rPr>
        <w:t xml:space="preserve">Comparación entre supermercados mucho más precisa.</w:t>
        <w:br w:type="textWrapping"/>
      </w:r>
    </w:p>
    <w:p w:rsidR="00000000" w:rsidDel="00000000" w:rsidP="00000000" w:rsidRDefault="00000000" w:rsidRPr="00000000" w14:paraId="00000067">
      <w:pPr>
        <w:numPr>
          <w:ilvl w:val="0"/>
          <w:numId w:val="3"/>
        </w:numPr>
        <w:spacing w:after="240" w:before="0" w:beforeAutospacing="0" w:lineRule="auto"/>
        <w:ind w:left="720" w:hanging="360"/>
        <w:rPr/>
      </w:pPr>
      <w:r w:rsidDel="00000000" w:rsidR="00000000" w:rsidRPr="00000000">
        <w:rPr>
          <w:rtl w:val="0"/>
        </w:rPr>
        <w:t xml:space="preserve">Base totalmente normalizada y estandarizada.</w:t>
      </w:r>
    </w:p>
    <w:p w:rsidR="00000000" w:rsidDel="00000000" w:rsidP="00000000" w:rsidRDefault="00000000" w:rsidRPr="00000000" w14:paraId="00000068">
      <w:pPr>
        <w:ind w:left="0" w:firstLine="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widowControl w:val="0"/>
      <w:rPr>
        <w:b w:val="1"/>
        <w:bCs w:val="1"/>
        <w:sz w:val="18"/>
        <w:szCs w:val="18"/>
      </w:rPr>
    </w:pPr>
    <w:r w:rsidDel="00000000" w:rsidR="00000000" w:rsidRPr="00000000">
      <w:rPr>
        <w:rtl w:val="0"/>
      </w:rPr>
    </w:r>
  </w:p>
  <w:tbl>
    <w:tblPr>
      <w:tblStyle w:val="Table2"/>
      <w:tblW w:w="1054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4725"/>
      <w:gridCol w:w="3105"/>
      <w:tblGridChange w:id="0">
        <w:tblGrid>
          <w:gridCol w:w="2715"/>
          <w:gridCol w:w="4725"/>
          <w:gridCol w:w="3105"/>
        </w:tblGrid>
      </w:tblGridChange>
    </w:tblGrid>
    <w:tr>
      <w:trPr>
        <w:cantSplit w:val="0"/>
        <w:trHeight w:val="825" w:hRule="atLeast"/>
        <w:tblHeader w:val="0"/>
      </w:trPr>
      <w:tc>
        <w:tcPr>
          <w:shd w:fill="auto" w:val="clear"/>
        </w:tcPr>
        <w:p w:rsidR="00000000" w:rsidDel="00000000" w:rsidP="00000000" w:rsidRDefault="00000000" w:rsidRPr="00000000" w14:paraId="0000006A">
          <w:pPr>
            <w:tabs>
              <w:tab w:val="center" w:leader="none" w:pos="4320"/>
              <w:tab w:val="right" w:leader="none" w:pos="8640"/>
            </w:tabs>
            <w:spacing w:line="240" w:lineRule="auto"/>
            <w:rPr>
              <w:b w:val="1"/>
              <w:bCs w:val="1"/>
              <w:sz w:val="18"/>
              <w:szCs w:val="18"/>
            </w:rPr>
          </w:pPr>
          <w:r w:rsidDel="00000000" w:rsidR="00000000" w:rsidRPr="00000000">
            <w:rPr>
              <w:rtl w:val="0"/>
            </w:rPr>
          </w:r>
        </w:p>
        <w:p w:rsidR="00000000" w:rsidDel="00000000" w:rsidP="00000000" w:rsidRDefault="00000000" w:rsidRPr="00000000" w14:paraId="0000006B">
          <w:pPr>
            <w:tabs>
              <w:tab w:val="center" w:leader="none" w:pos="4320"/>
              <w:tab w:val="right" w:leader="none" w:pos="8640"/>
            </w:tabs>
            <w:spacing w:line="240" w:lineRule="auto"/>
            <w:rPr>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06C">
          <w:pPr>
            <w:tabs>
              <w:tab w:val="center" w:leader="none" w:pos="4320"/>
              <w:tab w:val="right" w:leader="none" w:pos="8640"/>
            </w:tabs>
            <w:spacing w:after="60" w:before="60" w:line="240" w:lineRule="auto"/>
            <w:jc w:val="center"/>
            <w:rPr>
              <w:b w:val="1"/>
              <w:bCs w:val="1"/>
              <w:color w:val="17365d"/>
              <w:sz w:val="6"/>
              <w:szCs w:val="6"/>
            </w:rPr>
          </w:pPr>
          <w:r w:rsidDel="00000000" w:rsidR="00000000" w:rsidRPr="00000000">
            <w:rPr>
              <w:b w:val="1"/>
              <w:bCs w:val="1"/>
              <w:sz w:val="28"/>
              <w:szCs w:val="28"/>
              <w:rtl w:val="0"/>
            </w:rPr>
            <w:t xml:space="preserve">Solicitud de cambio </w:t>
          </w:r>
          <w:r w:rsidDel="00000000" w:rsidR="00000000" w:rsidRPr="00000000">
            <w:rPr>
              <w:rtl w:val="0"/>
            </w:rPr>
          </w:r>
        </w:p>
      </w:tc>
      <w:tc>
        <w:tcPr>
          <w:shd w:fill="auto" w:val="clear"/>
        </w:tcPr>
        <w:p w:rsidR="00000000" w:rsidDel="00000000" w:rsidP="00000000" w:rsidRDefault="00000000" w:rsidRPr="00000000" w14:paraId="0000006D">
          <w:pPr>
            <w:tabs>
              <w:tab w:val="center" w:leader="none" w:pos="4320"/>
              <w:tab w:val="right" w:leader="none" w:pos="8640"/>
            </w:tabs>
            <w:spacing w:line="240" w:lineRule="auto"/>
            <w:rPr>
              <w:b w:val="1"/>
              <w:bCs w:val="1"/>
              <w:sz w:val="16"/>
              <w:szCs w:val="16"/>
            </w:rPr>
          </w:pPr>
          <w:r w:rsidDel="00000000" w:rsidR="00000000" w:rsidRPr="00000000">
            <w:rPr>
              <w:rtl w:val="0"/>
            </w:rPr>
          </w:r>
        </w:p>
        <w:p w:rsidR="00000000" w:rsidDel="00000000" w:rsidP="00000000" w:rsidRDefault="00000000" w:rsidRPr="00000000" w14:paraId="0000006E">
          <w:pPr>
            <w:tabs>
              <w:tab w:val="center" w:leader="none" w:pos="4320"/>
              <w:tab w:val="right" w:leader="none" w:pos="8640"/>
            </w:tabs>
            <w:spacing w:line="240" w:lineRule="auto"/>
            <w:rPr>
              <w:b w:val="1"/>
              <w:bCs w:val="1"/>
              <w:sz w:val="18"/>
              <w:szCs w:val="18"/>
            </w:rPr>
          </w:pPr>
          <w:r w:rsidDel="00000000" w:rsidR="00000000" w:rsidRPr="00000000">
            <w:rPr>
              <w:rtl w:val="0"/>
            </w:rPr>
          </w:r>
        </w:p>
      </w:tc>
    </w:tr>
  </w:tbl>
  <w:p w:rsidR="00000000" w:rsidDel="00000000" w:rsidP="00000000" w:rsidRDefault="00000000" w:rsidRPr="00000000" w14:paraId="0000006F">
    <w:pPr>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